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88A" w:rsidRDefault="00292C3B" w:rsidP="003E41D5">
      <w:pPr>
        <w:spacing w:after="0" w:line="240" w:lineRule="auto"/>
        <w:jc w:val="center"/>
        <w:rPr>
          <w:rFonts w:ascii="Simplified Arabic" w:eastAsia="Times New Roman" w:hAnsi="Simplified Arabic" w:cs="Simplified Arabic" w:hint="cs"/>
          <w:color w:val="000000"/>
          <w:sz w:val="28"/>
          <w:szCs w:val="28"/>
          <w:rtl/>
        </w:rPr>
      </w:pPr>
      <w:r>
        <w:rPr>
          <w:rFonts w:ascii="Arial" w:hAnsi="Arial"/>
          <w:b/>
          <w:bCs/>
          <w:noProof/>
          <w:color w:val="1F497D"/>
          <w:sz w:val="24"/>
          <w:szCs w:val="24"/>
        </w:rPr>
        <w:drawing>
          <wp:inline distT="0" distB="0" distL="0" distR="0">
            <wp:extent cx="685800" cy="933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85800" cy="933450"/>
                    </a:xfrm>
                    <a:prstGeom prst="rect">
                      <a:avLst/>
                    </a:prstGeom>
                    <a:noFill/>
                    <a:ln w="9525">
                      <a:noFill/>
                      <a:miter lim="800000"/>
                      <a:headEnd/>
                      <a:tailEnd/>
                    </a:ln>
                  </pic:spPr>
                </pic:pic>
              </a:graphicData>
            </a:graphic>
          </wp:inline>
        </w:drawing>
      </w:r>
    </w:p>
    <w:p w:rsidR="003E41D5" w:rsidRPr="003E41D5" w:rsidRDefault="003E41D5" w:rsidP="003E41D5">
      <w:pPr>
        <w:spacing w:after="0" w:line="240" w:lineRule="auto"/>
        <w:jc w:val="center"/>
        <w:rPr>
          <w:rFonts w:ascii="Simplified Arabic" w:eastAsia="Times New Roman" w:hAnsi="Simplified Arabic" w:cs="Simplified Arabic" w:hint="cs"/>
          <w:color w:val="000000"/>
          <w:sz w:val="32"/>
          <w:szCs w:val="32"/>
          <w:rtl/>
        </w:rPr>
      </w:pPr>
      <w:r w:rsidRPr="003E41D5">
        <w:rPr>
          <w:rFonts w:ascii="Times New Roman" w:hAnsi="Times New Roman"/>
          <w:b/>
          <w:bCs/>
          <w:color w:val="000000"/>
          <w:sz w:val="32"/>
          <w:szCs w:val="32"/>
        </w:rPr>
        <w:t>Palestinian Central Bureau of Statistics "PCBS"</w:t>
      </w:r>
    </w:p>
    <w:p w:rsidR="003E41D5" w:rsidRDefault="003E41D5" w:rsidP="00C44DB9">
      <w:pPr>
        <w:spacing w:after="0" w:line="240" w:lineRule="auto"/>
        <w:jc w:val="both"/>
        <w:rPr>
          <w:rFonts w:ascii="Simplified Arabic" w:eastAsia="Times New Roman" w:hAnsi="Simplified Arabic" w:cs="Simplified Arabic" w:hint="cs"/>
          <w:color w:val="000000"/>
          <w:sz w:val="28"/>
          <w:szCs w:val="28"/>
          <w:rtl/>
        </w:rPr>
      </w:pPr>
    </w:p>
    <w:p w:rsidR="003E41D5" w:rsidRDefault="003E41D5" w:rsidP="00C44DB9">
      <w:pPr>
        <w:spacing w:after="0" w:line="240" w:lineRule="auto"/>
        <w:jc w:val="both"/>
        <w:rPr>
          <w:rFonts w:ascii="Simplified Arabic" w:eastAsia="Times New Roman" w:hAnsi="Simplified Arabic" w:cs="Simplified Arabic" w:hint="cs"/>
          <w:color w:val="000000"/>
          <w:sz w:val="28"/>
          <w:szCs w:val="28"/>
          <w:rtl/>
        </w:rPr>
      </w:pPr>
    </w:p>
    <w:p w:rsidR="0015088A" w:rsidRPr="003E41D5" w:rsidRDefault="0015088A" w:rsidP="0015088A">
      <w:pPr>
        <w:spacing w:after="0" w:line="240" w:lineRule="auto"/>
        <w:jc w:val="center"/>
        <w:rPr>
          <w:rFonts w:ascii="Times New Roman" w:hAnsi="Times New Roman" w:cs="Times New Roman"/>
          <w:b/>
          <w:bCs/>
          <w:color w:val="000000"/>
          <w:sz w:val="32"/>
          <w:szCs w:val="32"/>
          <w:shd w:val="clear" w:color="auto" w:fill="FFFFFF"/>
        </w:rPr>
      </w:pPr>
      <w:r w:rsidRPr="003E41D5">
        <w:rPr>
          <w:rFonts w:ascii="Times New Roman" w:hAnsi="Times New Roman" w:cs="Times New Roman"/>
          <w:b/>
          <w:bCs/>
          <w:color w:val="000000"/>
          <w:sz w:val="32"/>
          <w:szCs w:val="32"/>
          <w:shd w:val="clear" w:color="auto" w:fill="FFFFFF"/>
        </w:rPr>
        <w:t>PCBS Launches a COVID-19 Response Data Hub</w:t>
      </w:r>
    </w:p>
    <w:p w:rsidR="003E41D5" w:rsidRDefault="003E41D5" w:rsidP="0015088A">
      <w:pPr>
        <w:tabs>
          <w:tab w:val="left" w:pos="5102"/>
        </w:tabs>
        <w:bidi w:val="0"/>
        <w:spacing w:after="0" w:line="240" w:lineRule="auto"/>
        <w:jc w:val="both"/>
        <w:rPr>
          <w:rFonts w:ascii="Times New Roman" w:hAnsi="Times New Roman" w:cs="Times New Roman"/>
          <w:color w:val="000000"/>
          <w:sz w:val="19"/>
          <w:szCs w:val="19"/>
        </w:rPr>
      </w:pPr>
    </w:p>
    <w:p w:rsidR="0015088A" w:rsidRDefault="0015088A" w:rsidP="003E41D5">
      <w:pPr>
        <w:tabs>
          <w:tab w:val="left" w:pos="5102"/>
        </w:tabs>
        <w:bidi w:val="0"/>
        <w:spacing w:after="0" w:line="240" w:lineRule="auto"/>
        <w:jc w:val="both"/>
        <w:rPr>
          <w:rFonts w:ascii="Times New Roman" w:hAnsi="Times New Roman" w:cs="Times New Roman"/>
          <w:color w:val="000000"/>
          <w:sz w:val="29"/>
          <w:szCs w:val="29"/>
          <w:shd w:val="clear" w:color="auto" w:fill="FFFFFF"/>
        </w:rPr>
      </w:pPr>
      <w:r w:rsidRPr="0015088A">
        <w:rPr>
          <w:rFonts w:ascii="Times New Roman" w:hAnsi="Times New Roman" w:cs="Times New Roman"/>
          <w:color w:val="000000"/>
          <w:sz w:val="19"/>
          <w:szCs w:val="19"/>
        </w:rPr>
        <w:br/>
      </w:r>
      <w:r w:rsidRPr="0015088A">
        <w:rPr>
          <w:rFonts w:ascii="Times New Roman" w:hAnsi="Times New Roman" w:cs="Times New Roman"/>
          <w:color w:val="000000"/>
          <w:sz w:val="29"/>
          <w:szCs w:val="29"/>
          <w:shd w:val="clear" w:color="auto" w:fill="FFFFFF"/>
        </w:rPr>
        <w:t>We are pleased to inform you that the Palestinian Central Bureau of Statistics (PCBS) has launched an electronic platform ( Data Hub) in response to the COVID-19 pandemic. The hub includes indicators related to the pandemic and its impact on the Palestinian community.</w:t>
      </w:r>
    </w:p>
    <w:p w:rsidR="0015088A" w:rsidRDefault="0015088A" w:rsidP="0015088A">
      <w:pPr>
        <w:tabs>
          <w:tab w:val="left" w:pos="5102"/>
        </w:tabs>
        <w:bidi w:val="0"/>
        <w:spacing w:after="0" w:line="240" w:lineRule="auto"/>
        <w:jc w:val="both"/>
        <w:rPr>
          <w:rFonts w:ascii="Times New Roman" w:hAnsi="Times New Roman" w:cs="Times New Roman"/>
          <w:color w:val="000000"/>
          <w:sz w:val="29"/>
          <w:szCs w:val="29"/>
          <w:shd w:val="clear" w:color="auto" w:fill="FFFFFF"/>
        </w:rPr>
      </w:pPr>
      <w:r w:rsidRPr="0015088A">
        <w:rPr>
          <w:rFonts w:ascii="Times New Roman" w:hAnsi="Times New Roman" w:cs="Times New Roman"/>
          <w:color w:val="000000"/>
          <w:sz w:val="19"/>
          <w:szCs w:val="19"/>
        </w:rPr>
        <w:br/>
      </w:r>
      <w:r w:rsidRPr="0015088A">
        <w:rPr>
          <w:rFonts w:ascii="Times New Roman" w:hAnsi="Times New Roman" w:cs="Times New Roman"/>
          <w:color w:val="000000"/>
          <w:sz w:val="29"/>
          <w:szCs w:val="29"/>
          <w:shd w:val="clear" w:color="auto" w:fill="FFFFFF"/>
        </w:rPr>
        <w:t>The most prominent indicators include continuously updated data on active cases, recorded cases, death cases, and recovery cases (governorate and sex disaggregated). Other indicators include impact on the Palestinian community, economic losses and effects on labor market , in addition to several indicators represented in maps. The hub also provides support and awareness information to the public and data users.</w:t>
      </w:r>
    </w:p>
    <w:p w:rsidR="0015088A" w:rsidRPr="00C44DB9" w:rsidRDefault="0015088A" w:rsidP="0015088A">
      <w:pPr>
        <w:tabs>
          <w:tab w:val="left" w:pos="5102"/>
        </w:tabs>
        <w:bidi w:val="0"/>
        <w:spacing w:after="0" w:line="240" w:lineRule="auto"/>
        <w:jc w:val="center"/>
        <w:rPr>
          <w:rFonts w:ascii="Times New Roman" w:hAnsi="Times New Roman" w:cs="Times New Roman"/>
          <w:b/>
          <w:bCs/>
          <w:color w:val="000000"/>
          <w:sz w:val="32"/>
          <w:szCs w:val="32"/>
          <w:rtl/>
        </w:rPr>
      </w:pPr>
      <w:r w:rsidRPr="003E41D5">
        <w:rPr>
          <w:rFonts w:ascii="Times New Roman" w:hAnsi="Times New Roman" w:cs="Times New Roman"/>
          <w:b/>
          <w:bCs/>
          <w:color w:val="000000"/>
          <w:sz w:val="32"/>
          <w:szCs w:val="32"/>
        </w:rPr>
        <w:br/>
      </w:r>
      <w:r w:rsidRPr="003E41D5">
        <w:rPr>
          <w:rFonts w:ascii="Times New Roman" w:hAnsi="Times New Roman" w:cs="Times New Roman"/>
          <w:b/>
          <w:bCs/>
          <w:color w:val="000000"/>
          <w:sz w:val="32"/>
          <w:szCs w:val="32"/>
          <w:shd w:val="clear" w:color="auto" w:fill="FFFFFF"/>
        </w:rPr>
        <w:t>The hub is accessible through the link</w:t>
      </w:r>
      <w:r w:rsidRPr="003E41D5">
        <w:rPr>
          <w:rFonts w:ascii="Times New Roman" w:hAnsi="Times New Roman" w:cs="Times New Roman"/>
          <w:b/>
          <w:bCs/>
          <w:color w:val="000000"/>
          <w:sz w:val="32"/>
          <w:szCs w:val="32"/>
          <w:shd w:val="clear" w:color="auto" w:fill="FFFFFF"/>
          <w:rtl/>
        </w:rPr>
        <w:t>:</w:t>
      </w:r>
    </w:p>
    <w:p w:rsidR="00C44DB9" w:rsidRPr="00C44DB9" w:rsidRDefault="00C44DB9" w:rsidP="0015088A">
      <w:pPr>
        <w:spacing w:after="0" w:line="240" w:lineRule="auto"/>
        <w:jc w:val="center"/>
        <w:rPr>
          <w:rFonts w:ascii="Times New Roman" w:eastAsia="Times New Roman" w:hAnsi="Times New Roman" w:cs="Times New Roman"/>
          <w:b/>
          <w:bCs/>
          <w:color w:val="FF0000"/>
          <w:sz w:val="32"/>
          <w:szCs w:val="32"/>
          <w:rtl/>
        </w:rPr>
      </w:pPr>
      <w:hyperlink r:id="rId5" w:tgtFrame="_blank" w:history="1">
        <w:r w:rsidRPr="003E41D5">
          <w:rPr>
            <w:rFonts w:ascii="Times New Roman" w:eastAsia="Times New Roman" w:hAnsi="Times New Roman" w:cs="Times New Roman"/>
            <w:b/>
            <w:bCs/>
            <w:color w:val="FF0000"/>
            <w:sz w:val="32"/>
            <w:szCs w:val="32"/>
            <w:u w:val="single"/>
          </w:rPr>
          <w:t>https://pcbs-coronavirus-response-pcbs.hub.arcgis.com/</w:t>
        </w:r>
      </w:hyperlink>
    </w:p>
    <w:p w:rsidR="00C44DB9" w:rsidRPr="00C44DB9" w:rsidRDefault="00C44DB9" w:rsidP="0015088A">
      <w:pPr>
        <w:spacing w:after="0" w:line="240" w:lineRule="auto"/>
        <w:jc w:val="center"/>
        <w:rPr>
          <w:rFonts w:ascii="Times New Roman" w:eastAsia="Times New Roman" w:hAnsi="Times New Roman" w:cs="Times New Roman"/>
          <w:color w:val="000000"/>
          <w:sz w:val="32"/>
          <w:szCs w:val="32"/>
          <w:rtl/>
        </w:rPr>
      </w:pPr>
    </w:p>
    <w:p w:rsidR="005E0589" w:rsidRDefault="005E0589">
      <w:pPr>
        <w:rPr>
          <w:rFonts w:hint="cs"/>
        </w:rPr>
      </w:pPr>
    </w:p>
    <w:sectPr w:rsidR="005E0589" w:rsidSect="00F92EAD">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44DB9"/>
    <w:rsid w:val="00037745"/>
    <w:rsid w:val="0015088A"/>
    <w:rsid w:val="00172EC0"/>
    <w:rsid w:val="001D5C18"/>
    <w:rsid w:val="00292C3B"/>
    <w:rsid w:val="003B7076"/>
    <w:rsid w:val="003E41D5"/>
    <w:rsid w:val="005713A0"/>
    <w:rsid w:val="005E0589"/>
    <w:rsid w:val="00841A34"/>
    <w:rsid w:val="00A52EAD"/>
    <w:rsid w:val="00BB7C7A"/>
    <w:rsid w:val="00C1613E"/>
    <w:rsid w:val="00C44DB9"/>
    <w:rsid w:val="00DC54FF"/>
    <w:rsid w:val="00E9097F"/>
    <w:rsid w:val="00F92EA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589"/>
    <w:pPr>
      <w:bidi/>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4DB9"/>
    <w:rPr>
      <w:color w:val="0000FF"/>
      <w:u w:val="single"/>
    </w:rPr>
  </w:style>
</w:styles>
</file>

<file path=word/webSettings.xml><?xml version="1.0" encoding="utf-8"?>
<w:webSettings xmlns:r="http://schemas.openxmlformats.org/officeDocument/2006/relationships" xmlns:w="http://schemas.openxmlformats.org/wordprocessingml/2006/main">
  <w:divs>
    <w:div w:id="1649674946">
      <w:bodyDiv w:val="1"/>
      <w:marLeft w:val="0"/>
      <w:marRight w:val="0"/>
      <w:marTop w:val="0"/>
      <w:marBottom w:val="0"/>
      <w:divBdr>
        <w:top w:val="none" w:sz="0" w:space="0" w:color="auto"/>
        <w:left w:val="none" w:sz="0" w:space="0" w:color="auto"/>
        <w:bottom w:val="none" w:sz="0" w:space="0" w:color="auto"/>
        <w:right w:val="none" w:sz="0" w:space="0" w:color="auto"/>
      </w:divBdr>
      <w:divsChild>
        <w:div w:id="1194616395">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ebmail.pcbs.gov.ps/owa/redir.aspx?C=G5c2pmYskkLdvcFhbEExBKYtAwIWbcKymeOZC_Qmk6hXBVGLNvzXCA..&amp;URL=https%3a%2f%2fpcbs-coronavirus-response-pcbs.hub.arcgis.com%2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1075</CharactersWithSpaces>
  <SharedDoc>false</SharedDoc>
  <HLinks>
    <vt:vector size="6" baseType="variant">
      <vt:variant>
        <vt:i4>5832810</vt:i4>
      </vt:variant>
      <vt:variant>
        <vt:i4>3</vt:i4>
      </vt:variant>
      <vt:variant>
        <vt:i4>0</vt:i4>
      </vt:variant>
      <vt:variant>
        <vt:i4>5</vt:i4>
      </vt:variant>
      <vt:variant>
        <vt:lpwstr>https://webmail.pcbs.gov.ps/owa/redir.aspx?C=G5c2pmYskkLdvcFhbEExBKYtAwIWbcKymeOZC_Qmk6hXBVGLNvzXCA..&amp;URL=https%3a%2f%2fpcbs-coronavirus-response-pcbs.hub.arcgis.com%2f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pcbs</dc:creator>
  <cp:lastModifiedBy>adwikat</cp:lastModifiedBy>
  <cp:revision>2</cp:revision>
  <dcterms:created xsi:type="dcterms:W3CDTF">2020-05-19T22:12:00Z</dcterms:created>
  <dcterms:modified xsi:type="dcterms:W3CDTF">2020-05-19T22:12:00Z</dcterms:modified>
</cp:coreProperties>
</file>