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08" w:rsidRDefault="00A92A08" w:rsidP="00A92A08">
      <w:pPr>
        <w:pStyle w:val="Heading1"/>
        <w:jc w:val="center"/>
        <w:rPr>
          <w:sz w:val="32"/>
          <w:szCs w:val="32"/>
        </w:rPr>
      </w:pPr>
    </w:p>
    <w:p w:rsidR="00A92A08" w:rsidRPr="00A92A08" w:rsidRDefault="00A92A08" w:rsidP="00A92A08">
      <w:pPr>
        <w:pStyle w:val="Heading1"/>
        <w:jc w:val="center"/>
        <w:rPr>
          <w:sz w:val="32"/>
          <w:szCs w:val="32"/>
        </w:rPr>
      </w:pPr>
      <w:r w:rsidRPr="00A92A08">
        <w:rPr>
          <w:sz w:val="32"/>
          <w:szCs w:val="32"/>
        </w:rPr>
        <w:t>Palestinian Central Bureau of Statistics (PCBS)</w:t>
      </w:r>
    </w:p>
    <w:p w:rsidR="00A92A08" w:rsidRPr="00A92A08" w:rsidRDefault="00A92A08" w:rsidP="00A92A08">
      <w:pPr>
        <w:bidi w:val="0"/>
        <w:jc w:val="center"/>
        <w:rPr>
          <w:rFonts w:eastAsiaTheme="minorHAnsi"/>
          <w:b/>
          <w:bCs/>
          <w:sz w:val="16"/>
          <w:szCs w:val="16"/>
          <w:rtl/>
        </w:rPr>
      </w:pPr>
    </w:p>
    <w:p w:rsidR="00A92A08" w:rsidRPr="000813DE" w:rsidRDefault="00A92A08" w:rsidP="00A92A08">
      <w:pPr>
        <w:bidi w:val="0"/>
        <w:jc w:val="center"/>
        <w:rPr>
          <w:b/>
          <w:bCs/>
          <w:sz w:val="28"/>
          <w:szCs w:val="28"/>
        </w:rPr>
      </w:pPr>
      <w:r w:rsidRPr="000813DE">
        <w:rPr>
          <w:b/>
          <w:bCs/>
          <w:sz w:val="28"/>
          <w:szCs w:val="28"/>
        </w:rPr>
        <w:t xml:space="preserve">Palestinian Wholesale Price Index, during </w:t>
      </w:r>
      <w:r w:rsidRPr="000813DE">
        <w:rPr>
          <w:rFonts w:hint="cs"/>
          <w:b/>
          <w:bCs/>
          <w:sz w:val="28"/>
          <w:szCs w:val="28"/>
          <w:rtl/>
        </w:rPr>
        <w:t>2018</w:t>
      </w:r>
      <w:r w:rsidRPr="000813DE">
        <w:rPr>
          <w:b/>
          <w:bCs/>
          <w:sz w:val="28"/>
          <w:szCs w:val="28"/>
        </w:rPr>
        <w:t xml:space="preserve"> &amp; Fourth Quarter of 2018</w:t>
      </w:r>
    </w:p>
    <w:p w:rsidR="00A92A08" w:rsidRDefault="00A92A08" w:rsidP="00352CB9">
      <w:pPr>
        <w:bidi w:val="0"/>
        <w:jc w:val="both"/>
        <w:outlineLvl w:val="1"/>
        <w:rPr>
          <w:b/>
          <w:bCs/>
          <w:color w:val="000000"/>
        </w:rPr>
      </w:pPr>
    </w:p>
    <w:p w:rsidR="00ED16E5" w:rsidRPr="00A92A08" w:rsidRDefault="00ED16E5" w:rsidP="00A92A08">
      <w:pPr>
        <w:bidi w:val="0"/>
        <w:jc w:val="both"/>
        <w:outlineLvl w:val="1"/>
        <w:rPr>
          <w:b/>
          <w:bCs/>
          <w:sz w:val="26"/>
          <w:szCs w:val="26"/>
        </w:rPr>
      </w:pPr>
      <w:r w:rsidRPr="00A92A08">
        <w:rPr>
          <w:b/>
          <w:bCs/>
          <w:color w:val="000000"/>
          <w:sz w:val="26"/>
          <w:szCs w:val="26"/>
        </w:rPr>
        <w:t>Increase in</w:t>
      </w:r>
      <w:r w:rsidRPr="00A92A08">
        <w:rPr>
          <w:b/>
          <w:bCs/>
          <w:sz w:val="26"/>
          <w:szCs w:val="26"/>
        </w:rPr>
        <w:t xml:space="preserve"> the Wholesale Price</w:t>
      </w:r>
      <w:r w:rsidRPr="00A92A08">
        <w:rPr>
          <w:sz w:val="26"/>
          <w:szCs w:val="26"/>
          <w:vertAlign w:val="superscript"/>
        </w:rPr>
        <w:t>1</w:t>
      </w:r>
      <w:r w:rsidRPr="00A92A08">
        <w:rPr>
          <w:b/>
          <w:bCs/>
          <w:sz w:val="26"/>
          <w:szCs w:val="26"/>
        </w:rPr>
        <w:t xml:space="preserve"> Index (WPI) During</w:t>
      </w:r>
      <w:r w:rsidRPr="00A92A08">
        <w:rPr>
          <w:b/>
          <w:bCs/>
          <w:kern w:val="36"/>
          <w:sz w:val="26"/>
          <w:szCs w:val="26"/>
        </w:rPr>
        <w:t xml:space="preserve"> 2018</w:t>
      </w:r>
    </w:p>
    <w:p w:rsidR="00A92A08" w:rsidRDefault="00A92A08" w:rsidP="000441A2">
      <w:pPr>
        <w:bidi w:val="0"/>
        <w:jc w:val="both"/>
        <w:rPr>
          <w:b/>
          <w:bCs/>
          <w:color w:val="000000"/>
          <w:sz w:val="16"/>
          <w:szCs w:val="16"/>
        </w:rPr>
      </w:pPr>
    </w:p>
    <w:p w:rsidR="00677C79" w:rsidRPr="00AE3EE7" w:rsidRDefault="00677C79" w:rsidP="00A92A08">
      <w:pPr>
        <w:bidi w:val="0"/>
        <w:jc w:val="both"/>
      </w:pPr>
      <w:r w:rsidRPr="00AE3EE7">
        <w:t xml:space="preserve">The </w:t>
      </w:r>
      <w:r w:rsidRPr="00AE3EE7">
        <w:rPr>
          <w:b/>
          <w:bCs/>
        </w:rPr>
        <w:t>overall Wholesale Price Index (WPI) in Palestine</w:t>
      </w:r>
      <w:r w:rsidRPr="00AE3EE7">
        <w:t xml:space="preserve"> with its base year (2007=100) reached </w:t>
      </w:r>
      <w:r w:rsidR="00234FC5">
        <w:t>125.47</w:t>
      </w:r>
      <w:r w:rsidRPr="00AE3EE7">
        <w:t xml:space="preserve"> </w:t>
      </w:r>
      <w:r w:rsidRPr="00AE3EE7">
        <w:rPr>
          <w:b/>
          <w:bCs/>
        </w:rPr>
        <w:t xml:space="preserve">in </w:t>
      </w:r>
      <w:r w:rsidR="000441A2">
        <w:rPr>
          <w:b/>
          <w:bCs/>
        </w:rPr>
        <w:t>2018</w:t>
      </w:r>
      <w:r w:rsidRPr="00AE3EE7">
        <w:t xml:space="preserve">, </w:t>
      </w:r>
      <w:r>
        <w:t>which indicates a</w:t>
      </w:r>
      <w:r w:rsidR="00234FC5">
        <w:t>n</w:t>
      </w:r>
      <w:r w:rsidRPr="00AE3EE7">
        <w:t xml:space="preserve"> </w:t>
      </w:r>
      <w:r w:rsidR="00234FC5">
        <w:rPr>
          <w:b/>
          <w:bCs/>
        </w:rPr>
        <w:t>increase</w:t>
      </w:r>
      <w:r w:rsidRPr="00AE3EE7">
        <w:rPr>
          <w:b/>
          <w:bCs/>
        </w:rPr>
        <w:t xml:space="preserve"> by </w:t>
      </w:r>
      <w:r w:rsidR="00234FC5">
        <w:rPr>
          <w:b/>
          <w:bCs/>
        </w:rPr>
        <w:t>1.05</w:t>
      </w:r>
      <w:r w:rsidRPr="00AE3EE7">
        <w:rPr>
          <w:b/>
          <w:bCs/>
        </w:rPr>
        <w:t>%</w:t>
      </w:r>
      <w:r w:rsidRPr="00AE3EE7">
        <w:t xml:space="preserve"> </w:t>
      </w:r>
      <w:r w:rsidRPr="00AE3EE7">
        <w:rPr>
          <w:b/>
          <w:bCs/>
        </w:rPr>
        <w:t xml:space="preserve">compared with </w:t>
      </w:r>
      <w:r>
        <w:rPr>
          <w:b/>
          <w:bCs/>
        </w:rPr>
        <w:t>201</w:t>
      </w:r>
      <w:r w:rsidR="00234FC5">
        <w:rPr>
          <w:b/>
          <w:bCs/>
        </w:rPr>
        <w:t>7</w:t>
      </w:r>
      <w:r w:rsidRPr="00AE3EE7">
        <w:t>.</w:t>
      </w:r>
    </w:p>
    <w:p w:rsidR="00677C79" w:rsidRPr="00A92A08" w:rsidRDefault="00677C79" w:rsidP="00ED16E5">
      <w:pPr>
        <w:bidi w:val="0"/>
        <w:jc w:val="both"/>
        <w:outlineLvl w:val="1"/>
        <w:rPr>
          <w:b/>
          <w:bCs/>
          <w:color w:val="000000"/>
          <w:sz w:val="16"/>
          <w:szCs w:val="16"/>
        </w:rPr>
      </w:pPr>
    </w:p>
    <w:p w:rsidR="00677C79" w:rsidRPr="00AE3EE7" w:rsidRDefault="00677C79" w:rsidP="00246756">
      <w:pPr>
        <w:bidi w:val="0"/>
        <w:jc w:val="both"/>
      </w:pPr>
      <w:r w:rsidRPr="00AE3EE7">
        <w:t xml:space="preserve">Prices of WPI for </w:t>
      </w:r>
      <w:r w:rsidR="00234FC5">
        <w:t>2018</w:t>
      </w:r>
      <w:r w:rsidRPr="00AE3EE7">
        <w:t xml:space="preserve"> </w:t>
      </w:r>
      <w:r w:rsidR="00234FC5">
        <w:t>in</w:t>
      </w:r>
      <w:r w:rsidRPr="00AE3EE7">
        <w:t xml:space="preserve">creased due to the </w:t>
      </w:r>
      <w:r w:rsidR="00234FC5">
        <w:t>in</w:t>
      </w:r>
      <w:r w:rsidRPr="00AE3EE7">
        <w:t xml:space="preserve">crease in the prices of </w:t>
      </w:r>
      <w:r w:rsidRPr="00AE3EE7">
        <w:rPr>
          <w:b/>
          <w:bCs/>
        </w:rPr>
        <w:t xml:space="preserve">Fishing goods by </w:t>
      </w:r>
      <w:r w:rsidR="00234FC5">
        <w:rPr>
          <w:b/>
          <w:bCs/>
        </w:rPr>
        <w:t>7.79</w:t>
      </w:r>
      <w:r w:rsidRPr="00AE3EE7">
        <w:rPr>
          <w:b/>
          <w:bCs/>
        </w:rPr>
        <w:t>%</w:t>
      </w:r>
      <w:r w:rsidRPr="00AE3EE7">
        <w:t xml:space="preserve">, </w:t>
      </w:r>
      <w:r w:rsidRPr="00AE3EE7">
        <w:rPr>
          <w:b/>
          <w:bCs/>
        </w:rPr>
        <w:t xml:space="preserve">Agriculture goods by </w:t>
      </w:r>
      <w:r w:rsidR="00234FC5">
        <w:rPr>
          <w:b/>
          <w:bCs/>
        </w:rPr>
        <w:t>5.14</w:t>
      </w:r>
      <w:r w:rsidRPr="00AE3EE7">
        <w:rPr>
          <w:b/>
          <w:bCs/>
        </w:rPr>
        <w:t>%</w:t>
      </w:r>
      <w:r w:rsidR="00234FC5">
        <w:t>, while</w:t>
      </w:r>
      <w:r w:rsidRPr="00AE3EE7">
        <w:t xml:space="preserve"> the prices of goods in </w:t>
      </w:r>
      <w:r w:rsidR="00246756" w:rsidRPr="00AE3EE7">
        <w:rPr>
          <w:b/>
          <w:bCs/>
        </w:rPr>
        <w:t xml:space="preserve">Mining and quarrying group </w:t>
      </w:r>
      <w:r w:rsidR="00246756">
        <w:rPr>
          <w:b/>
          <w:bCs/>
        </w:rPr>
        <w:t xml:space="preserve">decreased </w:t>
      </w:r>
      <w:r w:rsidRPr="00AE3EE7">
        <w:rPr>
          <w:b/>
          <w:bCs/>
        </w:rPr>
        <w:t xml:space="preserve">by </w:t>
      </w:r>
      <w:r w:rsidR="00246756">
        <w:rPr>
          <w:b/>
          <w:bCs/>
        </w:rPr>
        <w:t>2.46</w:t>
      </w:r>
      <w:r w:rsidRPr="00AE3EE7">
        <w:rPr>
          <w:b/>
          <w:bCs/>
        </w:rPr>
        <w:t>%</w:t>
      </w:r>
      <w:r w:rsidR="00246756">
        <w:t>, and</w:t>
      </w:r>
      <w:r w:rsidR="00246756" w:rsidRPr="00246756">
        <w:rPr>
          <w:b/>
          <w:bCs/>
        </w:rPr>
        <w:t xml:space="preserve"> </w:t>
      </w:r>
      <w:r w:rsidR="00246756" w:rsidRPr="00AE3EE7">
        <w:rPr>
          <w:b/>
          <w:bCs/>
        </w:rPr>
        <w:t>Manufacturing group</w:t>
      </w:r>
      <w:r w:rsidRPr="00AE3EE7">
        <w:rPr>
          <w:b/>
          <w:bCs/>
        </w:rPr>
        <w:t xml:space="preserve"> by </w:t>
      </w:r>
      <w:r w:rsidR="00246756">
        <w:rPr>
          <w:b/>
          <w:bCs/>
        </w:rPr>
        <w:t>0.75</w:t>
      </w:r>
      <w:r w:rsidRPr="00AE3EE7">
        <w:rPr>
          <w:b/>
          <w:bCs/>
        </w:rPr>
        <w:t>%</w:t>
      </w:r>
      <w:r w:rsidRPr="00AE3EE7">
        <w:t>.</w:t>
      </w:r>
    </w:p>
    <w:p w:rsidR="00677C79" w:rsidRPr="00A92A08" w:rsidRDefault="00677C79" w:rsidP="00677C79">
      <w:pPr>
        <w:jc w:val="both"/>
        <w:rPr>
          <w:sz w:val="16"/>
          <w:szCs w:val="16"/>
        </w:rPr>
      </w:pPr>
    </w:p>
    <w:p w:rsidR="00677C79" w:rsidRDefault="00677C79" w:rsidP="00677C79">
      <w:pPr>
        <w:bidi w:val="0"/>
        <w:jc w:val="both"/>
        <w:rPr>
          <w:b/>
          <w:bCs/>
        </w:rPr>
      </w:pPr>
      <w:r w:rsidRPr="00AE3EE7">
        <w:t xml:space="preserve">The prices of local products </w:t>
      </w:r>
      <w:r w:rsidR="00246756">
        <w:t>in</w:t>
      </w:r>
      <w:r w:rsidRPr="00AE3EE7">
        <w:t xml:space="preserve">creased by </w:t>
      </w:r>
      <w:r w:rsidR="00246756">
        <w:t>1.39</w:t>
      </w:r>
      <w:r w:rsidRPr="00AE3EE7">
        <w:t xml:space="preserve">%, </w:t>
      </w:r>
      <w:r w:rsidR="00246756">
        <w:t>and</w:t>
      </w:r>
      <w:r w:rsidRPr="00AE3EE7">
        <w:t xml:space="preserve"> the prices of imported products increased by </w:t>
      </w:r>
      <w:r w:rsidR="00246756">
        <w:t>0.20</w:t>
      </w:r>
      <w:r w:rsidRPr="00AE3EE7">
        <w:t>%</w:t>
      </w:r>
      <w:r w:rsidRPr="00AE3EE7">
        <w:rPr>
          <w:b/>
          <w:bCs/>
        </w:rPr>
        <w:t xml:space="preserve"> </w:t>
      </w:r>
      <w:r w:rsidRPr="00AE3EE7">
        <w:t>compared with the previous year.</w:t>
      </w:r>
    </w:p>
    <w:p w:rsidR="000813DE" w:rsidRDefault="00D46644" w:rsidP="00A92A08">
      <w:pPr>
        <w:bidi w:val="0"/>
        <w:jc w:val="center"/>
        <w:rPr>
          <w:b/>
          <w:bCs/>
          <w:sz w:val="26"/>
          <w:szCs w:val="26"/>
        </w:rPr>
      </w:pPr>
      <w:r w:rsidRPr="00A92A08">
        <w:rPr>
          <w:b/>
          <w:bCs/>
          <w:sz w:val="26"/>
          <w:szCs w:val="26"/>
        </w:rPr>
        <w:t xml:space="preserve">Yearly Percent Change in the Wholesale Price Index in Palestine </w:t>
      </w:r>
    </w:p>
    <w:p w:rsidR="00A92A08" w:rsidRPr="000813DE" w:rsidRDefault="00D46644" w:rsidP="000813DE">
      <w:pPr>
        <w:bidi w:val="0"/>
        <w:jc w:val="center"/>
        <w:rPr>
          <w:b/>
          <w:bCs/>
          <w:sz w:val="26"/>
          <w:szCs w:val="26"/>
        </w:rPr>
      </w:pPr>
      <w:r w:rsidRPr="00A92A08">
        <w:rPr>
          <w:b/>
          <w:bCs/>
          <w:sz w:val="26"/>
          <w:szCs w:val="26"/>
        </w:rPr>
        <w:t>for 2007 – 2018</w:t>
      </w:r>
    </w:p>
    <w:tbl>
      <w:tblPr>
        <w:tblStyle w:val="TableGrid"/>
        <w:tblW w:w="0" w:type="auto"/>
        <w:jc w:val="center"/>
        <w:tblInd w:w="-572" w:type="dxa"/>
        <w:tblLayout w:type="fixed"/>
        <w:tblLook w:val="04A0"/>
      </w:tblPr>
      <w:tblGrid>
        <w:gridCol w:w="4476"/>
      </w:tblGrid>
      <w:tr w:rsidR="00001E72" w:rsidTr="000813DE">
        <w:trPr>
          <w:jc w:val="center"/>
        </w:trPr>
        <w:tc>
          <w:tcPr>
            <w:tcW w:w="4476" w:type="dxa"/>
          </w:tcPr>
          <w:p w:rsidR="00001E72" w:rsidRDefault="00001E72" w:rsidP="00A92A08">
            <w:pPr>
              <w:bidi w:val="0"/>
              <w:rPr>
                <w:b/>
                <w:bCs/>
              </w:rPr>
            </w:pPr>
            <w:r w:rsidRPr="00001E72">
              <w:rPr>
                <w:b/>
                <w:bCs/>
                <w:noProof/>
                <w:lang w:eastAsia="en-US"/>
              </w:rPr>
              <w:drawing>
                <wp:inline distT="0" distB="0" distL="0" distR="0">
                  <wp:extent cx="2743200" cy="2295525"/>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A92A08" w:rsidRDefault="00170995" w:rsidP="00CF232C">
      <w:pPr>
        <w:autoSpaceDE w:val="0"/>
        <w:autoSpaceDN w:val="0"/>
        <w:bidi w:val="0"/>
        <w:adjustRightInd w:val="0"/>
        <w:jc w:val="center"/>
        <w:rPr>
          <w:b/>
          <w:bCs/>
          <w:snapToGrid w:val="0"/>
          <w:sz w:val="26"/>
          <w:szCs w:val="26"/>
        </w:rPr>
      </w:pPr>
      <w:r w:rsidRPr="00A92A08">
        <w:rPr>
          <w:b/>
          <w:bCs/>
          <w:snapToGrid w:val="0"/>
          <w:sz w:val="26"/>
          <w:szCs w:val="26"/>
        </w:rPr>
        <w:t>The table shows yearly percent changes in WPI by source of g</w:t>
      </w:r>
      <w:r w:rsidR="00AB6BEB" w:rsidRPr="00A92A08">
        <w:rPr>
          <w:b/>
          <w:bCs/>
          <w:snapToGrid w:val="0"/>
          <w:sz w:val="26"/>
          <w:szCs w:val="26"/>
        </w:rPr>
        <w:t xml:space="preserve">oods in Palestine </w:t>
      </w:r>
    </w:p>
    <w:p w:rsidR="00A92A08" w:rsidRPr="000813DE" w:rsidRDefault="00AB6BEB" w:rsidP="000813DE">
      <w:pPr>
        <w:autoSpaceDE w:val="0"/>
        <w:autoSpaceDN w:val="0"/>
        <w:bidi w:val="0"/>
        <w:adjustRightInd w:val="0"/>
        <w:jc w:val="center"/>
        <w:rPr>
          <w:b/>
          <w:bCs/>
          <w:snapToGrid w:val="0"/>
          <w:sz w:val="26"/>
          <w:szCs w:val="26"/>
        </w:rPr>
      </w:pPr>
      <w:r w:rsidRPr="00A92A08">
        <w:rPr>
          <w:b/>
          <w:bCs/>
          <w:snapToGrid w:val="0"/>
          <w:sz w:val="26"/>
          <w:szCs w:val="26"/>
        </w:rPr>
        <w:t>for the years</w:t>
      </w:r>
      <w:r w:rsidR="00170995" w:rsidRPr="00A92A08">
        <w:rPr>
          <w:b/>
          <w:bCs/>
          <w:snapToGrid w:val="0"/>
          <w:sz w:val="26"/>
          <w:szCs w:val="26"/>
        </w:rPr>
        <w:t xml:space="preserve"> 2007 – 2018:</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560"/>
      </w:tblGrid>
      <w:tr w:rsidR="004814A7" w:rsidRPr="00A92A08" w:rsidTr="00A92A08">
        <w:trPr>
          <w:trHeight w:val="397"/>
          <w:jc w:val="center"/>
        </w:trPr>
        <w:tc>
          <w:tcPr>
            <w:tcW w:w="959" w:type="dxa"/>
            <w:vMerge w:val="restart"/>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Year</w:t>
            </w:r>
          </w:p>
        </w:tc>
        <w:tc>
          <w:tcPr>
            <w:tcW w:w="4111" w:type="dxa"/>
            <w:gridSpan w:val="3"/>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Percent Change</w:t>
            </w:r>
          </w:p>
        </w:tc>
      </w:tr>
      <w:tr w:rsidR="004814A7" w:rsidRPr="00A92A08" w:rsidTr="00A92A08">
        <w:trPr>
          <w:trHeight w:val="240"/>
          <w:jc w:val="center"/>
        </w:trPr>
        <w:tc>
          <w:tcPr>
            <w:tcW w:w="959" w:type="dxa"/>
            <w:vMerge/>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p>
        </w:tc>
        <w:tc>
          <w:tcPr>
            <w:tcW w:w="1276" w:type="dxa"/>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Local</w:t>
            </w:r>
          </w:p>
        </w:tc>
        <w:tc>
          <w:tcPr>
            <w:tcW w:w="1275" w:type="dxa"/>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Import</w:t>
            </w:r>
          </w:p>
        </w:tc>
        <w:tc>
          <w:tcPr>
            <w:tcW w:w="1560" w:type="dxa"/>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Total</w:t>
            </w:r>
          </w:p>
        </w:tc>
      </w:tr>
      <w:tr w:rsidR="004814A7" w:rsidRPr="00A92A08" w:rsidTr="00A92A08">
        <w:trPr>
          <w:trHeight w:val="244"/>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2007</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+ 2.96</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+ 3.21</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+ 3.08</w:t>
            </w:r>
          </w:p>
        </w:tc>
      </w:tr>
      <w:tr w:rsidR="004814A7" w:rsidRPr="00A92A08" w:rsidTr="00A92A08">
        <w:trPr>
          <w:trHeight w:val="235"/>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2008</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+ 9.36</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+ 12.01</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+ 10.71</w:t>
            </w:r>
          </w:p>
        </w:tc>
      </w:tr>
      <w:tr w:rsidR="004814A7" w:rsidRPr="00A92A08" w:rsidTr="00A92A08">
        <w:trPr>
          <w:trHeight w:val="224"/>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2009</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+ 1.82</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- 2.23</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- 0.67</w:t>
            </w:r>
          </w:p>
        </w:tc>
      </w:tr>
      <w:tr w:rsidR="004814A7" w:rsidRPr="00A92A08" w:rsidTr="00A92A08">
        <w:trPr>
          <w:trHeight w:val="214"/>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2010</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+ 4.91</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+ 2.92</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+ 3.70</w:t>
            </w:r>
          </w:p>
        </w:tc>
      </w:tr>
      <w:tr w:rsidR="004814A7" w:rsidRPr="00A92A08" w:rsidTr="00A92A08">
        <w:trPr>
          <w:trHeight w:val="218"/>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2011</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+ 3.08</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+ 4.70</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+ 3.76</w:t>
            </w:r>
          </w:p>
        </w:tc>
      </w:tr>
      <w:tr w:rsidR="004814A7" w:rsidRPr="00A92A08" w:rsidTr="00A92A08">
        <w:trPr>
          <w:trHeight w:val="81"/>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2012</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- 1.08</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+ 2.19</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+ 0.93</w:t>
            </w:r>
          </w:p>
        </w:tc>
      </w:tr>
      <w:tr w:rsidR="004814A7" w:rsidRPr="00A92A08" w:rsidTr="00A92A08">
        <w:trPr>
          <w:trHeight w:val="212"/>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2013</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- 0.39</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+ 0.79</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+ 0.78</w:t>
            </w:r>
          </w:p>
        </w:tc>
      </w:tr>
      <w:tr w:rsidR="004814A7" w:rsidRPr="00A92A08" w:rsidTr="00A92A08">
        <w:trPr>
          <w:trHeight w:val="216"/>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2014</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+ 0.84</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+ 2.52</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+ 1.48</w:t>
            </w:r>
          </w:p>
        </w:tc>
      </w:tr>
      <w:tr w:rsidR="004814A7" w:rsidRPr="00A92A08" w:rsidTr="00A92A08">
        <w:trPr>
          <w:trHeight w:val="220"/>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2015</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+ 4.26</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- 2.55</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+ 1.21</w:t>
            </w:r>
          </w:p>
        </w:tc>
      </w:tr>
      <w:tr w:rsidR="004814A7" w:rsidRPr="00A92A08" w:rsidTr="00A92A08">
        <w:trPr>
          <w:trHeight w:val="210"/>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2016</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+ 2.67</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+ 0.70</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+ 1.62</w:t>
            </w:r>
          </w:p>
        </w:tc>
      </w:tr>
      <w:tr w:rsidR="004814A7" w:rsidRPr="00A92A08" w:rsidTr="00A92A08">
        <w:trPr>
          <w:trHeight w:val="214"/>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2017</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- 1.58</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+ 0.21</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- 1.17</w:t>
            </w:r>
          </w:p>
        </w:tc>
      </w:tr>
      <w:tr w:rsidR="004814A7" w:rsidRPr="00A92A08" w:rsidTr="00A92A08">
        <w:trPr>
          <w:trHeight w:val="205"/>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2018</w:t>
            </w:r>
          </w:p>
        </w:tc>
        <w:tc>
          <w:tcPr>
            <w:tcW w:w="1276" w:type="dxa"/>
            <w:vAlign w:val="center"/>
          </w:tcPr>
          <w:p w:rsidR="004814A7" w:rsidRPr="00A92A08" w:rsidRDefault="005300FD"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+1.39</w:t>
            </w:r>
          </w:p>
        </w:tc>
        <w:tc>
          <w:tcPr>
            <w:tcW w:w="1275" w:type="dxa"/>
            <w:vAlign w:val="center"/>
          </w:tcPr>
          <w:p w:rsidR="004814A7" w:rsidRPr="00A92A08" w:rsidRDefault="005300FD"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+0.20</w:t>
            </w:r>
          </w:p>
        </w:tc>
        <w:tc>
          <w:tcPr>
            <w:tcW w:w="1560" w:type="dxa"/>
            <w:vAlign w:val="center"/>
          </w:tcPr>
          <w:p w:rsidR="004814A7" w:rsidRPr="00A92A08" w:rsidRDefault="005300FD" w:rsidP="00A92A08">
            <w:pPr>
              <w:autoSpaceDE w:val="0"/>
              <w:autoSpaceDN w:val="0"/>
              <w:adjustRightInd w:val="0"/>
              <w:jc w:val="center"/>
              <w:rPr>
                <w:rFonts w:asciiTheme="majorBidi" w:hAnsiTheme="majorBidi" w:cstheme="majorBidi"/>
                <w:snapToGrid w:val="0"/>
              </w:rPr>
            </w:pPr>
            <w:r w:rsidRPr="00A92A08">
              <w:rPr>
                <w:rFonts w:asciiTheme="majorBidi" w:hAnsiTheme="majorBidi" w:cstheme="majorBidi"/>
                <w:snapToGrid w:val="0"/>
              </w:rPr>
              <w:t>+1.05</w:t>
            </w:r>
          </w:p>
        </w:tc>
      </w:tr>
      <w:tr w:rsidR="004814A7" w:rsidRPr="00A92A08" w:rsidTr="00A92A08">
        <w:trPr>
          <w:trHeight w:val="208"/>
          <w:jc w:val="center"/>
        </w:trPr>
        <w:tc>
          <w:tcPr>
            <w:tcW w:w="959" w:type="dxa"/>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Cum.</w:t>
            </w:r>
          </w:p>
        </w:tc>
        <w:tc>
          <w:tcPr>
            <w:tcW w:w="1276" w:type="dxa"/>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 xml:space="preserve">+ </w:t>
            </w:r>
            <w:r w:rsidR="007119C4" w:rsidRPr="00A92A08">
              <w:rPr>
                <w:rFonts w:asciiTheme="majorBidi" w:hAnsiTheme="majorBidi" w:cstheme="majorBidi"/>
                <w:b/>
                <w:bCs/>
                <w:snapToGrid w:val="0"/>
              </w:rPr>
              <w:t>31.58</w:t>
            </w:r>
          </w:p>
        </w:tc>
        <w:tc>
          <w:tcPr>
            <w:tcW w:w="1275" w:type="dxa"/>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 xml:space="preserve">+ </w:t>
            </w:r>
            <w:r w:rsidR="007119C4" w:rsidRPr="00A92A08">
              <w:rPr>
                <w:rFonts w:asciiTheme="majorBidi" w:hAnsiTheme="majorBidi" w:cstheme="majorBidi"/>
                <w:b/>
                <w:bCs/>
                <w:snapToGrid w:val="0"/>
              </w:rPr>
              <w:t>26.71</w:t>
            </w:r>
          </w:p>
        </w:tc>
        <w:tc>
          <w:tcPr>
            <w:tcW w:w="1560" w:type="dxa"/>
            <w:vAlign w:val="center"/>
          </w:tcPr>
          <w:p w:rsidR="004814A7" w:rsidRPr="00A92A08" w:rsidRDefault="004814A7" w:rsidP="00A92A08">
            <w:pPr>
              <w:autoSpaceDE w:val="0"/>
              <w:autoSpaceDN w:val="0"/>
              <w:adjustRightInd w:val="0"/>
              <w:jc w:val="center"/>
              <w:rPr>
                <w:rFonts w:asciiTheme="majorBidi" w:hAnsiTheme="majorBidi" w:cstheme="majorBidi"/>
                <w:b/>
                <w:bCs/>
                <w:snapToGrid w:val="0"/>
              </w:rPr>
            </w:pPr>
            <w:r w:rsidRPr="00A92A08">
              <w:rPr>
                <w:rFonts w:asciiTheme="majorBidi" w:hAnsiTheme="majorBidi" w:cstheme="majorBidi"/>
                <w:b/>
                <w:bCs/>
                <w:snapToGrid w:val="0"/>
              </w:rPr>
              <w:t xml:space="preserve">+ </w:t>
            </w:r>
            <w:r w:rsidR="007119C4" w:rsidRPr="00A92A08">
              <w:rPr>
                <w:rFonts w:asciiTheme="majorBidi" w:hAnsiTheme="majorBidi" w:cstheme="majorBidi"/>
                <w:b/>
                <w:bCs/>
                <w:snapToGrid w:val="0"/>
              </w:rPr>
              <w:t>29.34</w:t>
            </w:r>
          </w:p>
        </w:tc>
      </w:tr>
    </w:tbl>
    <w:p w:rsidR="00CF232C" w:rsidRDefault="00CF232C" w:rsidP="00CF232C">
      <w:pPr>
        <w:pStyle w:val="BodyText2"/>
        <w:bidi w:val="0"/>
        <w:spacing w:after="0" w:line="360" w:lineRule="auto"/>
        <w:jc w:val="both"/>
        <w:outlineLvl w:val="0"/>
        <w:rPr>
          <w:rFonts w:hint="cs"/>
          <w:sz w:val="18"/>
          <w:szCs w:val="18"/>
          <w:vertAlign w:val="superscript"/>
          <w:rtl/>
        </w:rPr>
      </w:pPr>
      <w:r>
        <w:rPr>
          <w:rFonts w:hint="cs"/>
          <w:sz w:val="18"/>
          <w:szCs w:val="18"/>
          <w:vertAlign w:val="superscript"/>
          <w:rtl/>
        </w:rPr>
        <w:t>ــــــــــــــــــــــــــــــــــــــــــــــــــــــــــــــــــــــــــــــــــــــــــــــــــــــــ</w:t>
      </w:r>
    </w:p>
    <w:p w:rsidR="000813DE" w:rsidRPr="000813DE" w:rsidRDefault="000813DE" w:rsidP="00CF232C">
      <w:pPr>
        <w:pStyle w:val="BodyText2"/>
        <w:bidi w:val="0"/>
        <w:spacing w:after="0" w:line="360" w:lineRule="auto"/>
        <w:jc w:val="both"/>
        <w:outlineLvl w:val="0"/>
        <w:rPr>
          <w:sz w:val="18"/>
          <w:szCs w:val="18"/>
          <w:vertAlign w:val="superscript"/>
        </w:rPr>
      </w:pPr>
      <w:r w:rsidRPr="00022588">
        <w:rPr>
          <w:sz w:val="18"/>
          <w:szCs w:val="18"/>
          <w:vertAlign w:val="superscript"/>
        </w:rPr>
        <w:t>1</w:t>
      </w:r>
      <w:r w:rsidRPr="00022588">
        <w:rPr>
          <w:sz w:val="18"/>
          <w:szCs w:val="18"/>
        </w:rPr>
        <w:t xml:space="preserve"> 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 </w:t>
      </w:r>
    </w:p>
    <w:p w:rsidR="000813DE" w:rsidRDefault="000813DE" w:rsidP="000813DE">
      <w:pPr>
        <w:bidi w:val="0"/>
        <w:jc w:val="both"/>
        <w:outlineLvl w:val="1"/>
        <w:rPr>
          <w:b/>
          <w:bCs/>
          <w:sz w:val="26"/>
          <w:szCs w:val="26"/>
        </w:rPr>
      </w:pPr>
    </w:p>
    <w:p w:rsidR="000813DE" w:rsidRDefault="000813DE" w:rsidP="000813DE">
      <w:pPr>
        <w:bidi w:val="0"/>
        <w:jc w:val="both"/>
        <w:outlineLvl w:val="1"/>
        <w:rPr>
          <w:b/>
          <w:bCs/>
          <w:sz w:val="26"/>
          <w:szCs w:val="26"/>
        </w:rPr>
      </w:pPr>
    </w:p>
    <w:p w:rsidR="001478C7" w:rsidRPr="00A92A08" w:rsidRDefault="000A30A5" w:rsidP="000813DE">
      <w:pPr>
        <w:bidi w:val="0"/>
        <w:jc w:val="both"/>
        <w:outlineLvl w:val="1"/>
        <w:rPr>
          <w:b/>
          <w:bCs/>
          <w:sz w:val="26"/>
          <w:szCs w:val="26"/>
        </w:rPr>
      </w:pPr>
      <w:r w:rsidRPr="00A92A08">
        <w:rPr>
          <w:b/>
          <w:bCs/>
          <w:sz w:val="26"/>
          <w:szCs w:val="26"/>
        </w:rPr>
        <w:t>Increase</w:t>
      </w:r>
      <w:r w:rsidR="00B47964" w:rsidRPr="00A92A08">
        <w:rPr>
          <w:b/>
          <w:bCs/>
          <w:sz w:val="26"/>
          <w:szCs w:val="26"/>
        </w:rPr>
        <w:t xml:space="preserve"> in the Wholesale Price Index </w:t>
      </w:r>
      <w:r w:rsidR="00F46874" w:rsidRPr="00A92A08">
        <w:rPr>
          <w:b/>
          <w:bCs/>
          <w:sz w:val="26"/>
          <w:szCs w:val="26"/>
        </w:rPr>
        <w:t xml:space="preserve">(WPI) </w:t>
      </w:r>
      <w:r w:rsidR="007B1FA4" w:rsidRPr="00A92A08">
        <w:rPr>
          <w:b/>
          <w:bCs/>
          <w:sz w:val="26"/>
          <w:szCs w:val="26"/>
        </w:rPr>
        <w:t>D</w:t>
      </w:r>
      <w:r w:rsidR="00B47964" w:rsidRPr="00A92A08">
        <w:rPr>
          <w:b/>
          <w:bCs/>
          <w:sz w:val="26"/>
          <w:szCs w:val="26"/>
        </w:rPr>
        <w:t xml:space="preserve">uring </w:t>
      </w:r>
      <w:r w:rsidR="00F46874" w:rsidRPr="00A92A08">
        <w:rPr>
          <w:b/>
          <w:bCs/>
          <w:sz w:val="26"/>
          <w:szCs w:val="26"/>
        </w:rPr>
        <w:t xml:space="preserve">the </w:t>
      </w:r>
      <w:r w:rsidR="007119C4" w:rsidRPr="00A92A08">
        <w:rPr>
          <w:b/>
          <w:bCs/>
          <w:kern w:val="36"/>
          <w:sz w:val="26"/>
          <w:szCs w:val="26"/>
        </w:rPr>
        <w:t>Fourth</w:t>
      </w:r>
      <w:r w:rsidR="00F46874" w:rsidRPr="00A92A08">
        <w:rPr>
          <w:b/>
          <w:bCs/>
          <w:kern w:val="36"/>
          <w:sz w:val="26"/>
          <w:szCs w:val="26"/>
        </w:rPr>
        <w:t xml:space="preserve"> Quarter of </w:t>
      </w:r>
      <w:r w:rsidR="00716266" w:rsidRPr="00A92A08">
        <w:rPr>
          <w:b/>
          <w:bCs/>
          <w:kern w:val="36"/>
          <w:sz w:val="26"/>
          <w:szCs w:val="26"/>
        </w:rPr>
        <w:t>201</w:t>
      </w:r>
      <w:r w:rsidR="007A3645" w:rsidRPr="00A92A08">
        <w:rPr>
          <w:b/>
          <w:bCs/>
          <w:kern w:val="36"/>
          <w:sz w:val="26"/>
          <w:szCs w:val="26"/>
        </w:rPr>
        <w:t>8</w:t>
      </w:r>
    </w:p>
    <w:p w:rsidR="006123B9" w:rsidRPr="006123B9" w:rsidRDefault="006123B9" w:rsidP="006123B9">
      <w:pPr>
        <w:bidi w:val="0"/>
        <w:outlineLvl w:val="1"/>
        <w:rPr>
          <w:b/>
          <w:bCs/>
          <w:sz w:val="8"/>
          <w:szCs w:val="8"/>
        </w:rPr>
      </w:pPr>
    </w:p>
    <w:p w:rsidR="009C2C1A" w:rsidRPr="00022588" w:rsidRDefault="009C2C1A" w:rsidP="0066695A">
      <w:pPr>
        <w:bidi w:val="0"/>
        <w:spacing w:line="360" w:lineRule="auto"/>
        <w:jc w:val="center"/>
        <w:rPr>
          <w:b/>
          <w:bCs/>
          <w:color w:val="000000"/>
          <w:sz w:val="2"/>
          <w:szCs w:val="2"/>
        </w:rPr>
      </w:pPr>
    </w:p>
    <w:p w:rsidR="0066695A" w:rsidRPr="00FC160D" w:rsidRDefault="0066695A" w:rsidP="007119C4">
      <w:pPr>
        <w:bidi w:val="0"/>
        <w:jc w:val="both"/>
        <w:outlineLvl w:val="0"/>
      </w:pPr>
      <w:r w:rsidRPr="00FC160D">
        <w:t>The overall WPI in Palestine with its base year (2007</w:t>
      </w:r>
      <w:r w:rsidR="00647C1C">
        <w:t xml:space="preserve"> </w:t>
      </w:r>
      <w:r w:rsidRPr="00FC160D">
        <w:t>=</w:t>
      </w:r>
      <w:r w:rsidR="00647C1C">
        <w:t xml:space="preserve"> </w:t>
      </w:r>
      <w:r w:rsidRPr="00FC160D">
        <w:t xml:space="preserve">100) reached </w:t>
      </w:r>
      <w:r w:rsidR="007119C4">
        <w:t>127.05</w:t>
      </w:r>
      <w:r w:rsidRPr="00FC160D">
        <w:t xml:space="preserve"> in the </w:t>
      </w:r>
      <w:r w:rsidR="007119C4">
        <w:t xml:space="preserve">Fourth </w:t>
      </w:r>
      <w:r w:rsidRPr="00FC160D">
        <w:t>quarter 201</w:t>
      </w:r>
      <w:r w:rsidR="007A3645">
        <w:t>8</w:t>
      </w:r>
      <w:r w:rsidRPr="00FC160D">
        <w:t>, which indicates a</w:t>
      </w:r>
      <w:r w:rsidR="000A30A5">
        <w:t>n</w:t>
      </w:r>
      <w:r w:rsidRPr="00FC160D">
        <w:t xml:space="preserve"> </w:t>
      </w:r>
      <w:r w:rsidR="000A30A5">
        <w:t>increase</w:t>
      </w:r>
      <w:r w:rsidRPr="00FC160D">
        <w:t xml:space="preserve"> by </w:t>
      </w:r>
      <w:r w:rsidR="0059251C">
        <w:t>0.4</w:t>
      </w:r>
      <w:r w:rsidR="007119C4">
        <w:t>9</w:t>
      </w:r>
      <w:r w:rsidRPr="00FC160D">
        <w:t xml:space="preserve">% compared with the </w:t>
      </w:r>
      <w:r w:rsidR="007119C4">
        <w:t xml:space="preserve">Third </w:t>
      </w:r>
      <w:r w:rsidRPr="00FC160D">
        <w:t>quarter 201</w:t>
      </w:r>
      <w:r w:rsidR="000A30A5">
        <w:t>8</w:t>
      </w:r>
      <w:r w:rsidRPr="00FC160D">
        <w:t>.</w:t>
      </w:r>
    </w:p>
    <w:p w:rsidR="0066695A" w:rsidRDefault="0066695A" w:rsidP="0066695A">
      <w:pPr>
        <w:bidi w:val="0"/>
        <w:jc w:val="both"/>
        <w:outlineLvl w:val="0"/>
        <w:rPr>
          <w:sz w:val="16"/>
          <w:szCs w:val="16"/>
        </w:rPr>
      </w:pPr>
    </w:p>
    <w:p w:rsidR="000813DE" w:rsidRPr="00A92A08" w:rsidRDefault="000813DE" w:rsidP="000813DE">
      <w:pPr>
        <w:bidi w:val="0"/>
        <w:jc w:val="both"/>
        <w:outlineLvl w:val="0"/>
        <w:rPr>
          <w:sz w:val="16"/>
          <w:szCs w:val="16"/>
        </w:rPr>
      </w:pPr>
    </w:p>
    <w:p w:rsidR="007119C4" w:rsidRPr="00FC160D" w:rsidRDefault="007119C4" w:rsidP="007119C4">
      <w:pPr>
        <w:pStyle w:val="BodyText2"/>
        <w:bidi w:val="0"/>
        <w:spacing w:after="0" w:line="240" w:lineRule="auto"/>
        <w:jc w:val="both"/>
        <w:outlineLvl w:val="0"/>
      </w:pPr>
      <w:r w:rsidRPr="00FC160D">
        <w:t>WPI for local products (2007</w:t>
      </w:r>
      <w:r>
        <w:t xml:space="preserve"> </w:t>
      </w:r>
      <w:r w:rsidRPr="00FC160D">
        <w:t>=</w:t>
      </w:r>
      <w:r>
        <w:t xml:space="preserve"> </w:t>
      </w:r>
      <w:r w:rsidRPr="00FC160D">
        <w:t xml:space="preserve">100) reached </w:t>
      </w:r>
      <w:r>
        <w:t>131.15</w:t>
      </w:r>
      <w:r w:rsidRPr="00FC160D">
        <w:t xml:space="preserve"> in the </w:t>
      </w:r>
      <w:r>
        <w:t xml:space="preserve">Fourth </w:t>
      </w:r>
      <w:r w:rsidRPr="00FC160D">
        <w:t>quarter 201</w:t>
      </w:r>
      <w:r>
        <w:t>8</w:t>
      </w:r>
      <w:r w:rsidRPr="00FC160D">
        <w:t>, which indicates a</w:t>
      </w:r>
      <w:r w:rsidR="000441A2">
        <w:t>n</w:t>
      </w:r>
      <w:r w:rsidRPr="00FC160D">
        <w:t xml:space="preserve"> </w:t>
      </w:r>
      <w:r>
        <w:t>increase</w:t>
      </w:r>
      <w:r w:rsidRPr="00FC160D">
        <w:t xml:space="preserve"> by </w:t>
      </w:r>
      <w:r>
        <w:t>2.24</w:t>
      </w:r>
      <w:r w:rsidRPr="00FC160D">
        <w:t>% compared with the</w:t>
      </w:r>
      <w:r>
        <w:t xml:space="preserve"> Third</w:t>
      </w:r>
      <w:r w:rsidRPr="00FC160D">
        <w:t xml:space="preserve"> quarter 201</w:t>
      </w:r>
      <w:r>
        <w:t>8</w:t>
      </w:r>
      <w:r w:rsidRPr="00FC160D">
        <w:t xml:space="preserve">. </w:t>
      </w:r>
    </w:p>
    <w:p w:rsidR="007119C4" w:rsidRDefault="007119C4" w:rsidP="0059251C">
      <w:pPr>
        <w:pStyle w:val="BodyText2"/>
        <w:bidi w:val="0"/>
        <w:spacing w:after="0" w:line="240" w:lineRule="auto"/>
        <w:jc w:val="both"/>
        <w:outlineLvl w:val="0"/>
        <w:rPr>
          <w:sz w:val="16"/>
          <w:szCs w:val="16"/>
        </w:rPr>
      </w:pPr>
    </w:p>
    <w:p w:rsidR="000813DE" w:rsidRPr="00A92A08" w:rsidRDefault="000813DE" w:rsidP="000813DE">
      <w:pPr>
        <w:pStyle w:val="BodyText2"/>
        <w:bidi w:val="0"/>
        <w:spacing w:after="0" w:line="240" w:lineRule="auto"/>
        <w:jc w:val="both"/>
        <w:outlineLvl w:val="0"/>
        <w:rPr>
          <w:sz w:val="16"/>
          <w:szCs w:val="16"/>
        </w:rPr>
      </w:pPr>
    </w:p>
    <w:p w:rsidR="0059251C" w:rsidRPr="00FC160D" w:rsidRDefault="0059251C" w:rsidP="00352CB9">
      <w:pPr>
        <w:pStyle w:val="BodyText2"/>
        <w:bidi w:val="0"/>
        <w:spacing w:after="0" w:line="240" w:lineRule="auto"/>
        <w:jc w:val="both"/>
        <w:outlineLvl w:val="0"/>
      </w:pPr>
      <w:r w:rsidRPr="00FC160D">
        <w:t>WPI for imported products (2007</w:t>
      </w:r>
      <w:r>
        <w:t xml:space="preserve"> </w:t>
      </w:r>
      <w:r w:rsidRPr="00FC160D">
        <w:t>=</w:t>
      </w:r>
      <w:r>
        <w:t xml:space="preserve"> </w:t>
      </w:r>
      <w:r w:rsidRPr="00FC160D">
        <w:t xml:space="preserve">100) reached </w:t>
      </w:r>
      <w:r w:rsidR="00352CB9">
        <w:t>122.80</w:t>
      </w:r>
      <w:r w:rsidRPr="00FC160D">
        <w:t xml:space="preserve"> in the </w:t>
      </w:r>
      <w:r w:rsidR="00352CB9">
        <w:t>Fourth</w:t>
      </w:r>
      <w:r>
        <w:t xml:space="preserve"> </w:t>
      </w:r>
      <w:r w:rsidRPr="00FC160D">
        <w:t>quarter 201</w:t>
      </w:r>
      <w:r>
        <w:t>8</w:t>
      </w:r>
      <w:r w:rsidRPr="00FC160D">
        <w:t xml:space="preserve">, which indicates </w:t>
      </w:r>
      <w:r w:rsidR="000441A2">
        <w:t>a</w:t>
      </w:r>
      <w:r>
        <w:t xml:space="preserve"> </w:t>
      </w:r>
      <w:r w:rsidR="00352CB9">
        <w:t>de</w:t>
      </w:r>
      <w:r>
        <w:t>crease</w:t>
      </w:r>
      <w:r w:rsidRPr="00FC160D">
        <w:t xml:space="preserve"> by </w:t>
      </w:r>
      <w:r w:rsidR="00352CB9">
        <w:t>0.54</w:t>
      </w:r>
      <w:r w:rsidRPr="00FC160D">
        <w:t xml:space="preserve">% compared with the </w:t>
      </w:r>
      <w:r w:rsidR="00352CB9">
        <w:t>Third</w:t>
      </w:r>
      <w:r w:rsidRPr="00FC160D">
        <w:t xml:space="preserve"> quarter 201</w:t>
      </w:r>
      <w:r>
        <w:t>8</w:t>
      </w:r>
      <w:r w:rsidRPr="00FC160D">
        <w:t>.</w:t>
      </w:r>
    </w:p>
    <w:p w:rsidR="000813DE" w:rsidRDefault="000813DE" w:rsidP="00A92A08">
      <w:pPr>
        <w:autoSpaceDE w:val="0"/>
        <w:autoSpaceDN w:val="0"/>
        <w:bidi w:val="0"/>
        <w:adjustRightInd w:val="0"/>
        <w:jc w:val="center"/>
        <w:rPr>
          <w:snapToGrid w:val="0"/>
          <w:sz w:val="16"/>
          <w:szCs w:val="16"/>
        </w:rPr>
      </w:pPr>
    </w:p>
    <w:p w:rsidR="000813DE" w:rsidRDefault="000813DE" w:rsidP="000813DE">
      <w:pPr>
        <w:autoSpaceDE w:val="0"/>
        <w:autoSpaceDN w:val="0"/>
        <w:bidi w:val="0"/>
        <w:adjustRightInd w:val="0"/>
        <w:jc w:val="center"/>
        <w:rPr>
          <w:snapToGrid w:val="0"/>
          <w:sz w:val="16"/>
          <w:szCs w:val="16"/>
        </w:rPr>
      </w:pPr>
    </w:p>
    <w:p w:rsidR="00647C1C" w:rsidRPr="00A92A08" w:rsidRDefault="006507EC" w:rsidP="000813DE">
      <w:pPr>
        <w:autoSpaceDE w:val="0"/>
        <w:autoSpaceDN w:val="0"/>
        <w:bidi w:val="0"/>
        <w:adjustRightInd w:val="0"/>
        <w:jc w:val="center"/>
        <w:rPr>
          <w:b/>
          <w:bCs/>
          <w:sz w:val="26"/>
          <w:szCs w:val="26"/>
        </w:rPr>
      </w:pPr>
      <w:r w:rsidRPr="00A92A08">
        <w:rPr>
          <w:b/>
          <w:bCs/>
          <w:snapToGrid w:val="0"/>
          <w:sz w:val="26"/>
          <w:szCs w:val="26"/>
        </w:rPr>
        <w:t>The t</w:t>
      </w:r>
      <w:r w:rsidR="0066695A" w:rsidRPr="00A92A08">
        <w:rPr>
          <w:b/>
          <w:bCs/>
          <w:snapToGrid w:val="0"/>
          <w:sz w:val="26"/>
          <w:szCs w:val="26"/>
        </w:rPr>
        <w:t>able shows the relative share and the quarterly percent changes in WPI by major activities in Palestine for</w:t>
      </w:r>
      <w:r w:rsidR="000E048A" w:rsidRPr="00A92A08">
        <w:rPr>
          <w:rFonts w:cs="Simplified Arabic"/>
          <w:b/>
          <w:bCs/>
          <w:snapToGrid w:val="0"/>
          <w:sz w:val="26"/>
          <w:szCs w:val="26"/>
        </w:rPr>
        <w:t xml:space="preserve"> the period</w:t>
      </w:r>
      <w:r w:rsidR="00AF79AE" w:rsidRPr="00A92A08">
        <w:rPr>
          <w:rFonts w:cs="Simplified Arabic"/>
          <w:b/>
          <w:bCs/>
          <w:snapToGrid w:val="0"/>
          <w:sz w:val="26"/>
          <w:szCs w:val="26"/>
        </w:rPr>
        <w:t>:</w:t>
      </w:r>
      <w:r w:rsidR="000A30A5" w:rsidRPr="00A92A08">
        <w:rPr>
          <w:b/>
          <w:bCs/>
          <w:snapToGrid w:val="0"/>
          <w:sz w:val="26"/>
          <w:szCs w:val="26"/>
        </w:rPr>
        <w:t xml:space="preserve"> </w:t>
      </w:r>
      <w:r w:rsidR="00352CB9" w:rsidRPr="00A92A08">
        <w:rPr>
          <w:b/>
          <w:bCs/>
          <w:snapToGrid w:val="0"/>
          <w:sz w:val="26"/>
          <w:szCs w:val="26"/>
        </w:rPr>
        <w:t>First</w:t>
      </w:r>
      <w:r w:rsidR="0066695A" w:rsidRPr="00A92A08">
        <w:rPr>
          <w:b/>
          <w:bCs/>
          <w:snapToGrid w:val="0"/>
          <w:sz w:val="26"/>
          <w:szCs w:val="26"/>
        </w:rPr>
        <w:t xml:space="preserve"> quarter – </w:t>
      </w:r>
      <w:r w:rsidR="00352CB9" w:rsidRPr="00A92A08">
        <w:rPr>
          <w:b/>
          <w:bCs/>
          <w:sz w:val="26"/>
          <w:szCs w:val="26"/>
        </w:rPr>
        <w:t>Fourth</w:t>
      </w:r>
      <w:r w:rsidR="000A30A5" w:rsidRPr="00A92A08">
        <w:rPr>
          <w:b/>
          <w:bCs/>
          <w:sz w:val="26"/>
          <w:szCs w:val="26"/>
        </w:rPr>
        <w:t xml:space="preserve"> </w:t>
      </w:r>
      <w:r w:rsidR="0066695A" w:rsidRPr="00A92A08">
        <w:rPr>
          <w:b/>
          <w:bCs/>
          <w:snapToGrid w:val="0"/>
          <w:sz w:val="26"/>
          <w:szCs w:val="26"/>
        </w:rPr>
        <w:t>quarter 201</w:t>
      </w:r>
      <w:r w:rsidR="00FF614A" w:rsidRPr="00A92A08">
        <w:rPr>
          <w:b/>
          <w:bCs/>
          <w:snapToGrid w:val="0"/>
          <w:sz w:val="26"/>
          <w:szCs w:val="26"/>
        </w:rPr>
        <w:t>8</w:t>
      </w:r>
    </w:p>
    <w:tbl>
      <w:tblPr>
        <w:tblpPr w:leftFromText="180" w:rightFromText="180" w:vertAnchor="text" w:horzAnchor="margin" w:tblpXSpec="center" w:tblpY="163"/>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992"/>
        <w:gridCol w:w="885"/>
        <w:gridCol w:w="850"/>
        <w:gridCol w:w="851"/>
        <w:gridCol w:w="850"/>
      </w:tblGrid>
      <w:tr w:rsidR="000813DE" w:rsidRPr="00A92A08" w:rsidTr="000813DE">
        <w:trPr>
          <w:trHeight w:val="249"/>
        </w:trPr>
        <w:tc>
          <w:tcPr>
            <w:tcW w:w="1526" w:type="dxa"/>
            <w:vMerge w:val="restart"/>
            <w:vAlign w:val="center"/>
          </w:tcPr>
          <w:p w:rsidR="00352CB9" w:rsidRPr="00A92A08" w:rsidRDefault="00352CB9" w:rsidP="00A92A08">
            <w:pPr>
              <w:autoSpaceDE w:val="0"/>
              <w:autoSpaceDN w:val="0"/>
              <w:bidi w:val="0"/>
              <w:adjustRightInd w:val="0"/>
              <w:ind w:right="-116"/>
              <w:jc w:val="center"/>
              <w:rPr>
                <w:b/>
                <w:bCs/>
                <w:snapToGrid w:val="0"/>
                <w:sz w:val="22"/>
                <w:szCs w:val="22"/>
              </w:rPr>
            </w:pPr>
            <w:r w:rsidRPr="00A92A08">
              <w:rPr>
                <w:b/>
                <w:bCs/>
                <w:snapToGrid w:val="0"/>
                <w:sz w:val="22"/>
                <w:szCs w:val="22"/>
              </w:rPr>
              <w:t>Major Activities</w:t>
            </w:r>
          </w:p>
        </w:tc>
        <w:tc>
          <w:tcPr>
            <w:tcW w:w="992" w:type="dxa"/>
            <w:vMerge w:val="restart"/>
            <w:vAlign w:val="center"/>
          </w:tcPr>
          <w:p w:rsidR="00352CB9" w:rsidRPr="00A92A08" w:rsidRDefault="00352CB9" w:rsidP="00A92A08">
            <w:pPr>
              <w:autoSpaceDE w:val="0"/>
              <w:autoSpaceDN w:val="0"/>
              <w:bidi w:val="0"/>
              <w:adjustRightInd w:val="0"/>
              <w:ind w:left="-100" w:right="-200"/>
              <w:jc w:val="center"/>
              <w:rPr>
                <w:b/>
                <w:bCs/>
                <w:snapToGrid w:val="0"/>
                <w:sz w:val="22"/>
                <w:szCs w:val="22"/>
              </w:rPr>
            </w:pPr>
            <w:r w:rsidRPr="00A92A08">
              <w:rPr>
                <w:b/>
                <w:bCs/>
                <w:snapToGrid w:val="0"/>
                <w:sz w:val="22"/>
                <w:szCs w:val="22"/>
              </w:rPr>
              <w:t>Relative Share %</w:t>
            </w:r>
          </w:p>
        </w:tc>
        <w:tc>
          <w:tcPr>
            <w:tcW w:w="3436" w:type="dxa"/>
            <w:gridSpan w:val="4"/>
            <w:vAlign w:val="center"/>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Quarterly Percent Change</w:t>
            </w:r>
          </w:p>
        </w:tc>
      </w:tr>
      <w:tr w:rsidR="000813DE" w:rsidRPr="00A92A08" w:rsidTr="000813DE">
        <w:trPr>
          <w:trHeight w:val="150"/>
        </w:trPr>
        <w:tc>
          <w:tcPr>
            <w:tcW w:w="1526" w:type="dxa"/>
            <w:vMerge/>
            <w:vAlign w:val="center"/>
          </w:tcPr>
          <w:p w:rsidR="00352CB9" w:rsidRPr="00A92A08" w:rsidRDefault="00352CB9" w:rsidP="00A92A08">
            <w:pPr>
              <w:bidi w:val="0"/>
              <w:ind w:right="-116"/>
              <w:jc w:val="center"/>
              <w:rPr>
                <w:b/>
                <w:bCs/>
                <w:sz w:val="22"/>
                <w:szCs w:val="22"/>
              </w:rPr>
            </w:pPr>
          </w:p>
        </w:tc>
        <w:tc>
          <w:tcPr>
            <w:tcW w:w="992" w:type="dxa"/>
            <w:vMerge/>
            <w:vAlign w:val="center"/>
          </w:tcPr>
          <w:p w:rsidR="00352CB9" w:rsidRPr="00A92A08" w:rsidRDefault="00352CB9" w:rsidP="00A92A08">
            <w:pPr>
              <w:autoSpaceDE w:val="0"/>
              <w:autoSpaceDN w:val="0"/>
              <w:bidi w:val="0"/>
              <w:adjustRightInd w:val="0"/>
              <w:ind w:left="-100"/>
              <w:jc w:val="center"/>
              <w:rPr>
                <w:b/>
                <w:bCs/>
                <w:snapToGrid w:val="0"/>
                <w:sz w:val="22"/>
                <w:szCs w:val="22"/>
              </w:rPr>
            </w:pPr>
          </w:p>
        </w:tc>
        <w:tc>
          <w:tcPr>
            <w:tcW w:w="3436" w:type="dxa"/>
            <w:gridSpan w:val="4"/>
            <w:vAlign w:val="center"/>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2018</w:t>
            </w:r>
          </w:p>
        </w:tc>
      </w:tr>
      <w:tr w:rsidR="00A92A08" w:rsidRPr="00A92A08" w:rsidTr="000813DE">
        <w:trPr>
          <w:trHeight w:val="150"/>
        </w:trPr>
        <w:tc>
          <w:tcPr>
            <w:tcW w:w="1526" w:type="dxa"/>
            <w:vMerge/>
            <w:vAlign w:val="center"/>
          </w:tcPr>
          <w:p w:rsidR="00352CB9" w:rsidRPr="00A92A08" w:rsidRDefault="00352CB9" w:rsidP="00A92A08">
            <w:pPr>
              <w:bidi w:val="0"/>
              <w:ind w:right="-116"/>
              <w:jc w:val="center"/>
              <w:rPr>
                <w:b/>
                <w:bCs/>
                <w:sz w:val="22"/>
                <w:szCs w:val="22"/>
              </w:rPr>
            </w:pPr>
          </w:p>
        </w:tc>
        <w:tc>
          <w:tcPr>
            <w:tcW w:w="992" w:type="dxa"/>
            <w:vMerge/>
            <w:vAlign w:val="center"/>
          </w:tcPr>
          <w:p w:rsidR="00352CB9" w:rsidRPr="00A92A08" w:rsidRDefault="00352CB9" w:rsidP="00A92A08">
            <w:pPr>
              <w:autoSpaceDE w:val="0"/>
              <w:autoSpaceDN w:val="0"/>
              <w:bidi w:val="0"/>
              <w:adjustRightInd w:val="0"/>
              <w:ind w:left="-100"/>
              <w:jc w:val="center"/>
              <w:rPr>
                <w:b/>
                <w:bCs/>
                <w:snapToGrid w:val="0"/>
                <w:sz w:val="22"/>
                <w:szCs w:val="22"/>
              </w:rPr>
            </w:pPr>
          </w:p>
        </w:tc>
        <w:tc>
          <w:tcPr>
            <w:tcW w:w="885" w:type="dxa"/>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Q1</w:t>
            </w:r>
          </w:p>
        </w:tc>
        <w:tc>
          <w:tcPr>
            <w:tcW w:w="850" w:type="dxa"/>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Q2</w:t>
            </w:r>
          </w:p>
        </w:tc>
        <w:tc>
          <w:tcPr>
            <w:tcW w:w="851" w:type="dxa"/>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Q3</w:t>
            </w:r>
          </w:p>
        </w:tc>
        <w:tc>
          <w:tcPr>
            <w:tcW w:w="850" w:type="dxa"/>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Q4</w:t>
            </w:r>
          </w:p>
        </w:tc>
      </w:tr>
      <w:tr w:rsidR="00A92A08" w:rsidRPr="00A92A08" w:rsidTr="000813DE">
        <w:trPr>
          <w:trHeight w:val="466"/>
        </w:trPr>
        <w:tc>
          <w:tcPr>
            <w:tcW w:w="1526" w:type="dxa"/>
            <w:vAlign w:val="center"/>
          </w:tcPr>
          <w:p w:rsidR="00352CB9" w:rsidRPr="00A92A08" w:rsidRDefault="00352CB9" w:rsidP="00A92A08">
            <w:pPr>
              <w:bidi w:val="0"/>
              <w:ind w:right="-116"/>
              <w:rPr>
                <w:sz w:val="22"/>
                <w:szCs w:val="22"/>
              </w:rPr>
            </w:pPr>
            <w:r w:rsidRPr="00A92A08">
              <w:rPr>
                <w:sz w:val="22"/>
                <w:szCs w:val="22"/>
              </w:rPr>
              <w:t>Agriculture</w:t>
            </w:r>
          </w:p>
        </w:tc>
        <w:tc>
          <w:tcPr>
            <w:tcW w:w="992" w:type="dxa"/>
            <w:vAlign w:val="center"/>
          </w:tcPr>
          <w:p w:rsidR="00352CB9" w:rsidRPr="00A92A08" w:rsidRDefault="00352CB9" w:rsidP="00A92A08">
            <w:pPr>
              <w:autoSpaceDE w:val="0"/>
              <w:autoSpaceDN w:val="0"/>
              <w:bidi w:val="0"/>
              <w:adjustRightInd w:val="0"/>
              <w:ind w:left="-100"/>
              <w:jc w:val="right"/>
              <w:rPr>
                <w:snapToGrid w:val="0"/>
                <w:sz w:val="22"/>
                <w:szCs w:val="22"/>
              </w:rPr>
            </w:pPr>
            <w:r w:rsidRPr="00A92A08">
              <w:rPr>
                <w:snapToGrid w:val="0"/>
                <w:sz w:val="22"/>
                <w:szCs w:val="22"/>
              </w:rPr>
              <w:t>29.0</w:t>
            </w:r>
          </w:p>
        </w:tc>
        <w:tc>
          <w:tcPr>
            <w:tcW w:w="885"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-3.80</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+9.93</w:t>
            </w:r>
          </w:p>
        </w:tc>
        <w:tc>
          <w:tcPr>
            <w:tcW w:w="851"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+0.34</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+1.26</w:t>
            </w:r>
          </w:p>
        </w:tc>
      </w:tr>
      <w:tr w:rsidR="00A92A08" w:rsidRPr="00A92A08" w:rsidTr="000813DE">
        <w:trPr>
          <w:trHeight w:val="601"/>
        </w:trPr>
        <w:tc>
          <w:tcPr>
            <w:tcW w:w="1526" w:type="dxa"/>
            <w:vAlign w:val="center"/>
          </w:tcPr>
          <w:p w:rsidR="00352CB9" w:rsidRPr="00A92A08" w:rsidRDefault="00352CB9" w:rsidP="00A92A08">
            <w:pPr>
              <w:bidi w:val="0"/>
              <w:ind w:right="-116"/>
              <w:rPr>
                <w:sz w:val="22"/>
                <w:szCs w:val="22"/>
              </w:rPr>
            </w:pPr>
            <w:r w:rsidRPr="00A92A08">
              <w:rPr>
                <w:sz w:val="22"/>
                <w:szCs w:val="22"/>
              </w:rPr>
              <w:t>Fishing</w:t>
            </w:r>
          </w:p>
        </w:tc>
        <w:tc>
          <w:tcPr>
            <w:tcW w:w="992" w:type="dxa"/>
            <w:vAlign w:val="center"/>
          </w:tcPr>
          <w:p w:rsidR="00352CB9" w:rsidRPr="00A92A08" w:rsidRDefault="00352CB9" w:rsidP="00A92A08">
            <w:pPr>
              <w:autoSpaceDE w:val="0"/>
              <w:autoSpaceDN w:val="0"/>
              <w:bidi w:val="0"/>
              <w:adjustRightInd w:val="0"/>
              <w:ind w:left="-100"/>
              <w:jc w:val="right"/>
              <w:rPr>
                <w:snapToGrid w:val="0"/>
                <w:sz w:val="22"/>
                <w:szCs w:val="22"/>
              </w:rPr>
            </w:pPr>
            <w:r w:rsidRPr="00A92A08">
              <w:rPr>
                <w:snapToGrid w:val="0"/>
                <w:sz w:val="22"/>
                <w:szCs w:val="22"/>
              </w:rPr>
              <w:t>0.10</w:t>
            </w:r>
          </w:p>
        </w:tc>
        <w:tc>
          <w:tcPr>
            <w:tcW w:w="885"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+9.43</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-4.77</w:t>
            </w:r>
          </w:p>
        </w:tc>
        <w:tc>
          <w:tcPr>
            <w:tcW w:w="851"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+4.28</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-3.02</w:t>
            </w:r>
          </w:p>
        </w:tc>
      </w:tr>
      <w:tr w:rsidR="00A92A08" w:rsidRPr="00A92A08" w:rsidTr="000813DE">
        <w:trPr>
          <w:trHeight w:val="570"/>
        </w:trPr>
        <w:tc>
          <w:tcPr>
            <w:tcW w:w="1526" w:type="dxa"/>
            <w:vAlign w:val="center"/>
          </w:tcPr>
          <w:p w:rsidR="00352CB9" w:rsidRPr="00A92A08" w:rsidRDefault="00352CB9" w:rsidP="00A92A08">
            <w:pPr>
              <w:bidi w:val="0"/>
              <w:ind w:right="-116"/>
              <w:rPr>
                <w:sz w:val="22"/>
                <w:szCs w:val="22"/>
              </w:rPr>
            </w:pPr>
            <w:r w:rsidRPr="00A92A08">
              <w:rPr>
                <w:sz w:val="22"/>
                <w:szCs w:val="22"/>
              </w:rPr>
              <w:t>Mining and quarrying</w:t>
            </w:r>
          </w:p>
        </w:tc>
        <w:tc>
          <w:tcPr>
            <w:tcW w:w="992" w:type="dxa"/>
            <w:vAlign w:val="center"/>
          </w:tcPr>
          <w:p w:rsidR="00352CB9" w:rsidRPr="00A92A08" w:rsidRDefault="00352CB9" w:rsidP="00A92A08">
            <w:pPr>
              <w:autoSpaceDE w:val="0"/>
              <w:autoSpaceDN w:val="0"/>
              <w:bidi w:val="0"/>
              <w:adjustRightInd w:val="0"/>
              <w:ind w:left="-100"/>
              <w:jc w:val="right"/>
              <w:rPr>
                <w:snapToGrid w:val="0"/>
                <w:sz w:val="22"/>
                <w:szCs w:val="22"/>
              </w:rPr>
            </w:pPr>
            <w:r w:rsidRPr="00A92A08">
              <w:rPr>
                <w:snapToGrid w:val="0"/>
                <w:sz w:val="22"/>
                <w:szCs w:val="22"/>
              </w:rPr>
              <w:t>0.90</w:t>
            </w:r>
          </w:p>
        </w:tc>
        <w:tc>
          <w:tcPr>
            <w:tcW w:w="885"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-1.78</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-1.16</w:t>
            </w:r>
          </w:p>
        </w:tc>
        <w:tc>
          <w:tcPr>
            <w:tcW w:w="851"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-2.95</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+3.60</w:t>
            </w:r>
          </w:p>
        </w:tc>
      </w:tr>
      <w:tr w:rsidR="00A92A08" w:rsidRPr="00A92A08" w:rsidTr="000813DE">
        <w:trPr>
          <w:trHeight w:val="578"/>
        </w:trPr>
        <w:tc>
          <w:tcPr>
            <w:tcW w:w="1526" w:type="dxa"/>
            <w:vAlign w:val="center"/>
          </w:tcPr>
          <w:p w:rsidR="00352CB9" w:rsidRPr="00A92A08" w:rsidRDefault="00352CB9" w:rsidP="00A92A08">
            <w:pPr>
              <w:bidi w:val="0"/>
              <w:ind w:right="-116"/>
              <w:rPr>
                <w:sz w:val="22"/>
                <w:szCs w:val="22"/>
              </w:rPr>
            </w:pPr>
            <w:r w:rsidRPr="00A92A08">
              <w:rPr>
                <w:sz w:val="22"/>
                <w:szCs w:val="22"/>
              </w:rPr>
              <w:t>Manufacturing</w:t>
            </w:r>
          </w:p>
        </w:tc>
        <w:tc>
          <w:tcPr>
            <w:tcW w:w="992" w:type="dxa"/>
            <w:vAlign w:val="center"/>
          </w:tcPr>
          <w:p w:rsidR="00352CB9" w:rsidRPr="00A92A08" w:rsidRDefault="00352CB9" w:rsidP="00A92A08">
            <w:pPr>
              <w:autoSpaceDE w:val="0"/>
              <w:autoSpaceDN w:val="0"/>
              <w:bidi w:val="0"/>
              <w:adjustRightInd w:val="0"/>
              <w:ind w:left="-100"/>
              <w:jc w:val="right"/>
              <w:rPr>
                <w:snapToGrid w:val="0"/>
                <w:sz w:val="22"/>
                <w:szCs w:val="22"/>
              </w:rPr>
            </w:pPr>
            <w:r w:rsidRPr="00A92A08">
              <w:rPr>
                <w:snapToGrid w:val="0"/>
                <w:sz w:val="22"/>
                <w:szCs w:val="22"/>
              </w:rPr>
              <w:t>70.0</w:t>
            </w:r>
          </w:p>
        </w:tc>
        <w:tc>
          <w:tcPr>
            <w:tcW w:w="885"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-0.37</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-0.38</w:t>
            </w:r>
          </w:p>
        </w:tc>
        <w:tc>
          <w:tcPr>
            <w:tcW w:w="851"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+0.53</w:t>
            </w:r>
          </w:p>
        </w:tc>
        <w:tc>
          <w:tcPr>
            <w:tcW w:w="850" w:type="dxa"/>
            <w:vAlign w:val="center"/>
          </w:tcPr>
          <w:p w:rsidR="00352CB9" w:rsidRPr="00A92A08" w:rsidRDefault="00352CB9" w:rsidP="00A92A08">
            <w:pPr>
              <w:autoSpaceDE w:val="0"/>
              <w:autoSpaceDN w:val="0"/>
              <w:bidi w:val="0"/>
              <w:adjustRightInd w:val="0"/>
              <w:jc w:val="center"/>
              <w:rPr>
                <w:snapToGrid w:val="0"/>
                <w:sz w:val="22"/>
                <w:szCs w:val="22"/>
              </w:rPr>
            </w:pPr>
            <w:r w:rsidRPr="00A92A08">
              <w:rPr>
                <w:snapToGrid w:val="0"/>
                <w:sz w:val="22"/>
                <w:szCs w:val="22"/>
              </w:rPr>
              <w:t>+0.08</w:t>
            </w:r>
          </w:p>
        </w:tc>
      </w:tr>
      <w:tr w:rsidR="00A92A08" w:rsidRPr="00A92A08" w:rsidTr="000813DE">
        <w:trPr>
          <w:trHeight w:val="468"/>
        </w:trPr>
        <w:tc>
          <w:tcPr>
            <w:tcW w:w="1526" w:type="dxa"/>
            <w:vAlign w:val="center"/>
          </w:tcPr>
          <w:p w:rsidR="00352CB9" w:rsidRPr="00A92A08" w:rsidRDefault="00352CB9" w:rsidP="00A92A08">
            <w:pPr>
              <w:bidi w:val="0"/>
              <w:ind w:right="-116"/>
              <w:rPr>
                <w:b/>
                <w:bCs/>
                <w:sz w:val="22"/>
                <w:szCs w:val="22"/>
              </w:rPr>
            </w:pPr>
            <w:r w:rsidRPr="00A92A08">
              <w:rPr>
                <w:b/>
                <w:bCs/>
                <w:sz w:val="22"/>
                <w:szCs w:val="22"/>
              </w:rPr>
              <w:t>All Items Price Index</w:t>
            </w:r>
          </w:p>
        </w:tc>
        <w:tc>
          <w:tcPr>
            <w:tcW w:w="992" w:type="dxa"/>
            <w:vAlign w:val="center"/>
          </w:tcPr>
          <w:p w:rsidR="00352CB9" w:rsidRPr="00A92A08" w:rsidRDefault="00352CB9" w:rsidP="00A92A08">
            <w:pPr>
              <w:autoSpaceDE w:val="0"/>
              <w:autoSpaceDN w:val="0"/>
              <w:bidi w:val="0"/>
              <w:adjustRightInd w:val="0"/>
              <w:ind w:left="-100"/>
              <w:jc w:val="right"/>
              <w:rPr>
                <w:b/>
                <w:bCs/>
                <w:snapToGrid w:val="0"/>
                <w:sz w:val="22"/>
                <w:szCs w:val="22"/>
              </w:rPr>
            </w:pPr>
            <w:r w:rsidRPr="00A92A08">
              <w:rPr>
                <w:b/>
                <w:bCs/>
                <w:snapToGrid w:val="0"/>
                <w:sz w:val="22"/>
                <w:szCs w:val="22"/>
              </w:rPr>
              <w:t>100</w:t>
            </w:r>
          </w:p>
        </w:tc>
        <w:tc>
          <w:tcPr>
            <w:tcW w:w="885" w:type="dxa"/>
            <w:vAlign w:val="center"/>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-1.44</w:t>
            </w:r>
          </w:p>
        </w:tc>
        <w:tc>
          <w:tcPr>
            <w:tcW w:w="850" w:type="dxa"/>
            <w:vAlign w:val="center"/>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+2.73</w:t>
            </w:r>
          </w:p>
        </w:tc>
        <w:tc>
          <w:tcPr>
            <w:tcW w:w="851" w:type="dxa"/>
            <w:vAlign w:val="center"/>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+0.45</w:t>
            </w:r>
          </w:p>
        </w:tc>
        <w:tc>
          <w:tcPr>
            <w:tcW w:w="850" w:type="dxa"/>
            <w:vAlign w:val="center"/>
          </w:tcPr>
          <w:p w:rsidR="00352CB9" w:rsidRPr="00A92A08" w:rsidRDefault="00352CB9" w:rsidP="00A92A08">
            <w:pPr>
              <w:autoSpaceDE w:val="0"/>
              <w:autoSpaceDN w:val="0"/>
              <w:bidi w:val="0"/>
              <w:adjustRightInd w:val="0"/>
              <w:jc w:val="center"/>
              <w:rPr>
                <w:b/>
                <w:bCs/>
                <w:snapToGrid w:val="0"/>
                <w:sz w:val="22"/>
                <w:szCs w:val="22"/>
              </w:rPr>
            </w:pPr>
            <w:r w:rsidRPr="00A92A08">
              <w:rPr>
                <w:b/>
                <w:bCs/>
                <w:snapToGrid w:val="0"/>
                <w:sz w:val="22"/>
                <w:szCs w:val="22"/>
              </w:rPr>
              <w:t>+0.49</w:t>
            </w:r>
          </w:p>
        </w:tc>
      </w:tr>
    </w:tbl>
    <w:p w:rsidR="00352CB9" w:rsidRPr="00A92A08" w:rsidRDefault="00352CB9" w:rsidP="00352CB9">
      <w:pPr>
        <w:pStyle w:val="BodyText2"/>
        <w:bidi w:val="0"/>
        <w:spacing w:after="0" w:line="240" w:lineRule="auto"/>
        <w:jc w:val="center"/>
        <w:outlineLvl w:val="0"/>
        <w:rPr>
          <w:rFonts w:cs="Simplified Arabic"/>
          <w:b/>
          <w:bCs/>
          <w:snapToGrid w:val="0"/>
          <w:color w:val="000000"/>
          <w:sz w:val="16"/>
          <w:szCs w:val="16"/>
        </w:rPr>
      </w:pPr>
    </w:p>
    <w:p w:rsidR="000813DE" w:rsidRDefault="000813DE" w:rsidP="00A92A08">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Default="000813DE" w:rsidP="000813DE">
      <w:pPr>
        <w:pStyle w:val="BodyText2"/>
        <w:bidi w:val="0"/>
        <w:spacing w:after="0" w:line="240" w:lineRule="auto"/>
        <w:jc w:val="center"/>
        <w:outlineLvl w:val="0"/>
        <w:rPr>
          <w:rFonts w:cs="Simplified Arabic"/>
          <w:b/>
          <w:bCs/>
          <w:snapToGrid w:val="0"/>
          <w:sz w:val="26"/>
          <w:szCs w:val="26"/>
        </w:rPr>
      </w:pPr>
    </w:p>
    <w:p w:rsidR="000813DE" w:rsidRPr="000813DE" w:rsidRDefault="000813DE" w:rsidP="000813DE">
      <w:pPr>
        <w:pStyle w:val="BodyText2"/>
        <w:bidi w:val="0"/>
        <w:spacing w:after="0" w:line="240" w:lineRule="auto"/>
        <w:jc w:val="center"/>
        <w:outlineLvl w:val="0"/>
        <w:rPr>
          <w:rFonts w:cs="Simplified Arabic"/>
          <w:b/>
          <w:bCs/>
          <w:snapToGrid w:val="0"/>
          <w:sz w:val="16"/>
          <w:szCs w:val="16"/>
          <w:vertAlign w:val="superscript"/>
        </w:rPr>
      </w:pPr>
    </w:p>
    <w:p w:rsidR="000813DE" w:rsidRDefault="00F025C1" w:rsidP="000813DE">
      <w:pPr>
        <w:pStyle w:val="BodyText2"/>
        <w:bidi w:val="0"/>
        <w:spacing w:after="0" w:line="240" w:lineRule="auto"/>
        <w:jc w:val="center"/>
        <w:outlineLvl w:val="0"/>
        <w:rPr>
          <w:b/>
          <w:bCs/>
          <w:sz w:val="26"/>
          <w:szCs w:val="26"/>
        </w:rPr>
      </w:pPr>
      <w:r w:rsidRPr="00A92A08">
        <w:rPr>
          <w:rFonts w:cs="Simplified Arabic"/>
          <w:b/>
          <w:bCs/>
          <w:snapToGrid w:val="0"/>
          <w:sz w:val="26"/>
          <w:szCs w:val="26"/>
        </w:rPr>
        <w:t>The trend line of</w:t>
      </w:r>
      <w:r w:rsidRPr="00A92A08">
        <w:rPr>
          <w:b/>
          <w:bCs/>
          <w:sz w:val="26"/>
          <w:szCs w:val="26"/>
        </w:rPr>
        <w:t xml:space="preserve"> </w:t>
      </w:r>
      <w:r w:rsidR="0066695A" w:rsidRPr="00A92A08">
        <w:rPr>
          <w:b/>
          <w:bCs/>
          <w:sz w:val="26"/>
          <w:szCs w:val="26"/>
        </w:rPr>
        <w:t>Wholesale Price Index in Palestine for the</w:t>
      </w:r>
      <w:r w:rsidRPr="00A92A08">
        <w:rPr>
          <w:rFonts w:cs="Simplified Arabic"/>
          <w:b/>
          <w:bCs/>
          <w:snapToGrid w:val="0"/>
          <w:sz w:val="26"/>
          <w:szCs w:val="26"/>
        </w:rPr>
        <w:t xml:space="preserve"> period:</w:t>
      </w:r>
    </w:p>
    <w:p w:rsidR="0066695A" w:rsidRPr="00A92A08" w:rsidRDefault="0014223D" w:rsidP="000813DE">
      <w:pPr>
        <w:pStyle w:val="BodyText2"/>
        <w:bidi w:val="0"/>
        <w:spacing w:after="0" w:line="240" w:lineRule="auto"/>
        <w:jc w:val="center"/>
        <w:outlineLvl w:val="0"/>
        <w:rPr>
          <w:b/>
          <w:bCs/>
          <w:sz w:val="26"/>
          <w:szCs w:val="26"/>
        </w:rPr>
      </w:pPr>
      <w:r w:rsidRPr="00A92A08">
        <w:rPr>
          <w:b/>
          <w:bCs/>
          <w:kern w:val="36"/>
          <w:sz w:val="26"/>
          <w:szCs w:val="26"/>
        </w:rPr>
        <w:t xml:space="preserve">  </w:t>
      </w:r>
      <w:r w:rsidR="00352CB9" w:rsidRPr="00A92A08">
        <w:rPr>
          <w:b/>
          <w:bCs/>
          <w:kern w:val="36"/>
          <w:sz w:val="26"/>
          <w:szCs w:val="26"/>
        </w:rPr>
        <w:t xml:space="preserve">Fourth </w:t>
      </w:r>
      <w:r w:rsidR="0066695A" w:rsidRPr="00A92A08">
        <w:rPr>
          <w:b/>
          <w:bCs/>
          <w:sz w:val="26"/>
          <w:szCs w:val="26"/>
        </w:rPr>
        <w:t>quarter 201</w:t>
      </w:r>
      <w:r w:rsidR="009577D1" w:rsidRPr="00A92A08">
        <w:rPr>
          <w:b/>
          <w:bCs/>
          <w:sz w:val="26"/>
          <w:szCs w:val="26"/>
        </w:rPr>
        <w:t>6</w:t>
      </w:r>
      <w:r w:rsidR="0066695A" w:rsidRPr="00A92A08">
        <w:rPr>
          <w:b/>
          <w:bCs/>
          <w:sz w:val="26"/>
          <w:szCs w:val="26"/>
        </w:rPr>
        <w:t xml:space="preserve"> – </w:t>
      </w:r>
      <w:r w:rsidR="00352CB9" w:rsidRPr="00A92A08">
        <w:rPr>
          <w:b/>
          <w:bCs/>
          <w:kern w:val="36"/>
          <w:sz w:val="26"/>
          <w:szCs w:val="26"/>
        </w:rPr>
        <w:t>Fourth</w:t>
      </w:r>
      <w:r w:rsidR="0066695A" w:rsidRPr="00A92A08">
        <w:rPr>
          <w:b/>
          <w:bCs/>
          <w:kern w:val="36"/>
          <w:sz w:val="26"/>
          <w:szCs w:val="26"/>
        </w:rPr>
        <w:t xml:space="preserve"> </w:t>
      </w:r>
      <w:r w:rsidR="0066695A" w:rsidRPr="00A92A08">
        <w:rPr>
          <w:b/>
          <w:bCs/>
          <w:sz w:val="26"/>
          <w:szCs w:val="26"/>
        </w:rPr>
        <w:t>quarter 201</w:t>
      </w:r>
      <w:r w:rsidR="009577D1" w:rsidRPr="00A92A08">
        <w:rPr>
          <w:b/>
          <w:bCs/>
          <w:sz w:val="26"/>
          <w:szCs w:val="26"/>
        </w:rPr>
        <w:t>8</w:t>
      </w:r>
      <w:r w:rsidR="00A92A08">
        <w:rPr>
          <w:b/>
          <w:bCs/>
          <w:sz w:val="26"/>
          <w:szCs w:val="26"/>
        </w:rPr>
        <w:t xml:space="preserve"> </w:t>
      </w:r>
      <w:r w:rsidR="0066695A" w:rsidRPr="00A92A08">
        <w:rPr>
          <w:b/>
          <w:bCs/>
          <w:sz w:val="26"/>
          <w:szCs w:val="26"/>
        </w:rPr>
        <w:t>(Base year 2007</w:t>
      </w:r>
      <w:r w:rsidR="00647C1C" w:rsidRPr="00A92A08">
        <w:rPr>
          <w:b/>
          <w:bCs/>
          <w:sz w:val="26"/>
          <w:szCs w:val="26"/>
        </w:rPr>
        <w:t xml:space="preserve"> </w:t>
      </w:r>
      <w:r w:rsidR="0066695A" w:rsidRPr="00A92A08">
        <w:rPr>
          <w:b/>
          <w:bCs/>
          <w:sz w:val="26"/>
          <w:szCs w:val="26"/>
        </w:rPr>
        <w:t>=</w:t>
      </w:r>
      <w:r w:rsidR="00647C1C" w:rsidRPr="00A92A08">
        <w:rPr>
          <w:b/>
          <w:bCs/>
          <w:sz w:val="26"/>
          <w:szCs w:val="26"/>
        </w:rPr>
        <w:t xml:space="preserve"> </w:t>
      </w:r>
      <w:r w:rsidR="0066695A" w:rsidRPr="00A92A08">
        <w:rPr>
          <w:b/>
          <w:bCs/>
          <w:sz w:val="26"/>
          <w:szCs w:val="26"/>
        </w:rPr>
        <w:t>100)</w:t>
      </w:r>
    </w:p>
    <w:p w:rsidR="0066695A" w:rsidRPr="006E028D" w:rsidRDefault="0066695A" w:rsidP="0066695A">
      <w:pPr>
        <w:bidi w:val="0"/>
        <w:jc w:val="center"/>
        <w:rPr>
          <w:b/>
          <w:bCs/>
          <w:sz w:val="10"/>
          <w:szCs w:val="10"/>
        </w:rPr>
      </w:pPr>
    </w:p>
    <w:tbl>
      <w:tblPr>
        <w:tblW w:w="0" w:type="auto"/>
        <w:jc w:val="center"/>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56"/>
      </w:tblGrid>
      <w:tr w:rsidR="0066695A" w:rsidTr="0066695A">
        <w:trPr>
          <w:jc w:val="center"/>
        </w:trPr>
        <w:tc>
          <w:tcPr>
            <w:tcW w:w="4517" w:type="dxa"/>
          </w:tcPr>
          <w:p w:rsidR="0066695A" w:rsidRPr="0066695A" w:rsidRDefault="00A7058B" w:rsidP="0066695A">
            <w:pPr>
              <w:bidi w:val="0"/>
              <w:jc w:val="center"/>
              <w:rPr>
                <w:b/>
                <w:bCs/>
              </w:rPr>
            </w:pPr>
            <w:r>
              <w:rPr>
                <w:b/>
                <w:bCs/>
                <w:noProof/>
                <w:lang w:eastAsia="en-US"/>
              </w:rPr>
              <w:drawing>
                <wp:inline distT="0" distB="0" distL="0" distR="0">
                  <wp:extent cx="2819400" cy="23907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6695A" w:rsidRPr="00FC160D" w:rsidRDefault="0066695A" w:rsidP="0066695A">
      <w:pPr>
        <w:bidi w:val="0"/>
        <w:jc w:val="center"/>
        <w:rPr>
          <w:b/>
          <w:bCs/>
        </w:rPr>
      </w:pPr>
    </w:p>
    <w:p w:rsidR="00A92A08" w:rsidRDefault="00A92A08" w:rsidP="0066695A">
      <w:pPr>
        <w:bidi w:val="0"/>
        <w:jc w:val="both"/>
        <w:rPr>
          <w:b/>
          <w:bCs/>
          <w:sz w:val="20"/>
          <w:szCs w:val="20"/>
        </w:rPr>
      </w:pPr>
    </w:p>
    <w:p w:rsidR="00635C53" w:rsidRPr="00A92A08" w:rsidRDefault="00635C53" w:rsidP="0066695A">
      <w:pPr>
        <w:bidi w:val="0"/>
        <w:jc w:val="both"/>
        <w:rPr>
          <w:rFonts w:asciiTheme="majorBidi" w:hAnsiTheme="majorBidi" w:cstheme="majorBidi"/>
          <w:sz w:val="20"/>
          <w:szCs w:val="20"/>
        </w:rPr>
      </w:pPr>
    </w:p>
    <w:sectPr w:rsidR="00635C53" w:rsidRPr="00A92A08" w:rsidSect="000813DE">
      <w:footerReference w:type="even" r:id="rId10"/>
      <w:footerReference w:type="default" r:id="rId11"/>
      <w:pgSz w:w="11907" w:h="16840" w:code="9"/>
      <w:pgMar w:top="720" w:right="720" w:bottom="720" w:left="720" w:header="720" w:footer="720" w:gutter="0"/>
      <w:pgNumType w:start="1"/>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CE" w:rsidRDefault="00282ACE">
      <w:r>
        <w:separator/>
      </w:r>
    </w:p>
  </w:endnote>
  <w:endnote w:type="continuationSeparator" w:id="0">
    <w:p w:rsidR="00282ACE" w:rsidRDefault="00282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C4" w:rsidRDefault="004A18E4">
    <w:pPr>
      <w:pStyle w:val="Footer"/>
      <w:framePr w:wrap="around" w:vAnchor="text" w:hAnchor="margin" w:xAlign="center" w:y="1"/>
      <w:rPr>
        <w:rStyle w:val="PageNumber"/>
        <w:rtl/>
      </w:rPr>
    </w:pPr>
    <w:r>
      <w:rPr>
        <w:rStyle w:val="PageNumber"/>
        <w:rtl/>
      </w:rPr>
      <w:fldChar w:fldCharType="begin"/>
    </w:r>
    <w:r w:rsidR="007119C4">
      <w:rPr>
        <w:rStyle w:val="PageNumber"/>
      </w:rPr>
      <w:instrText xml:space="preserve">PAGE  </w:instrText>
    </w:r>
    <w:r>
      <w:rPr>
        <w:rStyle w:val="PageNumber"/>
        <w:rtl/>
      </w:rPr>
      <w:fldChar w:fldCharType="end"/>
    </w:r>
  </w:p>
  <w:p w:rsidR="007119C4" w:rsidRDefault="007119C4">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4536373"/>
      <w:docPartObj>
        <w:docPartGallery w:val="Page Numbers (Bottom of Page)"/>
        <w:docPartUnique/>
      </w:docPartObj>
    </w:sdtPr>
    <w:sdtContent>
      <w:p w:rsidR="000813DE" w:rsidRDefault="004A18E4">
        <w:pPr>
          <w:pStyle w:val="Footer"/>
          <w:jc w:val="center"/>
        </w:pPr>
        <w:fldSimple w:instr=" PAGE   \* MERGEFORMAT ">
          <w:r w:rsidR="00CF232C">
            <w:rPr>
              <w:noProof/>
              <w:rtl/>
            </w:rPr>
            <w:t>1</w:t>
          </w:r>
        </w:fldSimple>
      </w:p>
    </w:sdtContent>
  </w:sdt>
  <w:p w:rsidR="000813DE" w:rsidRDefault="00081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CE" w:rsidRDefault="00282ACE">
      <w:r>
        <w:separator/>
      </w:r>
    </w:p>
  </w:footnote>
  <w:footnote w:type="continuationSeparator" w:id="0">
    <w:p w:rsidR="00282ACE" w:rsidRDefault="00282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A02AF4"/>
    <w:rsid w:val="00001E72"/>
    <w:rsid w:val="00022588"/>
    <w:rsid w:val="000316D4"/>
    <w:rsid w:val="000441A2"/>
    <w:rsid w:val="000532E1"/>
    <w:rsid w:val="000552B4"/>
    <w:rsid w:val="000558DB"/>
    <w:rsid w:val="00071BAF"/>
    <w:rsid w:val="000813DE"/>
    <w:rsid w:val="000A1722"/>
    <w:rsid w:val="000A1ACF"/>
    <w:rsid w:val="000A2857"/>
    <w:rsid w:val="000A30A5"/>
    <w:rsid w:val="000A51D9"/>
    <w:rsid w:val="000C1419"/>
    <w:rsid w:val="000C3AE6"/>
    <w:rsid w:val="000D024B"/>
    <w:rsid w:val="000D7571"/>
    <w:rsid w:val="000E048A"/>
    <w:rsid w:val="000E598A"/>
    <w:rsid w:val="001029BD"/>
    <w:rsid w:val="00106E0B"/>
    <w:rsid w:val="001379BC"/>
    <w:rsid w:val="0014206B"/>
    <w:rsid w:val="0014223D"/>
    <w:rsid w:val="001428B9"/>
    <w:rsid w:val="00142D88"/>
    <w:rsid w:val="001478C7"/>
    <w:rsid w:val="00150DB4"/>
    <w:rsid w:val="00151951"/>
    <w:rsid w:val="00157CB8"/>
    <w:rsid w:val="00164632"/>
    <w:rsid w:val="00170995"/>
    <w:rsid w:val="00174D07"/>
    <w:rsid w:val="00193C65"/>
    <w:rsid w:val="001B39A7"/>
    <w:rsid w:val="001C1467"/>
    <w:rsid w:val="001C1813"/>
    <w:rsid w:val="001D4610"/>
    <w:rsid w:val="001E67F1"/>
    <w:rsid w:val="001F59E1"/>
    <w:rsid w:val="001F5CA4"/>
    <w:rsid w:val="00234FC5"/>
    <w:rsid w:val="00246756"/>
    <w:rsid w:val="002475A7"/>
    <w:rsid w:val="002475D5"/>
    <w:rsid w:val="00273F97"/>
    <w:rsid w:val="00280B2F"/>
    <w:rsid w:val="00282ACE"/>
    <w:rsid w:val="002A65DC"/>
    <w:rsid w:val="002A76E9"/>
    <w:rsid w:val="002B6CC4"/>
    <w:rsid w:val="002C1E7D"/>
    <w:rsid w:val="002C3FFF"/>
    <w:rsid w:val="002D247B"/>
    <w:rsid w:val="002D7C8B"/>
    <w:rsid w:val="002F099B"/>
    <w:rsid w:val="002F458F"/>
    <w:rsid w:val="002F652D"/>
    <w:rsid w:val="002F7973"/>
    <w:rsid w:val="00313E31"/>
    <w:rsid w:val="00333192"/>
    <w:rsid w:val="0033494D"/>
    <w:rsid w:val="00352CB9"/>
    <w:rsid w:val="0035475C"/>
    <w:rsid w:val="00357C0F"/>
    <w:rsid w:val="00362C56"/>
    <w:rsid w:val="0036330D"/>
    <w:rsid w:val="00373227"/>
    <w:rsid w:val="00373482"/>
    <w:rsid w:val="003D1122"/>
    <w:rsid w:val="003D6B61"/>
    <w:rsid w:val="003F72A5"/>
    <w:rsid w:val="004011F9"/>
    <w:rsid w:val="00404AE1"/>
    <w:rsid w:val="00407964"/>
    <w:rsid w:val="00442803"/>
    <w:rsid w:val="00470F79"/>
    <w:rsid w:val="004736AF"/>
    <w:rsid w:val="004814A7"/>
    <w:rsid w:val="004A18E4"/>
    <w:rsid w:val="004B0471"/>
    <w:rsid w:val="004B49B8"/>
    <w:rsid w:val="004C0ABD"/>
    <w:rsid w:val="004D3224"/>
    <w:rsid w:val="004D7E42"/>
    <w:rsid w:val="004E07C4"/>
    <w:rsid w:val="004E3DE8"/>
    <w:rsid w:val="004F25F7"/>
    <w:rsid w:val="004F37AD"/>
    <w:rsid w:val="00512ADF"/>
    <w:rsid w:val="005222C8"/>
    <w:rsid w:val="005300FD"/>
    <w:rsid w:val="0054079E"/>
    <w:rsid w:val="00546DEB"/>
    <w:rsid w:val="00550823"/>
    <w:rsid w:val="00560859"/>
    <w:rsid w:val="00560D95"/>
    <w:rsid w:val="00566005"/>
    <w:rsid w:val="005843A5"/>
    <w:rsid w:val="0059251C"/>
    <w:rsid w:val="00592F97"/>
    <w:rsid w:val="005A114A"/>
    <w:rsid w:val="005A5C14"/>
    <w:rsid w:val="005B0328"/>
    <w:rsid w:val="005B5BA2"/>
    <w:rsid w:val="005C2E3B"/>
    <w:rsid w:val="005C4EA7"/>
    <w:rsid w:val="005D0603"/>
    <w:rsid w:val="005D4495"/>
    <w:rsid w:val="005E333C"/>
    <w:rsid w:val="0061046E"/>
    <w:rsid w:val="006123B9"/>
    <w:rsid w:val="00635C53"/>
    <w:rsid w:val="00647C1C"/>
    <w:rsid w:val="006507EC"/>
    <w:rsid w:val="0066695A"/>
    <w:rsid w:val="00674358"/>
    <w:rsid w:val="00677C79"/>
    <w:rsid w:val="0068763B"/>
    <w:rsid w:val="006A06A0"/>
    <w:rsid w:val="006B020E"/>
    <w:rsid w:val="006B68B2"/>
    <w:rsid w:val="006C41F9"/>
    <w:rsid w:val="006E16EE"/>
    <w:rsid w:val="006E2866"/>
    <w:rsid w:val="006E3F38"/>
    <w:rsid w:val="006E5FF4"/>
    <w:rsid w:val="007119C4"/>
    <w:rsid w:val="0071595E"/>
    <w:rsid w:val="00715D0B"/>
    <w:rsid w:val="00716266"/>
    <w:rsid w:val="00745238"/>
    <w:rsid w:val="00745348"/>
    <w:rsid w:val="00765914"/>
    <w:rsid w:val="00772474"/>
    <w:rsid w:val="007777B6"/>
    <w:rsid w:val="0078417A"/>
    <w:rsid w:val="007A3645"/>
    <w:rsid w:val="007A755D"/>
    <w:rsid w:val="007B0572"/>
    <w:rsid w:val="007B172F"/>
    <w:rsid w:val="007B1FA4"/>
    <w:rsid w:val="007B263A"/>
    <w:rsid w:val="007B4844"/>
    <w:rsid w:val="007C4F6A"/>
    <w:rsid w:val="007D4D26"/>
    <w:rsid w:val="007E0B36"/>
    <w:rsid w:val="007E27D1"/>
    <w:rsid w:val="007F16E0"/>
    <w:rsid w:val="00810B7C"/>
    <w:rsid w:val="0081177A"/>
    <w:rsid w:val="00821889"/>
    <w:rsid w:val="00826129"/>
    <w:rsid w:val="00832305"/>
    <w:rsid w:val="0084434B"/>
    <w:rsid w:val="008525E4"/>
    <w:rsid w:val="00872DE9"/>
    <w:rsid w:val="00874B95"/>
    <w:rsid w:val="00883471"/>
    <w:rsid w:val="0088607C"/>
    <w:rsid w:val="00886755"/>
    <w:rsid w:val="008910DB"/>
    <w:rsid w:val="00893BE2"/>
    <w:rsid w:val="008977EC"/>
    <w:rsid w:val="008A3271"/>
    <w:rsid w:val="008A39D5"/>
    <w:rsid w:val="008C0D06"/>
    <w:rsid w:val="008D65BD"/>
    <w:rsid w:val="008E7801"/>
    <w:rsid w:val="008F0503"/>
    <w:rsid w:val="008F4D65"/>
    <w:rsid w:val="008F5B10"/>
    <w:rsid w:val="009100FC"/>
    <w:rsid w:val="0091203F"/>
    <w:rsid w:val="00916C4F"/>
    <w:rsid w:val="00922430"/>
    <w:rsid w:val="0092572E"/>
    <w:rsid w:val="009542BB"/>
    <w:rsid w:val="009577D1"/>
    <w:rsid w:val="0097781A"/>
    <w:rsid w:val="009863E0"/>
    <w:rsid w:val="009923B4"/>
    <w:rsid w:val="00994EFC"/>
    <w:rsid w:val="009A333D"/>
    <w:rsid w:val="009B4D64"/>
    <w:rsid w:val="009B6ECF"/>
    <w:rsid w:val="009C2C1A"/>
    <w:rsid w:val="009D415E"/>
    <w:rsid w:val="009E6723"/>
    <w:rsid w:val="00A012EE"/>
    <w:rsid w:val="00A02AF4"/>
    <w:rsid w:val="00A16347"/>
    <w:rsid w:val="00A25696"/>
    <w:rsid w:val="00A4532A"/>
    <w:rsid w:val="00A474FA"/>
    <w:rsid w:val="00A53F74"/>
    <w:rsid w:val="00A56B0C"/>
    <w:rsid w:val="00A57B14"/>
    <w:rsid w:val="00A62B39"/>
    <w:rsid w:val="00A673F4"/>
    <w:rsid w:val="00A7058B"/>
    <w:rsid w:val="00A92A08"/>
    <w:rsid w:val="00AB6BEB"/>
    <w:rsid w:val="00AC24DE"/>
    <w:rsid w:val="00AD2168"/>
    <w:rsid w:val="00AE0AD8"/>
    <w:rsid w:val="00AE5C36"/>
    <w:rsid w:val="00AF0903"/>
    <w:rsid w:val="00AF09FD"/>
    <w:rsid w:val="00AF79AE"/>
    <w:rsid w:val="00B14AD0"/>
    <w:rsid w:val="00B17989"/>
    <w:rsid w:val="00B2014B"/>
    <w:rsid w:val="00B2222D"/>
    <w:rsid w:val="00B3118E"/>
    <w:rsid w:val="00B3350A"/>
    <w:rsid w:val="00B431EF"/>
    <w:rsid w:val="00B47964"/>
    <w:rsid w:val="00B53AC0"/>
    <w:rsid w:val="00B62228"/>
    <w:rsid w:val="00B655D0"/>
    <w:rsid w:val="00B72010"/>
    <w:rsid w:val="00B85188"/>
    <w:rsid w:val="00B95019"/>
    <w:rsid w:val="00BA1B13"/>
    <w:rsid w:val="00BA7D9E"/>
    <w:rsid w:val="00BC4555"/>
    <w:rsid w:val="00C270A0"/>
    <w:rsid w:val="00C614BD"/>
    <w:rsid w:val="00C61DC3"/>
    <w:rsid w:val="00C64AD5"/>
    <w:rsid w:val="00C772F0"/>
    <w:rsid w:val="00C867F9"/>
    <w:rsid w:val="00C927C2"/>
    <w:rsid w:val="00CA4E4B"/>
    <w:rsid w:val="00CB5EB3"/>
    <w:rsid w:val="00CB6736"/>
    <w:rsid w:val="00CC14ED"/>
    <w:rsid w:val="00CC5158"/>
    <w:rsid w:val="00CE3A28"/>
    <w:rsid w:val="00CF1492"/>
    <w:rsid w:val="00CF232C"/>
    <w:rsid w:val="00D01A77"/>
    <w:rsid w:val="00D0313C"/>
    <w:rsid w:val="00D105A2"/>
    <w:rsid w:val="00D30D24"/>
    <w:rsid w:val="00D46644"/>
    <w:rsid w:val="00D475D8"/>
    <w:rsid w:val="00D61698"/>
    <w:rsid w:val="00D61D77"/>
    <w:rsid w:val="00D740E4"/>
    <w:rsid w:val="00D74755"/>
    <w:rsid w:val="00D91609"/>
    <w:rsid w:val="00D96C82"/>
    <w:rsid w:val="00DA3836"/>
    <w:rsid w:val="00DA68E3"/>
    <w:rsid w:val="00DB0789"/>
    <w:rsid w:val="00DB58BB"/>
    <w:rsid w:val="00DB7419"/>
    <w:rsid w:val="00DC1260"/>
    <w:rsid w:val="00DC141E"/>
    <w:rsid w:val="00DD3467"/>
    <w:rsid w:val="00DD39CD"/>
    <w:rsid w:val="00DD7595"/>
    <w:rsid w:val="00DE2FE2"/>
    <w:rsid w:val="00E073D7"/>
    <w:rsid w:val="00E24833"/>
    <w:rsid w:val="00E64FD0"/>
    <w:rsid w:val="00E66062"/>
    <w:rsid w:val="00E75999"/>
    <w:rsid w:val="00E80E52"/>
    <w:rsid w:val="00E8416D"/>
    <w:rsid w:val="00E84557"/>
    <w:rsid w:val="00E9284F"/>
    <w:rsid w:val="00EA09BA"/>
    <w:rsid w:val="00EB67CF"/>
    <w:rsid w:val="00EB7DA6"/>
    <w:rsid w:val="00EC36EB"/>
    <w:rsid w:val="00EC3EC4"/>
    <w:rsid w:val="00EC5A53"/>
    <w:rsid w:val="00ED16E5"/>
    <w:rsid w:val="00EE0DE6"/>
    <w:rsid w:val="00EE6469"/>
    <w:rsid w:val="00EF39ED"/>
    <w:rsid w:val="00F025C1"/>
    <w:rsid w:val="00F10899"/>
    <w:rsid w:val="00F108B4"/>
    <w:rsid w:val="00F14895"/>
    <w:rsid w:val="00F46874"/>
    <w:rsid w:val="00F53CA2"/>
    <w:rsid w:val="00F56B9E"/>
    <w:rsid w:val="00F61BC3"/>
    <w:rsid w:val="00F7525D"/>
    <w:rsid w:val="00F75BB5"/>
    <w:rsid w:val="00F77596"/>
    <w:rsid w:val="00F83D05"/>
    <w:rsid w:val="00F84185"/>
    <w:rsid w:val="00FC48A3"/>
    <w:rsid w:val="00FF4B57"/>
    <w:rsid w:val="00FF61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16773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626692282021468"/>
          <c:y val="8.0645161290322856E-2"/>
          <c:w val="0.65867563768151494"/>
          <c:h val="0.76161705959775561"/>
        </c:manualLayout>
      </c:layout>
      <c:lineChart>
        <c:grouping val="standard"/>
        <c:ser>
          <c:idx val="0"/>
          <c:order val="0"/>
          <c:tx>
            <c:strRef>
              <c:f>Sheet1!$A$2</c:f>
              <c:strCache>
                <c:ptCount val="1"/>
                <c:pt idx="0">
                  <c:v>inflation rate</c:v>
                </c:pt>
              </c:strCache>
            </c:strRef>
          </c:tx>
          <c:dLbls>
            <c:dLbl>
              <c:idx val="0"/>
              <c:layout>
                <c:manualLayout>
                  <c:x val="-3.3023735810113565E-2"/>
                  <c:y val="5.0420168067226885E-2"/>
                </c:manualLayout>
              </c:layout>
              <c:showVal val="1"/>
            </c:dLbl>
            <c:dLbl>
              <c:idx val="1"/>
              <c:layout>
                <c:manualLayout>
                  <c:x val="-4.9535603715170302E-2"/>
                  <c:y val="-6.1624649859944022E-2"/>
                </c:manualLayout>
              </c:layout>
              <c:showVal val="1"/>
            </c:dLbl>
            <c:dLbl>
              <c:idx val="2"/>
              <c:layout>
                <c:manualLayout>
                  <c:x val="-7.407407407407407E-2"/>
                  <c:y val="3.9215686274509914E-2"/>
                </c:manualLayout>
              </c:layout>
              <c:showVal val="1"/>
            </c:dLbl>
            <c:dLbl>
              <c:idx val="3"/>
              <c:layout>
                <c:manualLayout>
                  <c:x val="-8.6687306501548045E-2"/>
                  <c:y val="-7.843137254901969E-2"/>
                </c:manualLayout>
              </c:layout>
              <c:showVal val="1"/>
            </c:dLbl>
            <c:dLbl>
              <c:idx val="5"/>
              <c:layout>
                <c:manualLayout>
                  <c:x val="-4.5407636738906187E-2"/>
                  <c:y val="-8.9635854341736862E-2"/>
                </c:manualLayout>
              </c:layout>
              <c:showVal val="1"/>
            </c:dLbl>
            <c:dLbl>
              <c:idx val="7"/>
              <c:layout>
                <c:manualLayout>
                  <c:x val="-5.3663570691434466E-2"/>
                  <c:y val="-7.8431372549019635E-2"/>
                </c:manualLayout>
              </c:layout>
              <c:showVal val="1"/>
            </c:dLbl>
            <c:dLbl>
              <c:idx val="9"/>
              <c:layout>
                <c:manualLayout>
                  <c:x val="-5.7791537667698754E-2"/>
                  <c:y val="-6.7226890756302532E-2"/>
                </c:manualLayout>
              </c:layout>
              <c:showVal val="1"/>
            </c:dLbl>
            <c:dLbl>
              <c:idx val="10"/>
              <c:layout>
                <c:manualLayout>
                  <c:x val="-2.0639834881321005E-2"/>
                  <c:y val="1.6806722689075657E-2"/>
                </c:manualLayout>
              </c:layout>
              <c:showVal val="1"/>
            </c:dLbl>
            <c:dLbl>
              <c:idx val="11"/>
              <c:layout>
                <c:manualLayout>
                  <c:x val="-1.7148981779206866E-2"/>
                  <c:y val="-6.1624649859944022E-2"/>
                </c:manualLayout>
              </c:layout>
              <c:showVal val="1"/>
            </c:dLbl>
            <c:delete val="1"/>
            <c:txPr>
              <a:bodyPr/>
              <a:lstStyle/>
              <a:p>
                <a:pPr>
                  <a:defRPr b="1"/>
                </a:pPr>
                <a:endParaRPr lang="ar-SA"/>
              </a:p>
            </c:txPr>
          </c:dLbls>
          <c:cat>
            <c:numRef>
              <c:f>Sheet1!$B$1:$M$1</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Sheet1!$B$3:$M$3</c:f>
              <c:numCache>
                <c:formatCode>0.00%</c:formatCode>
                <c:ptCount val="12"/>
                <c:pt idx="0">
                  <c:v>3.0843279339540858E-2</c:v>
                </c:pt>
                <c:pt idx="1">
                  <c:v>0.10708656857849649</c:v>
                </c:pt>
                <c:pt idx="2">
                  <c:v>-6.692354814467478E-3</c:v>
                </c:pt>
                <c:pt idx="3">
                  <c:v>3.701979388384135E-2</c:v>
                </c:pt>
                <c:pt idx="4">
                  <c:v>3.7602409325464561E-2</c:v>
                </c:pt>
                <c:pt idx="5">
                  <c:v>9.2865108482622985E-3</c:v>
                </c:pt>
                <c:pt idx="6">
                  <c:v>7.8084822892499524E-3</c:v>
                </c:pt>
                <c:pt idx="7">
                  <c:v>1.4843629228618222E-2</c:v>
                </c:pt>
                <c:pt idx="8">
                  <c:v>1.2122729362056515E-2</c:v>
                </c:pt>
                <c:pt idx="9">
                  <c:v>1.6208822194510211E-2</c:v>
                </c:pt>
                <c:pt idx="10">
                  <c:v>-1.1702741605752204E-2</c:v>
                </c:pt>
                <c:pt idx="11">
                  <c:v>1.0523461850728361E-2</c:v>
                </c:pt>
              </c:numCache>
            </c:numRef>
          </c:val>
        </c:ser>
        <c:marker val="1"/>
        <c:axId val="100956032"/>
        <c:axId val="100957568"/>
      </c:lineChart>
      <c:catAx>
        <c:axId val="100956032"/>
        <c:scaling>
          <c:orientation val="minMax"/>
        </c:scaling>
        <c:axPos val="b"/>
        <c:numFmt formatCode="General" sourceLinked="1"/>
        <c:tickLblPos val="nextTo"/>
        <c:txPr>
          <a:bodyPr rot="-2700000" vert="horz"/>
          <a:lstStyle/>
          <a:p>
            <a:pPr>
              <a:defRPr lang="ar-SA" sz="799" b="0" i="0" u="none" strike="noStrike" baseline="0">
                <a:solidFill>
                  <a:srgbClr val="000000"/>
                </a:solidFill>
                <a:latin typeface="Arial"/>
                <a:ea typeface="Arial"/>
                <a:cs typeface="Arial"/>
              </a:defRPr>
            </a:pPr>
            <a:endParaRPr lang="ar-SA"/>
          </a:p>
        </c:txPr>
        <c:crossAx val="100957568"/>
        <c:crosses val="autoZero"/>
        <c:auto val="1"/>
        <c:lblAlgn val="ctr"/>
        <c:lblOffset val="500"/>
        <c:tickLblSkip val="1"/>
      </c:catAx>
      <c:valAx>
        <c:axId val="100957568"/>
        <c:scaling>
          <c:orientation val="minMax"/>
          <c:max val="0.13"/>
          <c:min val="-2.0000000000000032E-2"/>
        </c:scaling>
        <c:axPos val="l"/>
        <c:title>
          <c:tx>
            <c:rich>
              <a:bodyPr/>
              <a:lstStyle/>
              <a:p>
                <a:pPr>
                  <a:defRPr lang="ar-SA" sz="799" b="0" i="0" u="none" strike="noStrike" baseline="0">
                    <a:solidFill>
                      <a:srgbClr val="000000"/>
                    </a:solidFill>
                    <a:latin typeface="Arial"/>
                    <a:ea typeface="Arial"/>
                    <a:cs typeface="Arial"/>
                  </a:defRPr>
                </a:pPr>
                <a:r>
                  <a:rPr lang="en-US"/>
                  <a:t>Yearly WPI Percent</a:t>
                </a:r>
                <a:r>
                  <a:rPr lang="en-US" baseline="0"/>
                  <a:t> Change</a:t>
                </a:r>
                <a:endParaRPr lang="en-US"/>
              </a:p>
            </c:rich>
          </c:tx>
          <c:layout>
            <c:manualLayout>
              <c:xMode val="edge"/>
              <c:yMode val="edge"/>
              <c:x val="2.4304949497411896E-2"/>
              <c:y val="0.10686120117338291"/>
            </c:manualLayout>
          </c:layout>
        </c:title>
        <c:numFmt formatCode="0.0%" sourceLinked="0"/>
        <c:tickLblPos val="nextTo"/>
        <c:txPr>
          <a:bodyPr rot="0" vert="horz"/>
          <a:lstStyle/>
          <a:p>
            <a:pPr>
              <a:defRPr lang="ar-SA" sz="799" b="0" i="0" u="none" strike="noStrike" baseline="0">
                <a:solidFill>
                  <a:srgbClr val="000000"/>
                </a:solidFill>
                <a:latin typeface="Arial"/>
                <a:ea typeface="Arial"/>
                <a:cs typeface="Arial"/>
              </a:defRPr>
            </a:pPr>
            <a:endParaRPr lang="ar-SA"/>
          </a:p>
        </c:txPr>
        <c:crossAx val="100956032"/>
        <c:crosses val="autoZero"/>
        <c:crossBetween val="midCat"/>
        <c:majorUnit val="2.0000000000000032E-2"/>
        <c:minorUnit val="8.0000000000000227E-3"/>
      </c:valAx>
    </c:plotArea>
    <c:plotVisOnly val="1"/>
    <c:dispBlanksAs val="gap"/>
  </c:chart>
  <c:spPr>
    <a:ln>
      <a:noFill/>
    </a:ln>
  </c:spPr>
  <c:txPr>
    <a:bodyPr/>
    <a:lstStyle/>
    <a:p>
      <a:pPr>
        <a:defRPr sz="799" b="0"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321229630468856"/>
          <c:y val="5.5000000000000104E-2"/>
          <c:w val="0.71791461319133665"/>
          <c:h val="0.61634623010253264"/>
        </c:manualLayout>
      </c:layout>
      <c:lineChart>
        <c:grouping val="standard"/>
        <c:ser>
          <c:idx val="0"/>
          <c:order val="0"/>
          <c:tx>
            <c:strRef>
              <c:f>Sheet1!$A$2</c:f>
              <c:strCache>
                <c:ptCount val="1"/>
                <c:pt idx="0">
                  <c:v>Price Index</c:v>
                </c:pt>
              </c:strCache>
            </c:strRef>
          </c:tx>
          <c:spPr>
            <a:ln w="10736">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4.9061633253290306E-2"/>
                  <c:y val="-7.6657150923863604E-2"/>
                </c:manualLayout>
              </c:layout>
              <c:spPr/>
              <c:txPr>
                <a:bodyPr/>
                <a:lstStyle/>
                <a:p>
                  <a:pPr>
                    <a:defRPr sz="761" b="1" i="0" u="none" strike="noStrike" baseline="0">
                      <a:solidFill>
                        <a:srgbClr val="000000"/>
                      </a:solidFill>
                      <a:latin typeface="Arial"/>
                      <a:ea typeface="Arial"/>
                      <a:cs typeface="Arial"/>
                    </a:defRPr>
                  </a:pPr>
                  <a:endParaRPr lang="ar-SA"/>
                </a:p>
              </c:txPr>
              <c:dLblPos val="r"/>
              <c:showVal val="1"/>
            </c:dLbl>
            <c:dLbl>
              <c:idx val="8"/>
              <c:layout>
                <c:manualLayout>
                  <c:x val="-1.9173135272984533E-4"/>
                  <c:y val="-5.9425918373749095E-2"/>
                </c:manualLayout>
              </c:layout>
              <c:spPr/>
              <c:txPr>
                <a:bodyPr/>
                <a:lstStyle/>
                <a:p>
                  <a:pPr>
                    <a:defRPr sz="761" b="1" i="0" u="none" strike="noStrike" baseline="0">
                      <a:solidFill>
                        <a:srgbClr val="000000"/>
                      </a:solidFill>
                      <a:latin typeface="Arial"/>
                      <a:ea typeface="Arial"/>
                      <a:cs typeface="Arial"/>
                    </a:defRPr>
                  </a:pPr>
                  <a:endParaRPr lang="ar-SA"/>
                </a:p>
              </c:txPr>
              <c:dLblPos val="r"/>
              <c:showVal val="1"/>
            </c:dLbl>
            <c:delete val="1"/>
          </c:dLbls>
          <c:cat>
            <c:strRef>
              <c:f>Sheet1!$B$1:$J$1</c:f>
              <c:strCache>
                <c:ptCount val="9"/>
                <c:pt idx="0">
                  <c:v>Q4.2016</c:v>
                </c:pt>
                <c:pt idx="1">
                  <c:v>Q1.2017</c:v>
                </c:pt>
                <c:pt idx="2">
                  <c:v>Q2.2017</c:v>
                </c:pt>
                <c:pt idx="3">
                  <c:v>Q3.2017</c:v>
                </c:pt>
                <c:pt idx="4">
                  <c:v>Q4.2017</c:v>
                </c:pt>
                <c:pt idx="5">
                  <c:v>Q1.2018</c:v>
                </c:pt>
                <c:pt idx="6">
                  <c:v>Q2.2018</c:v>
                </c:pt>
                <c:pt idx="7">
                  <c:v>Q3.2018</c:v>
                </c:pt>
                <c:pt idx="8">
                  <c:v>Q4.2018</c:v>
                </c:pt>
              </c:strCache>
            </c:strRef>
          </c:cat>
          <c:val>
            <c:numRef>
              <c:f>Sheet1!$B$2:$J$2</c:f>
              <c:numCache>
                <c:formatCode>0.00</c:formatCode>
                <c:ptCount val="9"/>
                <c:pt idx="0">
                  <c:v>125.33</c:v>
                </c:pt>
                <c:pt idx="1">
                  <c:v>125.82</c:v>
                </c:pt>
                <c:pt idx="2">
                  <c:v>122</c:v>
                </c:pt>
                <c:pt idx="3">
                  <c:v>124.50937714724039</c:v>
                </c:pt>
                <c:pt idx="4">
                  <c:v>124.30406209233908</c:v>
                </c:pt>
                <c:pt idx="5">
                  <c:v>122.51830702660243</c:v>
                </c:pt>
                <c:pt idx="6">
                  <c:v>125.86999999999999</c:v>
                </c:pt>
                <c:pt idx="7">
                  <c:v>126.430326685122</c:v>
                </c:pt>
                <c:pt idx="8">
                  <c:v>127.04685107499441</c:v>
                </c:pt>
              </c:numCache>
            </c:numRef>
          </c:val>
        </c:ser>
        <c:marker val="1"/>
        <c:axId val="124534784"/>
        <c:axId val="124536320"/>
      </c:lineChart>
      <c:catAx>
        <c:axId val="124534784"/>
        <c:scaling>
          <c:orientation val="minMax"/>
        </c:scaling>
        <c:axPos val="b"/>
        <c:numFmt formatCode="General" sourceLinked="1"/>
        <c:minorTickMark val="out"/>
        <c:tickLblPos val="nextTo"/>
        <c:spPr>
          <a:ln w="2684">
            <a:solidFill>
              <a:srgbClr val="000000"/>
            </a:solidFill>
            <a:prstDash val="solid"/>
          </a:ln>
        </c:spPr>
        <c:txPr>
          <a:bodyPr rot="3900000" vert="horz"/>
          <a:lstStyle/>
          <a:p>
            <a:pPr>
              <a:defRPr sz="761" b="0" i="0" u="none" strike="noStrike" baseline="0">
                <a:solidFill>
                  <a:srgbClr val="000000"/>
                </a:solidFill>
                <a:latin typeface="Arial"/>
                <a:ea typeface="Arial"/>
                <a:cs typeface="Arial"/>
              </a:defRPr>
            </a:pPr>
            <a:endParaRPr lang="ar-SA"/>
          </a:p>
        </c:txPr>
        <c:crossAx val="124536320"/>
        <c:crosses val="autoZero"/>
        <c:auto val="1"/>
        <c:lblAlgn val="ctr"/>
        <c:lblOffset val="100"/>
        <c:tickLblSkip val="1"/>
        <c:tickMarkSkip val="2"/>
      </c:catAx>
      <c:valAx>
        <c:axId val="124536320"/>
        <c:scaling>
          <c:orientation val="minMax"/>
          <c:max val="130"/>
          <c:min val="120"/>
        </c:scaling>
        <c:axPos val="l"/>
        <c:title>
          <c:tx>
            <c:rich>
              <a:bodyPr/>
              <a:lstStyle/>
              <a:p>
                <a:pPr>
                  <a:defRPr sz="761" b="0" i="0" u="none" strike="noStrike" baseline="0">
                    <a:solidFill>
                      <a:srgbClr val="000000"/>
                    </a:solidFill>
                    <a:latin typeface="Arial"/>
                    <a:ea typeface="Arial"/>
                    <a:cs typeface="Arial"/>
                  </a:defRPr>
                </a:pPr>
                <a:r>
                  <a:rPr lang="en-US"/>
                  <a:t>Wholesale Price Index (WPI)</a:t>
                </a:r>
              </a:p>
            </c:rich>
          </c:tx>
          <c:layout>
            <c:manualLayout>
              <c:xMode val="edge"/>
              <c:yMode val="edge"/>
              <c:x val="4.1828166313159047E-3"/>
              <c:y val="9.0714324609838706E-2"/>
            </c:manualLayout>
          </c:layout>
          <c:spPr>
            <a:noFill/>
            <a:ln w="21474">
              <a:noFill/>
            </a:ln>
          </c:spPr>
        </c:title>
        <c:numFmt formatCode="0" sourceLinked="0"/>
        <c:tickLblPos val="nextTo"/>
        <c:spPr>
          <a:ln w="2684">
            <a:solidFill>
              <a:srgbClr val="000000"/>
            </a:solidFill>
            <a:prstDash val="solid"/>
          </a:ln>
        </c:spPr>
        <c:txPr>
          <a:bodyPr rot="0" vert="horz"/>
          <a:lstStyle/>
          <a:p>
            <a:pPr>
              <a:defRPr sz="761" b="0" i="0" u="none" strike="noStrike" baseline="0">
                <a:solidFill>
                  <a:srgbClr val="000000"/>
                </a:solidFill>
                <a:latin typeface="Arial"/>
                <a:ea typeface="Arial"/>
                <a:cs typeface="Arial"/>
              </a:defRPr>
            </a:pPr>
            <a:endParaRPr lang="ar-SA"/>
          </a:p>
        </c:txPr>
        <c:crossAx val="124534784"/>
        <c:crosses val="autoZero"/>
        <c:crossBetween val="between"/>
        <c:majorUnit val="2"/>
      </c:valAx>
      <c:spPr>
        <a:noFill/>
        <a:ln w="21475">
          <a:noFill/>
        </a:ln>
      </c:spPr>
    </c:plotArea>
    <c:plotVisOnly val="1"/>
    <c:dispBlanksAs val="gap"/>
  </c:chart>
  <c:spPr>
    <a:noFill/>
    <a:ln>
      <a:noFill/>
    </a:ln>
  </c:spPr>
  <c:txPr>
    <a:bodyPr/>
    <a:lstStyle/>
    <a:p>
      <a:pPr>
        <a:defRPr sz="761"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BBFA-919C-4E77-98B3-3803D230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2950</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loays</cp:lastModifiedBy>
  <cp:revision>3</cp:revision>
  <cp:lastPrinted>2019-01-20T07:07:00Z</cp:lastPrinted>
  <dcterms:created xsi:type="dcterms:W3CDTF">2019-01-20T07:16:00Z</dcterms:created>
  <dcterms:modified xsi:type="dcterms:W3CDTF">2019-01-20T07:28:00Z</dcterms:modified>
</cp:coreProperties>
</file>