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C" w:rsidRDefault="0031286D" w:rsidP="007205BA">
      <w:pPr>
        <w:tabs>
          <w:tab w:val="left" w:pos="1315"/>
        </w:tabs>
        <w:bidi/>
        <w:rPr>
          <w:rFonts w:asciiTheme="majorBidi" w:hAnsiTheme="majorBidi" w:cstheme="majorBidi"/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</w:t>
      </w:r>
      <w:r w:rsidR="00927F69">
        <w:rPr>
          <w:b w:val="0"/>
          <w:bCs/>
          <w:i w:val="0"/>
          <w:iCs/>
          <w:rtl/>
        </w:rPr>
        <w:tab/>
      </w:r>
    </w:p>
    <w:p w:rsidR="007205BA" w:rsidRDefault="007205BA" w:rsidP="007205BA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</w:p>
    <w:p w:rsidR="006845AC" w:rsidRPr="007205BA" w:rsidRDefault="00DB2CC3" w:rsidP="007205BA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32"/>
          <w:szCs w:val="32"/>
          <w:rtl/>
        </w:rPr>
      </w:pPr>
      <w:r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The </w:t>
      </w:r>
      <w:r w:rsidR="00917480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Net Stock </w:t>
      </w:r>
      <w:r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of the International Investment Position (IIP) </w:t>
      </w:r>
      <w:r w:rsidR="007205BA">
        <w:rPr>
          <w:rFonts w:asciiTheme="majorBidi" w:hAnsiTheme="majorBidi" w:cstheme="majorBidi"/>
          <w:i w:val="0"/>
          <w:iCs/>
          <w:sz w:val="32"/>
          <w:szCs w:val="32"/>
        </w:rPr>
        <w:t>Increased</w:t>
      </w:r>
      <w:r w:rsidR="00917480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 </w:t>
      </w:r>
      <w:r w:rsidR="00CF323B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by 4% </w:t>
      </w:r>
      <w:r w:rsidR="00805979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at the </w:t>
      </w:r>
      <w:r w:rsidR="00917480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End </w:t>
      </w:r>
      <w:r w:rsidR="00805979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of </w:t>
      </w:r>
      <w:r w:rsidR="00421004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the </w:t>
      </w:r>
      <w:r w:rsidR="00917480" w:rsidRPr="007205BA">
        <w:rPr>
          <w:rFonts w:asciiTheme="majorBidi" w:hAnsiTheme="majorBidi" w:cstheme="majorBidi"/>
          <w:i w:val="0"/>
          <w:iCs/>
          <w:sz w:val="32"/>
          <w:szCs w:val="32"/>
        </w:rPr>
        <w:t>F</w:t>
      </w:r>
      <w:r w:rsidR="006D4F2F" w:rsidRPr="007205BA">
        <w:rPr>
          <w:rFonts w:asciiTheme="majorBidi" w:hAnsiTheme="majorBidi" w:cstheme="majorBidi"/>
          <w:i w:val="0"/>
          <w:iCs/>
          <w:sz w:val="32"/>
          <w:szCs w:val="32"/>
        </w:rPr>
        <w:t>irst</w:t>
      </w:r>
      <w:r w:rsidR="00917480" w:rsidRP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 Quarter</w:t>
      </w:r>
      <w:r w:rsidR="007205BA">
        <w:rPr>
          <w:rFonts w:asciiTheme="majorBidi" w:hAnsiTheme="majorBidi" w:cstheme="majorBidi"/>
          <w:i w:val="0"/>
          <w:iCs/>
          <w:sz w:val="32"/>
          <w:szCs w:val="32"/>
        </w:rPr>
        <w:t xml:space="preserve"> </w:t>
      </w:r>
      <w:r w:rsidRPr="007205BA">
        <w:rPr>
          <w:rFonts w:asciiTheme="majorBidi" w:hAnsiTheme="majorBidi" w:cstheme="majorBidi"/>
          <w:i w:val="0"/>
          <w:iCs/>
          <w:sz w:val="32"/>
          <w:szCs w:val="32"/>
        </w:rPr>
        <w:t>201</w:t>
      </w:r>
      <w:r w:rsidR="006D4F2F" w:rsidRPr="007205BA">
        <w:rPr>
          <w:rFonts w:asciiTheme="majorBidi" w:hAnsiTheme="majorBidi" w:cstheme="majorBidi"/>
          <w:i w:val="0"/>
          <w:iCs/>
          <w:sz w:val="32"/>
          <w:szCs w:val="32"/>
        </w:rPr>
        <w:t>9</w:t>
      </w:r>
    </w:p>
    <w:p w:rsidR="003A1748" w:rsidRPr="001253D2" w:rsidRDefault="001253D2" w:rsidP="001253D2">
      <w:pPr>
        <w:bidi/>
        <w:jc w:val="right"/>
        <w:rPr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               </w:t>
      </w:r>
    </w:p>
    <w:p w:rsidR="00DB5004" w:rsidRPr="00E23D7F" w:rsidRDefault="00DB5004" w:rsidP="00DB500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DB5004" w:rsidRPr="00E23D7F" w:rsidRDefault="00DB5004" w:rsidP="006D4F2F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D4F2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first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Default="00DB5004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6D4F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first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F7796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="00B47E2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724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increased by 4% compared with previous quarter,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</w:t>
      </w:r>
    </w:p>
    <w:p w:rsidR="00D12348" w:rsidRPr="007205BA" w:rsidRDefault="00D12348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6,</w:t>
      </w:r>
      <w:r w:rsidR="00AD6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841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D6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7205BA" w:rsidRDefault="00DB5004" w:rsidP="007205BA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064A5C" w:rsidRDefault="00DB5004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117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15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4B73D8" w:rsidRPr="004B73D8">
        <w:rPr>
          <w:rFonts w:asciiTheme="majorBidi" w:hAnsiTheme="majorBidi" w:cstheme="majorBidi" w:hint="cs"/>
          <w:sz w:val="24"/>
          <w:szCs w:val="24"/>
          <w:rtl/>
        </w:rPr>
        <w:t>3</w:t>
      </w:r>
      <w:r w:rsidR="00A83B3E">
        <w:rPr>
          <w:rFonts w:asciiTheme="majorBidi" w:hAnsiTheme="majorBidi" w:cstheme="majorBidi" w:hint="cs"/>
          <w:sz w:val="24"/>
          <w:szCs w:val="24"/>
          <w:rtl/>
        </w:rPr>
        <w:t>2</w:t>
      </w:r>
      <w:r w:rsidR="00DD607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285269" w:rsidRPr="007205BA" w:rsidRDefault="00285269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041F63" w:rsidRDefault="00805979" w:rsidP="002E060B">
      <w:pPr>
        <w:pStyle w:val="HTMLPreformatted"/>
        <w:shd w:val="clear" w:color="auto" w:fill="FFFFFF"/>
        <w:rPr>
          <w:rFonts w:asciiTheme="majorBidi" w:hAnsiTheme="majorBidi" w:cstheme="majorBidi"/>
          <w:b/>
          <w:iCs/>
          <w:sz w:val="28"/>
          <w:szCs w:val="28"/>
        </w:rPr>
      </w:pPr>
      <w:r>
        <w:rPr>
          <w:rFonts w:asciiTheme="majorBidi" w:hAnsiTheme="majorBidi" w:cstheme="majorBidi"/>
          <w:b/>
          <w:iCs/>
          <w:sz w:val="28"/>
          <w:szCs w:val="28"/>
        </w:rPr>
        <w:t xml:space="preserve">Stock of </w:t>
      </w:r>
      <w:r w:rsidR="00041F63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 </w:t>
      </w:r>
      <w:r w:rsidR="00DD103D">
        <w:rPr>
          <w:rFonts w:asciiTheme="majorBidi" w:hAnsiTheme="majorBidi" w:cstheme="majorBidi"/>
          <w:b/>
          <w:iCs/>
          <w:sz w:val="28"/>
          <w:szCs w:val="28"/>
        </w:rPr>
        <w:t>e</w:t>
      </w:r>
      <w:r w:rsidR="00041F63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xternal government </w:t>
      </w:r>
      <w:r>
        <w:rPr>
          <w:rFonts w:asciiTheme="majorBidi" w:hAnsiTheme="majorBidi" w:cstheme="majorBidi"/>
          <w:b/>
          <w:iCs/>
          <w:sz w:val="28"/>
          <w:szCs w:val="28"/>
        </w:rPr>
        <w:t>d</w:t>
      </w:r>
      <w:r w:rsidR="00064A5C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ebt </w:t>
      </w:r>
      <w:r w:rsidR="00EC5050">
        <w:rPr>
          <w:rFonts w:asciiTheme="majorBidi" w:hAnsiTheme="majorBidi" w:cstheme="majorBidi"/>
          <w:b/>
          <w:iCs/>
          <w:sz w:val="28"/>
          <w:szCs w:val="28"/>
        </w:rPr>
        <w:t xml:space="preserve">amounted to </w:t>
      </w:r>
      <w:r w:rsidR="00041F63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about </w:t>
      </w:r>
      <w:r w:rsidR="003E3D66">
        <w:rPr>
          <w:rFonts w:asciiTheme="majorBidi" w:hAnsiTheme="majorBidi" w:cstheme="majorBidi"/>
          <w:b/>
          <w:iCs/>
          <w:sz w:val="28"/>
          <w:szCs w:val="28"/>
        </w:rPr>
        <w:t>USD 1</w:t>
      </w:r>
      <w:r w:rsidR="00041F63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 billion at the end of the f</w:t>
      </w:r>
      <w:r w:rsidR="00F77963">
        <w:rPr>
          <w:rFonts w:asciiTheme="majorBidi" w:hAnsiTheme="majorBidi" w:cstheme="majorBidi"/>
          <w:b/>
          <w:iCs/>
          <w:sz w:val="28"/>
          <w:szCs w:val="28"/>
        </w:rPr>
        <w:t>irst</w:t>
      </w:r>
      <w:r w:rsidR="00041F63" w:rsidRPr="00041F63">
        <w:rPr>
          <w:rFonts w:asciiTheme="majorBidi" w:hAnsiTheme="majorBidi" w:cstheme="majorBidi"/>
          <w:b/>
          <w:iCs/>
          <w:sz w:val="28"/>
          <w:szCs w:val="28"/>
        </w:rPr>
        <w:t xml:space="preserve"> quarter 201</w:t>
      </w:r>
      <w:r w:rsidR="00F77963">
        <w:rPr>
          <w:rFonts w:asciiTheme="majorBidi" w:hAnsiTheme="majorBidi" w:cstheme="majorBidi"/>
          <w:b/>
          <w:iCs/>
          <w:sz w:val="28"/>
          <w:szCs w:val="28"/>
        </w:rPr>
        <w:t>9</w:t>
      </w:r>
    </w:p>
    <w:p w:rsidR="00DB5004" w:rsidRPr="00F33016" w:rsidRDefault="00DB5004" w:rsidP="007205BA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680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increased by 9.4% compared with previous quarter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="Times New Roman" w:hAnsi="Times New Roman"/>
          <w:b w:val="0"/>
          <w:bCs/>
          <w:i w:val="0"/>
          <w:iCs/>
          <w:sz w:val="24"/>
          <w:szCs w:val="24"/>
        </w:rPr>
        <w:t>3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7205BA" w:rsidRDefault="00DB5004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7205B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7205BA" w:rsidRDefault="007205BA" w:rsidP="007205BA">
      <w:pPr>
        <w:pStyle w:val="BodyText3"/>
        <w:spacing w:after="0"/>
        <w:jc w:val="both"/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</w:pPr>
    </w:p>
    <w:p w:rsidR="00DB5004" w:rsidRDefault="00DB5004" w:rsidP="007205BA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7205BA" w:rsidRDefault="007205BA" w:rsidP="00AF576D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DB5004" w:rsidRDefault="00DB5004" w:rsidP="007205BA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DB5004" w:rsidRPr="00E23D7F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7205BA" w:rsidRDefault="007205BA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p w:rsidR="007205BA" w:rsidRDefault="007205BA" w:rsidP="007205BA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p w:rsidR="00DB5004" w:rsidRPr="00706382" w:rsidRDefault="00DB5004" w:rsidP="007205BA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706382">
        <w:rPr>
          <w:rFonts w:asciiTheme="majorBidi" w:hAnsiTheme="majorBidi" w:cstheme="majorBidi"/>
          <w:b/>
          <w:iCs/>
          <w:szCs w:val="24"/>
        </w:rPr>
        <w:t>For further details please contact:</w:t>
      </w:r>
    </w:p>
    <w:p w:rsidR="00DB5004" w:rsidRPr="00706382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tbl>
      <w:tblPr>
        <w:tblStyle w:val="TableGrid"/>
        <w:tblW w:w="9497" w:type="dxa"/>
        <w:jc w:val="center"/>
        <w:tblLayout w:type="fixed"/>
        <w:tblLook w:val="04A0"/>
      </w:tblPr>
      <w:tblGrid>
        <w:gridCol w:w="3544"/>
        <w:gridCol w:w="567"/>
        <w:gridCol w:w="3544"/>
        <w:gridCol w:w="1842"/>
      </w:tblGrid>
      <w:tr w:rsidR="007205BA" w:rsidRPr="00706382" w:rsidTr="007205BA">
        <w:trPr>
          <w:trHeight w:val="245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ind w:right="-108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Palestinian Central Bureau of Statistics           </w:t>
            </w:r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 w:hint="cs"/>
                <w:b/>
                <w:iCs/>
                <w:sz w:val="20"/>
                <w:szCs w:val="20"/>
                <w:rtl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Or</w:t>
            </w:r>
          </w:p>
        </w:tc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Palestine Monetary Authority</w:t>
            </w:r>
          </w:p>
        </w:tc>
        <w:tc>
          <w:tcPr>
            <w:tcW w:w="1842" w:type="dxa"/>
            <w:vMerge w:val="restart"/>
          </w:tcPr>
          <w:p w:rsidR="007205BA" w:rsidRPr="0027580A" w:rsidRDefault="007205BA" w:rsidP="0027580A">
            <w:pPr>
              <w:jc w:val="center"/>
            </w:pPr>
            <w:r w:rsidRPr="0027580A">
              <w:rPr>
                <w:rFonts w:hint="cs"/>
                <w:noProof/>
              </w:rPr>
              <w:drawing>
                <wp:inline distT="0" distB="0" distL="0" distR="0">
                  <wp:extent cx="622113" cy="771525"/>
                  <wp:effectExtent l="19050" t="0" r="6537" b="0"/>
                  <wp:docPr id="1" name="Picture 14" descr="شعار 7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7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5BA" w:rsidRPr="00706382" w:rsidTr="007205BA">
        <w:trPr>
          <w:trHeight w:val="245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1647, Ramallah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- Palestine.</w:t>
            </w:r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452, Ramallah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- Palestine.</w:t>
            </w:r>
          </w:p>
        </w:tc>
        <w:tc>
          <w:tcPr>
            <w:tcW w:w="1842" w:type="dxa"/>
            <w:vMerge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</w:tr>
      <w:tr w:rsidR="007205BA" w:rsidRPr="00E23D7F" w:rsidTr="007205BA">
        <w:trPr>
          <w:trHeight w:val="245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7205BA" w:rsidRPr="00E23D7F" w:rsidTr="007205BA">
        <w:trPr>
          <w:trHeight w:val="428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2D40C1">
            <w:pPr>
              <w:jc w:val="left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 xml:space="preserve">Tel:   </w:t>
            </w:r>
            <w:r w:rsidRPr="0090567F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(972/970) 2 2982700</w:t>
            </w:r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Tel:   (972/970) 2 2415250</w:t>
            </w:r>
          </w:p>
        </w:tc>
        <w:tc>
          <w:tcPr>
            <w:tcW w:w="1842" w:type="dxa"/>
            <w:vMerge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7205BA" w:rsidRPr="005A78C3" w:rsidTr="007205BA">
        <w:trPr>
          <w:trHeight w:val="245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924F20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m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ail:     </w:t>
            </w:r>
            <w:hyperlink r:id="rId9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diwan@pcbs.gov.ps</w:t>
              </w:r>
            </w:hyperlink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3544" w:type="dxa"/>
            <w:vAlign w:val="center"/>
          </w:tcPr>
          <w:p w:rsidR="007205BA" w:rsidRPr="0090567F" w:rsidRDefault="007205BA" w:rsidP="00924F20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m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ail:     </w:t>
            </w:r>
            <w:hyperlink r:id="rId10" w:history="1">
              <w:r w:rsidRPr="00A32C17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info@pma.ps</w:t>
              </w:r>
            </w:hyperlink>
          </w:p>
        </w:tc>
        <w:tc>
          <w:tcPr>
            <w:tcW w:w="1842" w:type="dxa"/>
            <w:vMerge w:val="restart"/>
          </w:tcPr>
          <w:p w:rsidR="007205BA" w:rsidRPr="0090567F" w:rsidRDefault="007205BA" w:rsidP="00FB7FBB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1270</wp:posOffset>
                  </wp:positionV>
                  <wp:extent cx="636270" cy="1000125"/>
                  <wp:effectExtent l="19050" t="0" r="0" b="0"/>
                  <wp:wrapTight wrapText="bothSides">
                    <wp:wrapPolygon edited="0">
                      <wp:start x="-647" y="0"/>
                      <wp:lineTo x="-647" y="21394"/>
                      <wp:lineTo x="21341" y="21394"/>
                      <wp:lineTo x="21341" y="0"/>
                      <wp:lineTo x="-647" y="0"/>
                    </wp:wrapPolygon>
                  </wp:wrapTight>
                  <wp:docPr id="2" name="Picture 1" descr="شعار االقدس عاصمة الثقافة الاسلامية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القدس عاصمة الثقافة الاسلامية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5BA" w:rsidRPr="00E23D7F" w:rsidTr="007205BA">
        <w:trPr>
          <w:trHeight w:val="245"/>
          <w:jc w:val="center"/>
        </w:trPr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Website:  </w:t>
            </w:r>
            <w:hyperlink r:id="rId12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</w:rPr>
                <w:t>http://www.pcbs.gov.ps</w:t>
              </w:r>
            </w:hyperlink>
          </w:p>
        </w:tc>
        <w:tc>
          <w:tcPr>
            <w:tcW w:w="567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Website:  http://www.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eastAsia="fr-FR"/>
              </w:rPr>
              <w:t xml:space="preserve"> pma.ps</w:t>
            </w:r>
          </w:p>
        </w:tc>
        <w:tc>
          <w:tcPr>
            <w:tcW w:w="1842" w:type="dxa"/>
            <w:vMerge/>
          </w:tcPr>
          <w:p w:rsidR="007205BA" w:rsidRPr="0090567F" w:rsidRDefault="007205BA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7205BA" w:rsidRPr="00E23D7F" w:rsidTr="007205BA">
        <w:trPr>
          <w:trHeight w:val="1084"/>
          <w:jc w:val="center"/>
        </w:trPr>
        <w:tc>
          <w:tcPr>
            <w:tcW w:w="7655" w:type="dxa"/>
            <w:gridSpan w:val="3"/>
          </w:tcPr>
          <w:p w:rsidR="007205BA" w:rsidRDefault="007205BA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  <w:p w:rsidR="007205BA" w:rsidRPr="0090567F" w:rsidRDefault="007205BA" w:rsidP="00F77963">
            <w:pPr>
              <w:pStyle w:val="BodyText"/>
              <w:bidi w:val="0"/>
              <w:ind w:left="-81" w:right="489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 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Issued on : 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19/6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842" w:type="dxa"/>
            <w:vMerge/>
          </w:tcPr>
          <w:p w:rsidR="007205BA" w:rsidRDefault="007205BA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5004" w:rsidRDefault="00DB5004" w:rsidP="00FE2C16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7205BA" w:rsidRDefault="007205BA" w:rsidP="00F77963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7205BA" w:rsidRDefault="007205BA" w:rsidP="00F77963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7205BA" w:rsidRDefault="00DB5004" w:rsidP="00F77963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Table 1: International Investment Position (IIP) </w:t>
      </w:r>
      <w:r w:rsidR="006D61E4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by Economic Sectors </w:t>
      </w:r>
      <w:r w:rsidR="006D61E4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Palestine, at the </w:t>
      </w:r>
      <w:r w:rsidR="00112F30" w:rsidRPr="007205BA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3857CD" w:rsidRPr="007205BA">
        <w:rPr>
          <w:rFonts w:asciiTheme="majorBidi" w:hAnsiTheme="majorBidi" w:cstheme="majorBidi"/>
          <w:i w:val="0"/>
          <w:iCs/>
          <w:sz w:val="26"/>
          <w:szCs w:val="26"/>
        </w:rPr>
        <w:t>F</w:t>
      </w:r>
      <w:r w:rsidR="00F77963" w:rsidRPr="007205BA">
        <w:rPr>
          <w:rFonts w:asciiTheme="majorBidi" w:hAnsiTheme="majorBidi" w:cstheme="majorBidi"/>
          <w:i w:val="0"/>
          <w:iCs/>
          <w:sz w:val="26"/>
          <w:szCs w:val="26"/>
        </w:rPr>
        <w:t>irst</w:t>
      </w:r>
      <w:r w:rsidR="004B5431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7205BA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 201</w:t>
      </w:r>
      <w:r w:rsidR="00F77963" w:rsidRPr="007205BA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7205BA" w:rsidRDefault="00F00306" w:rsidP="007205BA">
      <w:pPr>
        <w:ind w:right="3631"/>
        <w:contextualSpacing/>
        <w:rPr>
          <w:rFonts w:asciiTheme="majorBidi" w:hAnsiTheme="majorBidi" w:cstheme="majorBidi"/>
          <w:i w:val="0"/>
          <w:iCs/>
        </w:rPr>
      </w:pPr>
      <w:r w:rsidRPr="007205BA">
        <w:rPr>
          <w:rFonts w:asciiTheme="majorBidi" w:hAnsiTheme="majorBidi" w:cstheme="majorBidi"/>
          <w:i w:val="0"/>
          <w:iCs/>
        </w:rPr>
        <w:t xml:space="preserve">  </w:t>
      </w:r>
      <w:r w:rsidR="00DB5004" w:rsidRPr="007205BA">
        <w:rPr>
          <w:rFonts w:asciiTheme="majorBidi" w:hAnsiTheme="majorBidi" w:cstheme="majorBidi"/>
          <w:i w:val="0"/>
          <w:iCs/>
        </w:rPr>
        <w:t xml:space="preserve"> </w:t>
      </w:r>
    </w:p>
    <w:p w:rsidR="00DB5004" w:rsidRPr="007205BA" w:rsidRDefault="00DB5004" w:rsidP="007205BA">
      <w:pPr>
        <w:ind w:right="3631"/>
        <w:contextualSpacing/>
        <w:rPr>
          <w:rFonts w:asciiTheme="majorBidi" w:hAnsiTheme="majorBidi" w:cstheme="majorBidi"/>
          <w:i w:val="0"/>
          <w:iCs/>
        </w:rPr>
      </w:pPr>
      <w:r w:rsidRPr="007205BA">
        <w:rPr>
          <w:rFonts w:asciiTheme="majorBidi" w:hAnsiTheme="majorBidi" w:cstheme="majorBidi"/>
          <w:i w:val="0"/>
          <w:iCs/>
        </w:rPr>
        <w:t>Value in million USD</w:t>
      </w:r>
    </w:p>
    <w:p w:rsidR="007205BA" w:rsidRPr="007205BA" w:rsidRDefault="007205BA" w:rsidP="007205BA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  <w:sz w:val="16"/>
          <w:szCs w:val="16"/>
        </w:rPr>
      </w:pPr>
    </w:p>
    <w:tbl>
      <w:tblPr>
        <w:bidiVisual/>
        <w:tblW w:w="10950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992"/>
        <w:gridCol w:w="1699"/>
        <w:gridCol w:w="1134"/>
        <w:gridCol w:w="1559"/>
        <w:gridCol w:w="1417"/>
        <w:gridCol w:w="3077"/>
      </w:tblGrid>
      <w:tr w:rsidR="007205BA" w:rsidRPr="007205BA" w:rsidTr="007205BA">
        <w:trPr>
          <w:trHeight w:val="284"/>
          <w:jc w:val="center"/>
        </w:trPr>
        <w:tc>
          <w:tcPr>
            <w:tcW w:w="489" w:type="pct"/>
            <w:vMerge w:val="restar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229" w:type="pct"/>
            <w:gridSpan w:val="2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518" w:type="pct"/>
            <w:vMerge w:val="restar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712" w:type="pct"/>
            <w:vMerge w:val="restar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647" w:type="pct"/>
            <w:vMerge w:val="restar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405" w:type="pct"/>
            <w:vMerge w:val="restart"/>
          </w:tcPr>
          <w:p w:rsidR="00DB5004" w:rsidRPr="007205BA" w:rsidRDefault="00FA3203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8pt;margin-top:2.05pt;width:150.95pt;height:107.8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7205BA">
              <w:rPr>
                <w:rFonts w:asciiTheme="majorBidi" w:hAnsiTheme="majorBidi" w:cstheme="majorBidi"/>
                <w:i w:val="0"/>
                <w:iCs/>
              </w:rPr>
              <w:t xml:space="preserve">            Economic Sector</w:t>
            </w:r>
            <w:r w:rsidR="00DB5004" w:rsidRPr="007205BA">
              <w:rPr>
                <w:rFonts w:asciiTheme="majorBidi" w:hAnsiTheme="majorBidi" w:cstheme="majorBidi"/>
                <w:i w:val="0"/>
                <w:iCs/>
                <w:rtl/>
              </w:rPr>
              <w:t xml:space="preserve">   </w:t>
            </w:r>
          </w:p>
          <w:p w:rsidR="00DB5004" w:rsidRPr="007205BA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05BA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05BA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05BA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               </w:t>
            </w:r>
          </w:p>
          <w:p w:rsidR="00DB5004" w:rsidRPr="007205BA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7205BA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Investments Stocks by </w:t>
            </w:r>
          </w:p>
          <w:p w:rsidR="00DB5004" w:rsidRPr="007205BA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7205BA" w:rsidRPr="007205BA" w:rsidTr="007205BA">
        <w:trPr>
          <w:trHeight w:val="1492"/>
          <w:jc w:val="center"/>
        </w:trPr>
        <w:tc>
          <w:tcPr>
            <w:tcW w:w="489" w:type="pct"/>
            <w:vMerge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53" w:type="pc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776" w:type="pct"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Nonbank Financial Corporations, Non-Financial Corporations, and NGOs Sector</w:t>
            </w:r>
          </w:p>
        </w:tc>
        <w:tc>
          <w:tcPr>
            <w:tcW w:w="518" w:type="pct"/>
            <w:vMerge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712" w:type="pct"/>
            <w:vMerge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:rsidR="00DB5004" w:rsidRPr="007205BA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1405" w:type="pct"/>
            <w:vMerge/>
          </w:tcPr>
          <w:p w:rsidR="00DB5004" w:rsidRPr="007205BA" w:rsidRDefault="00DB5004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1,</w:t>
            </w:r>
            <w:r w:rsidR="00AE6F5E"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724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-966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-141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2,637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-7</w:t>
            </w:r>
            <w:r w:rsidR="00AE6F5E"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14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908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6,</w:t>
            </w:r>
            <w:r w:rsidR="00AE6F5E"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841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37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990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4,589</w:t>
            </w:r>
          </w:p>
        </w:tc>
        <w:tc>
          <w:tcPr>
            <w:tcW w:w="712" w:type="pct"/>
            <w:vAlign w:val="bottom"/>
          </w:tcPr>
          <w:p w:rsidR="00E16B47" w:rsidRPr="007205BA" w:rsidRDefault="00AE6F5E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317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908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351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11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340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Abroad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1,389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449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886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54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Portfolio Investments Abroad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</w:t>
            </w:r>
            <w:r w:rsidR="00AE6F5E"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518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26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201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3,703</w:t>
            </w:r>
          </w:p>
        </w:tc>
        <w:tc>
          <w:tcPr>
            <w:tcW w:w="712" w:type="pct"/>
            <w:vAlign w:val="bottom"/>
          </w:tcPr>
          <w:p w:rsidR="00E16B47" w:rsidRPr="007205BA" w:rsidRDefault="00AE6F5E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317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271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Other Investments Abroad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3,948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26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37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3,614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271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currency and deposits**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583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583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Reserve Assets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5,117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1,003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1,131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1,952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1,031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2,739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1,003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703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1,033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in Palestine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742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386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356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Portfolio Investments in Palestine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1,636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42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563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1,031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Other Investments in Palestine: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1,062</w:t>
            </w:r>
          </w:p>
        </w:tc>
        <w:tc>
          <w:tcPr>
            <w:tcW w:w="453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</w:t>
            </w:r>
          </w:p>
        </w:tc>
        <w:tc>
          <w:tcPr>
            <w:tcW w:w="518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12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1,031</w:t>
            </w:r>
          </w:p>
        </w:tc>
        <w:tc>
          <w:tcPr>
            <w:tcW w:w="647" w:type="pct"/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vAlign w:val="center"/>
          </w:tcPr>
          <w:p w:rsidR="00E16B47" w:rsidRPr="007205BA" w:rsidRDefault="00E16B47" w:rsidP="00B6004F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loans from abroad</w:t>
            </w:r>
          </w:p>
        </w:tc>
      </w:tr>
      <w:tr w:rsidR="007205BA" w:rsidRPr="007205BA" w:rsidTr="007205BA">
        <w:trPr>
          <w:trHeight w:val="284"/>
          <w:jc w:val="center"/>
        </w:trPr>
        <w:tc>
          <w:tcPr>
            <w:tcW w:w="489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563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563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bottom"/>
          </w:tcPr>
          <w:p w:rsidR="00E16B47" w:rsidRPr="007205BA" w:rsidRDefault="00E16B47" w:rsidP="007205BA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vAlign w:val="center"/>
          </w:tcPr>
          <w:p w:rsidR="00E16B47" w:rsidRPr="007205BA" w:rsidRDefault="00E16B47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Of which: currency and deposits***</w:t>
            </w:r>
          </w:p>
        </w:tc>
      </w:tr>
    </w:tbl>
    <w:p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7205BA" w:rsidRDefault="00DB5004" w:rsidP="007205BA">
      <w:pPr>
        <w:spacing w:line="0" w:lineRule="atLeast"/>
        <w:ind w:left="-284" w:right="142" w:firstLine="284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05BA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: </w:t>
      </w:r>
    </w:p>
    <w:p w:rsidR="00DB5004" w:rsidRPr="007205BA" w:rsidRDefault="00DB5004" w:rsidP="007205BA">
      <w:pPr>
        <w:pStyle w:val="ListParagraph"/>
        <w:spacing w:line="0" w:lineRule="atLeast"/>
        <w:ind w:left="-284" w:right="142" w:firstLine="284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7205BA" w:rsidRDefault="00DB5004" w:rsidP="007205BA">
      <w:pPr>
        <w:pStyle w:val="ListParagraph"/>
        <w:spacing w:line="0" w:lineRule="atLeast"/>
        <w:ind w:left="-284" w:right="142" w:firstLine="284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7205BA" w:rsidRDefault="00DB5004" w:rsidP="007205BA">
      <w:pPr>
        <w:spacing w:line="0" w:lineRule="atLeast"/>
        <w:ind w:left="-284" w:right="142" w:firstLine="284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7205BA" w:rsidRDefault="00DB5004" w:rsidP="007205BA">
      <w:pPr>
        <w:spacing w:line="0" w:lineRule="atLeast"/>
        <w:ind w:left="-284" w:right="-45" w:firstLine="284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</w:t>
      </w:r>
      <w:r w:rsidR="00840C31"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</w:t>
      </w: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</w:t>
      </w:r>
      <w:r w:rsidR="00112F30"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the </w:t>
      </w: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residents deposits in banks abroad, in addition to foreign </w:t>
      </w:r>
      <w:r w:rsidR="00AF576D"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="00112F30"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</w:t>
      </w: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economy.</w:t>
      </w:r>
    </w:p>
    <w:p w:rsidR="00DB5004" w:rsidRPr="007205BA" w:rsidRDefault="00DB5004" w:rsidP="007205BA">
      <w:pPr>
        <w:spacing w:line="0" w:lineRule="atLeast"/>
        <w:ind w:left="-284" w:right="142" w:firstLine="284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05BA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7205BA" w:rsidRPr="007205BA" w:rsidRDefault="007205BA" w:rsidP="00B6004F">
      <w:pPr>
        <w:contextualSpacing/>
        <w:jc w:val="center"/>
        <w:rPr>
          <w:rFonts w:ascii="Arial" w:hAnsi="Arial"/>
          <w:i w:val="0"/>
          <w:iCs/>
          <w:sz w:val="26"/>
          <w:szCs w:val="26"/>
        </w:rPr>
      </w:pPr>
    </w:p>
    <w:p w:rsidR="007205BA" w:rsidRDefault="007205BA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7205BA" w:rsidRDefault="007205BA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DB5004" w:rsidRPr="007205BA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Table 2: Gross External Debt </w:t>
      </w:r>
      <w:r w:rsidR="00B6004F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7205BA" w:rsidRDefault="00F77963" w:rsidP="00F77963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>Fourth</w:t>
      </w:r>
      <w:r w:rsidR="00B92512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 and </w:t>
      </w:r>
      <w:r w:rsidR="003857CD" w:rsidRPr="007205BA">
        <w:rPr>
          <w:rFonts w:asciiTheme="majorBidi" w:hAnsiTheme="majorBidi" w:cstheme="majorBidi"/>
          <w:i w:val="0"/>
          <w:iCs/>
          <w:sz w:val="26"/>
          <w:szCs w:val="26"/>
        </w:rPr>
        <w:t>F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>irst</w:t>
      </w:r>
      <w:r w:rsidR="001570B7" w:rsidRPr="007205BA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7205BA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250FBE" w:rsidRPr="007205BA">
        <w:rPr>
          <w:rFonts w:asciiTheme="majorBidi" w:hAnsiTheme="majorBidi" w:cstheme="majorBidi"/>
          <w:i w:val="0"/>
          <w:iCs/>
          <w:sz w:val="26"/>
          <w:szCs w:val="26"/>
        </w:rPr>
        <w:t>s</w:t>
      </w:r>
      <w:r w:rsidR="00D34D3F" w:rsidRPr="007205BA">
        <w:rPr>
          <w:rFonts w:asciiTheme="majorBidi" w:hAnsiTheme="majorBidi" w:cstheme="majorBidi"/>
          <w:i w:val="0"/>
          <w:iCs/>
          <w:sz w:val="26"/>
          <w:szCs w:val="26"/>
        </w:rPr>
        <w:t>, 201</w:t>
      </w:r>
      <w:r w:rsidRPr="007205BA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Pr="007205BA" w:rsidRDefault="00DB5004" w:rsidP="00DB5004">
      <w:pPr>
        <w:contextualSpacing/>
        <w:rPr>
          <w:rFonts w:ascii="Arial" w:hAnsi="Arial"/>
          <w:i w:val="0"/>
          <w:iCs/>
        </w:rPr>
      </w:pPr>
    </w:p>
    <w:p w:rsidR="007205BA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</w:rPr>
      </w:pPr>
      <w:r w:rsidRPr="007205BA">
        <w:rPr>
          <w:rFonts w:asciiTheme="majorBidi" w:hAnsiTheme="majorBidi" w:cstheme="majorBidi"/>
          <w:i w:val="0"/>
          <w:iCs/>
        </w:rPr>
        <w:t>Value in million USD</w:t>
      </w:r>
    </w:p>
    <w:p w:rsidR="00DB5004" w:rsidRPr="007205BA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16"/>
          <w:szCs w:val="16"/>
        </w:rPr>
      </w:pPr>
      <w:r w:rsidRPr="007205BA">
        <w:rPr>
          <w:rFonts w:asciiTheme="majorBidi" w:hAnsiTheme="majorBidi" w:cstheme="majorBidi"/>
          <w:i w:val="0"/>
          <w:iCs/>
          <w:sz w:val="16"/>
          <w:szCs w:val="16"/>
        </w:rPr>
        <w:t xml:space="preserve">   </w:t>
      </w:r>
    </w:p>
    <w:tbl>
      <w:tblPr>
        <w:tblpPr w:leftFromText="180" w:rightFromText="180" w:vertAnchor="text" w:tblpXSpec="center" w:tblpY="1"/>
        <w:tblOverlap w:val="never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4"/>
        <w:gridCol w:w="2885"/>
        <w:gridCol w:w="4962"/>
      </w:tblGrid>
      <w:tr w:rsidR="00A7421B" w:rsidRPr="007205BA" w:rsidTr="007205BA">
        <w:trPr>
          <w:trHeight w:val="284"/>
        </w:trPr>
        <w:tc>
          <w:tcPr>
            <w:tcW w:w="1260" w:type="pct"/>
            <w:vAlign w:val="center"/>
          </w:tcPr>
          <w:p w:rsidR="00A7421B" w:rsidRPr="007205BA" w:rsidRDefault="00A7421B" w:rsidP="00F77963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3857CD" w:rsidRPr="007205BA">
              <w:rPr>
                <w:rFonts w:asciiTheme="majorBidi" w:hAnsiTheme="majorBidi" w:cstheme="majorBidi"/>
                <w:i w:val="0"/>
                <w:iCs/>
              </w:rPr>
              <w:t>F</w:t>
            </w:r>
            <w:r w:rsidR="00F77963" w:rsidRPr="007205BA">
              <w:rPr>
                <w:rFonts w:asciiTheme="majorBidi" w:hAnsiTheme="majorBidi" w:cstheme="majorBidi"/>
                <w:i w:val="0"/>
                <w:iCs/>
              </w:rPr>
              <w:t>irst</w:t>
            </w: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 Quarter 201</w:t>
            </w:r>
            <w:r w:rsidR="00F77963" w:rsidRPr="007205BA">
              <w:rPr>
                <w:rFonts w:asciiTheme="majorBidi" w:hAnsiTheme="majorBidi" w:cstheme="majorBidi"/>
                <w:i w:val="0"/>
                <w:iCs/>
              </w:rPr>
              <w:t>9</w:t>
            </w:r>
          </w:p>
        </w:tc>
        <w:tc>
          <w:tcPr>
            <w:tcW w:w="1375" w:type="pct"/>
            <w:vAlign w:val="center"/>
          </w:tcPr>
          <w:p w:rsidR="00A7421B" w:rsidRPr="007205BA" w:rsidRDefault="00D34D3F" w:rsidP="00B7016D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1570B7" w:rsidRPr="007205BA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3857CD" w:rsidRPr="007205BA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F77963" w:rsidRPr="007205BA">
              <w:rPr>
                <w:rFonts w:asciiTheme="majorBidi" w:hAnsiTheme="majorBidi" w:cstheme="majorBidi"/>
                <w:i w:val="0"/>
                <w:iCs/>
              </w:rPr>
              <w:t xml:space="preserve"> Fourth</w:t>
            </w:r>
            <w:r w:rsidR="001570B7" w:rsidRPr="007205BA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7205BA">
              <w:rPr>
                <w:rFonts w:asciiTheme="majorBidi" w:hAnsiTheme="majorBidi" w:cstheme="majorBidi"/>
                <w:i w:val="0"/>
                <w:iCs/>
              </w:rPr>
              <w:t>Quarter 201</w:t>
            </w:r>
            <w:r w:rsidR="00B7016D" w:rsidRPr="007205BA">
              <w:rPr>
                <w:rFonts w:asciiTheme="majorBidi" w:hAnsiTheme="majorBidi" w:cstheme="majorBidi"/>
                <w:i w:val="0"/>
                <w:iCs/>
              </w:rPr>
              <w:t>8</w:t>
            </w:r>
          </w:p>
        </w:tc>
        <w:tc>
          <w:tcPr>
            <w:tcW w:w="2365" w:type="pct"/>
            <w:vAlign w:val="center"/>
          </w:tcPr>
          <w:p w:rsidR="00A7421B" w:rsidRPr="007205BA" w:rsidRDefault="00A7421B" w:rsidP="00A7421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1,031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1,032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123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117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908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915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563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417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276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196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287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221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affiliated enterprises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05BA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E16B47" w:rsidRPr="007205BA" w:rsidTr="007205BA">
        <w:trPr>
          <w:trHeight w:val="284"/>
        </w:trPr>
        <w:tc>
          <w:tcPr>
            <w:tcW w:w="1260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1,680</w:t>
            </w:r>
          </w:p>
        </w:tc>
        <w:tc>
          <w:tcPr>
            <w:tcW w:w="1375" w:type="pct"/>
            <w:vAlign w:val="bottom"/>
          </w:tcPr>
          <w:p w:rsidR="00E16B47" w:rsidRPr="007205BA" w:rsidRDefault="00E16B47" w:rsidP="00E16B47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05BA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1,535</w:t>
            </w:r>
          </w:p>
        </w:tc>
        <w:tc>
          <w:tcPr>
            <w:tcW w:w="2365" w:type="pct"/>
            <w:vAlign w:val="bottom"/>
          </w:tcPr>
          <w:p w:rsidR="00E16B47" w:rsidRPr="007205BA" w:rsidRDefault="00E16B47" w:rsidP="00E16B47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05BA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7205BA">
      <w:foot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62" w:rsidRDefault="00F54D62" w:rsidP="00885BEC">
      <w:r>
        <w:separator/>
      </w:r>
    </w:p>
  </w:endnote>
  <w:endnote w:type="continuationSeparator" w:id="0">
    <w:p w:rsidR="00F54D62" w:rsidRDefault="00F54D62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B81942" w:rsidRDefault="00FA3203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B81942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7205BA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B81942" w:rsidRDefault="00B81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62" w:rsidRDefault="00F54D62" w:rsidP="00885BEC">
      <w:r>
        <w:separator/>
      </w:r>
    </w:p>
  </w:footnote>
  <w:footnote w:type="continuationSeparator" w:id="0">
    <w:p w:rsidR="00F54D62" w:rsidRDefault="00F54D62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2644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2663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0F4B"/>
    <w:rsid w:val="000C156F"/>
    <w:rsid w:val="000C2CD8"/>
    <w:rsid w:val="000C30EC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22B0F"/>
    <w:rsid w:val="001243F4"/>
    <w:rsid w:val="001253D2"/>
    <w:rsid w:val="00126E34"/>
    <w:rsid w:val="00130495"/>
    <w:rsid w:val="00131018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0B7"/>
    <w:rsid w:val="001573C2"/>
    <w:rsid w:val="00157479"/>
    <w:rsid w:val="001609E2"/>
    <w:rsid w:val="00161954"/>
    <w:rsid w:val="00162E38"/>
    <w:rsid w:val="001646F7"/>
    <w:rsid w:val="00170276"/>
    <w:rsid w:val="00181A2B"/>
    <w:rsid w:val="001823A8"/>
    <w:rsid w:val="001844CA"/>
    <w:rsid w:val="0018465B"/>
    <w:rsid w:val="001861B2"/>
    <w:rsid w:val="001862D7"/>
    <w:rsid w:val="00190B3C"/>
    <w:rsid w:val="001933C3"/>
    <w:rsid w:val="0019579D"/>
    <w:rsid w:val="00196708"/>
    <w:rsid w:val="001A0774"/>
    <w:rsid w:val="001A3990"/>
    <w:rsid w:val="001A75AC"/>
    <w:rsid w:val="001B0FB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0FBE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5939"/>
    <w:rsid w:val="00267601"/>
    <w:rsid w:val="00270B06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40C1"/>
    <w:rsid w:val="002D5FC8"/>
    <w:rsid w:val="002D7608"/>
    <w:rsid w:val="002E060B"/>
    <w:rsid w:val="002E20F7"/>
    <w:rsid w:val="002E22CA"/>
    <w:rsid w:val="002E241A"/>
    <w:rsid w:val="002E5E97"/>
    <w:rsid w:val="002E6591"/>
    <w:rsid w:val="002E710B"/>
    <w:rsid w:val="002F1E39"/>
    <w:rsid w:val="002F51DB"/>
    <w:rsid w:val="002F6F48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7A8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57CD"/>
    <w:rsid w:val="00387A29"/>
    <w:rsid w:val="00390435"/>
    <w:rsid w:val="003916ED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4844"/>
    <w:rsid w:val="003C64EA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86C03"/>
    <w:rsid w:val="0048744C"/>
    <w:rsid w:val="004908D8"/>
    <w:rsid w:val="004920F5"/>
    <w:rsid w:val="00492AFA"/>
    <w:rsid w:val="00494846"/>
    <w:rsid w:val="00494AD4"/>
    <w:rsid w:val="004954C4"/>
    <w:rsid w:val="0049585A"/>
    <w:rsid w:val="00496B15"/>
    <w:rsid w:val="004A6FCF"/>
    <w:rsid w:val="004B5431"/>
    <w:rsid w:val="004B6088"/>
    <w:rsid w:val="004B65A3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4D08"/>
    <w:rsid w:val="00545118"/>
    <w:rsid w:val="00545C08"/>
    <w:rsid w:val="00550FEB"/>
    <w:rsid w:val="00552DE8"/>
    <w:rsid w:val="00553325"/>
    <w:rsid w:val="005540CE"/>
    <w:rsid w:val="00554D40"/>
    <w:rsid w:val="00557B46"/>
    <w:rsid w:val="00561D22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C8"/>
    <w:rsid w:val="005A4E76"/>
    <w:rsid w:val="005A622B"/>
    <w:rsid w:val="005B47E8"/>
    <w:rsid w:val="005B6A18"/>
    <w:rsid w:val="005C3F38"/>
    <w:rsid w:val="005C500B"/>
    <w:rsid w:val="005C63F0"/>
    <w:rsid w:val="005C6ACB"/>
    <w:rsid w:val="005C7213"/>
    <w:rsid w:val="005C7E82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4F86"/>
    <w:rsid w:val="006C5842"/>
    <w:rsid w:val="006C5ED3"/>
    <w:rsid w:val="006D24EE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05BA"/>
    <w:rsid w:val="00725408"/>
    <w:rsid w:val="00734801"/>
    <w:rsid w:val="00737401"/>
    <w:rsid w:val="007440AA"/>
    <w:rsid w:val="0074518D"/>
    <w:rsid w:val="00745DFE"/>
    <w:rsid w:val="00751556"/>
    <w:rsid w:val="007517C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C159F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1BD9"/>
    <w:rsid w:val="007E2FA4"/>
    <w:rsid w:val="007E3CEC"/>
    <w:rsid w:val="007E6926"/>
    <w:rsid w:val="007E7CB3"/>
    <w:rsid w:val="007F046C"/>
    <w:rsid w:val="007F34C4"/>
    <w:rsid w:val="007F5618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7406"/>
    <w:rsid w:val="00A92509"/>
    <w:rsid w:val="00A93623"/>
    <w:rsid w:val="00A959EE"/>
    <w:rsid w:val="00A96BFE"/>
    <w:rsid w:val="00AA021F"/>
    <w:rsid w:val="00AA1DB3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409D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47E25"/>
    <w:rsid w:val="00B5657B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8DF"/>
    <w:rsid w:val="00C20472"/>
    <w:rsid w:val="00C21CA5"/>
    <w:rsid w:val="00C24535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F13"/>
    <w:rsid w:val="00CA21A4"/>
    <w:rsid w:val="00CA323C"/>
    <w:rsid w:val="00CA332B"/>
    <w:rsid w:val="00CA3918"/>
    <w:rsid w:val="00CA3989"/>
    <w:rsid w:val="00CA3E44"/>
    <w:rsid w:val="00CA74CE"/>
    <w:rsid w:val="00CB1059"/>
    <w:rsid w:val="00CB377E"/>
    <w:rsid w:val="00CB3F93"/>
    <w:rsid w:val="00CB4298"/>
    <w:rsid w:val="00CB51E9"/>
    <w:rsid w:val="00CB69DF"/>
    <w:rsid w:val="00CB721E"/>
    <w:rsid w:val="00CB7601"/>
    <w:rsid w:val="00CC2528"/>
    <w:rsid w:val="00CC3528"/>
    <w:rsid w:val="00CC3DA4"/>
    <w:rsid w:val="00CC4912"/>
    <w:rsid w:val="00CD132E"/>
    <w:rsid w:val="00CE0208"/>
    <w:rsid w:val="00CE0DC1"/>
    <w:rsid w:val="00CE1143"/>
    <w:rsid w:val="00CE5EB9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5E68"/>
    <w:rsid w:val="00D56E3B"/>
    <w:rsid w:val="00D57892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C196A"/>
    <w:rsid w:val="00DC1F91"/>
    <w:rsid w:val="00DC2E42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5B92"/>
    <w:rsid w:val="00E0676A"/>
    <w:rsid w:val="00E06BAE"/>
    <w:rsid w:val="00E077C7"/>
    <w:rsid w:val="00E117D4"/>
    <w:rsid w:val="00E12C55"/>
    <w:rsid w:val="00E16B47"/>
    <w:rsid w:val="00E16D3D"/>
    <w:rsid w:val="00E16D50"/>
    <w:rsid w:val="00E17FE9"/>
    <w:rsid w:val="00E30EFE"/>
    <w:rsid w:val="00E337E2"/>
    <w:rsid w:val="00E34380"/>
    <w:rsid w:val="00E35DA1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050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11F6"/>
    <w:rsid w:val="00F12823"/>
    <w:rsid w:val="00F13F43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4D62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6A73"/>
    <w:rsid w:val="00F90043"/>
    <w:rsid w:val="00F91DCF"/>
    <w:rsid w:val="00F92240"/>
    <w:rsid w:val="00F932AC"/>
    <w:rsid w:val="00FA24A7"/>
    <w:rsid w:val="00FA3203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D4E2D"/>
    <w:rsid w:val="00FD50F5"/>
    <w:rsid w:val="00FD5154"/>
    <w:rsid w:val="00FD574D"/>
    <w:rsid w:val="00FD6A02"/>
    <w:rsid w:val="00FD7ED6"/>
    <w:rsid w:val="00FE268E"/>
    <w:rsid w:val="00FE2C16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bs.gov.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ma.p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2060-4E5F-4BBE-A824-97D41814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2019-06-19T07:56:00Z</cp:lastPrinted>
  <dcterms:created xsi:type="dcterms:W3CDTF">2019-06-19T07:57:00Z</dcterms:created>
  <dcterms:modified xsi:type="dcterms:W3CDTF">2019-06-19T07:57:00Z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