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0D" w:rsidRDefault="00FC160D" w:rsidP="00FC160D">
      <w:pPr>
        <w:spacing w:line="240" w:lineRule="auto"/>
        <w:outlineLvl w:val="0"/>
        <w:rPr>
          <w:rFonts w:ascii="Times New Roman" w:hAnsi="Times New Roman" w:cs="Times New Roman"/>
          <w:b/>
          <w:bCs/>
          <w:sz w:val="28"/>
          <w:szCs w:val="28"/>
        </w:rPr>
      </w:pPr>
    </w:p>
    <w:p w:rsidR="00B051DB" w:rsidRDefault="00B051DB" w:rsidP="00FC160D">
      <w:pPr>
        <w:spacing w:line="240" w:lineRule="auto"/>
        <w:outlineLvl w:val="0"/>
        <w:rPr>
          <w:rFonts w:ascii="Times New Roman" w:hAnsi="Times New Roman" w:cs="Times New Roman"/>
          <w:b/>
          <w:bCs/>
          <w:sz w:val="28"/>
          <w:szCs w:val="28"/>
        </w:rPr>
      </w:pPr>
    </w:p>
    <w:p w:rsidR="00B051DB" w:rsidRDefault="00B051DB" w:rsidP="00FC160D">
      <w:pPr>
        <w:spacing w:line="240" w:lineRule="auto"/>
        <w:outlineLvl w:val="0"/>
        <w:rPr>
          <w:rFonts w:ascii="Times New Roman" w:hAnsi="Times New Roman" w:cs="Times New Roman"/>
          <w:b/>
          <w:bCs/>
          <w:sz w:val="28"/>
          <w:szCs w:val="28"/>
        </w:rPr>
      </w:pPr>
    </w:p>
    <w:p w:rsidR="00B051DB" w:rsidRDefault="00B051DB" w:rsidP="00FC160D">
      <w:pPr>
        <w:spacing w:line="240" w:lineRule="auto"/>
        <w:outlineLvl w:val="0"/>
        <w:rPr>
          <w:rFonts w:ascii="Times New Roman" w:hAnsi="Times New Roman" w:cs="Times New Roman"/>
          <w:b/>
          <w:bCs/>
          <w:sz w:val="28"/>
          <w:szCs w:val="28"/>
        </w:rPr>
      </w:pPr>
    </w:p>
    <w:p w:rsidR="00B051DB" w:rsidRDefault="00B051DB" w:rsidP="00FC160D">
      <w:pPr>
        <w:spacing w:line="240" w:lineRule="auto"/>
        <w:outlineLvl w:val="0"/>
        <w:rPr>
          <w:rFonts w:ascii="Times New Roman" w:hAnsi="Times New Roman" w:cs="Times New Roman"/>
          <w:b/>
          <w:bCs/>
          <w:sz w:val="28"/>
          <w:szCs w:val="28"/>
        </w:rPr>
      </w:pPr>
    </w:p>
    <w:p w:rsidR="00B051DB" w:rsidRPr="00526292" w:rsidRDefault="00B051DB" w:rsidP="00B051DB">
      <w:pPr>
        <w:pStyle w:val="Heading1"/>
        <w:jc w:val="center"/>
        <w:rPr>
          <w:rFonts w:asciiTheme="majorBidi" w:eastAsia="Times New Roman" w:hAnsiTheme="majorBidi" w:cstheme="majorBidi"/>
          <w:sz w:val="32"/>
          <w:szCs w:val="32"/>
        </w:rPr>
      </w:pPr>
      <w:r w:rsidRPr="00526292">
        <w:rPr>
          <w:rFonts w:asciiTheme="majorBidi" w:eastAsia="Times New Roman" w:hAnsiTheme="majorBidi" w:cstheme="majorBidi"/>
          <w:sz w:val="32"/>
          <w:szCs w:val="32"/>
        </w:rPr>
        <w:t>Palestinian Central Bureau of Statistics (PCBS)</w:t>
      </w:r>
    </w:p>
    <w:p w:rsidR="00B051DB" w:rsidRPr="00B051DB" w:rsidRDefault="00B051DB" w:rsidP="00B051DB">
      <w:pPr>
        <w:spacing w:line="240" w:lineRule="auto"/>
        <w:jc w:val="center"/>
        <w:rPr>
          <w:rFonts w:asciiTheme="majorBidi" w:eastAsiaTheme="minorHAnsi" w:hAnsiTheme="majorBidi" w:cstheme="majorBidi"/>
          <w:b/>
          <w:bCs/>
          <w:color w:val="auto"/>
          <w:sz w:val="16"/>
          <w:szCs w:val="16"/>
          <w:rtl/>
        </w:rPr>
      </w:pPr>
    </w:p>
    <w:p w:rsidR="00B051DB" w:rsidRPr="00B051DB" w:rsidRDefault="00B051DB" w:rsidP="00B051DB">
      <w:pPr>
        <w:spacing w:line="240" w:lineRule="auto"/>
        <w:jc w:val="center"/>
        <w:rPr>
          <w:rFonts w:asciiTheme="majorBidi" w:hAnsiTheme="majorBidi" w:cstheme="majorBidi"/>
          <w:b/>
          <w:bCs/>
          <w:color w:val="auto"/>
          <w:sz w:val="28"/>
          <w:szCs w:val="28"/>
          <w:rtl/>
        </w:rPr>
      </w:pPr>
      <w:r w:rsidRPr="00B051DB">
        <w:rPr>
          <w:rFonts w:asciiTheme="majorBidi" w:hAnsiTheme="majorBidi" w:cstheme="majorBidi"/>
          <w:b/>
          <w:bCs/>
          <w:color w:val="auto"/>
          <w:sz w:val="28"/>
          <w:szCs w:val="28"/>
        </w:rPr>
        <w:t xml:space="preserve">Palestinian Wholesale Price Index, during </w:t>
      </w:r>
      <w:r w:rsidRPr="00B051DB">
        <w:rPr>
          <w:rFonts w:asciiTheme="majorBidi" w:hAnsiTheme="majorBidi" w:cstheme="majorBidi"/>
          <w:b/>
          <w:bCs/>
          <w:color w:val="auto"/>
          <w:sz w:val="28"/>
          <w:szCs w:val="28"/>
          <w:rtl/>
        </w:rPr>
        <w:t>2017</w:t>
      </w:r>
      <w:r w:rsidRPr="00B051DB">
        <w:rPr>
          <w:rFonts w:asciiTheme="majorBidi" w:hAnsiTheme="majorBidi" w:cstheme="majorBidi"/>
          <w:b/>
          <w:bCs/>
          <w:color w:val="auto"/>
          <w:sz w:val="28"/>
          <w:szCs w:val="28"/>
        </w:rPr>
        <w:t xml:space="preserve"> &amp; Fourth Quarter of 2017</w:t>
      </w:r>
    </w:p>
    <w:p w:rsidR="00B051DB" w:rsidRDefault="00B051DB" w:rsidP="00FC160D">
      <w:pPr>
        <w:spacing w:line="240" w:lineRule="auto"/>
        <w:outlineLvl w:val="0"/>
        <w:rPr>
          <w:rFonts w:ascii="Times New Roman" w:hAnsi="Times New Roman" w:cs="Times New Roman"/>
          <w:b/>
          <w:bCs/>
          <w:sz w:val="24"/>
          <w:szCs w:val="24"/>
        </w:rPr>
      </w:pPr>
    </w:p>
    <w:p w:rsidR="00B051DB" w:rsidRPr="00FC160D" w:rsidRDefault="00B051DB" w:rsidP="00FC160D">
      <w:pPr>
        <w:spacing w:line="240" w:lineRule="auto"/>
        <w:outlineLvl w:val="0"/>
        <w:rPr>
          <w:rFonts w:ascii="Times New Roman" w:hAnsi="Times New Roman" w:cs="Times New Roman"/>
          <w:b/>
          <w:bCs/>
          <w:sz w:val="24"/>
          <w:szCs w:val="24"/>
        </w:rPr>
      </w:pPr>
    </w:p>
    <w:p w:rsidR="00AE3EE7" w:rsidRPr="00B051DB" w:rsidRDefault="00AE3EE7" w:rsidP="00B051DB">
      <w:pPr>
        <w:spacing w:line="240" w:lineRule="auto"/>
        <w:jc w:val="both"/>
        <w:outlineLvl w:val="1"/>
        <w:rPr>
          <w:rFonts w:ascii="Times New Roman" w:hAnsi="Times New Roman" w:cs="Times New Roman"/>
          <w:b/>
          <w:bCs/>
          <w:sz w:val="25"/>
          <w:szCs w:val="25"/>
        </w:rPr>
      </w:pPr>
      <w:r w:rsidRPr="00B051DB">
        <w:rPr>
          <w:rFonts w:ascii="Times New Roman" w:hAnsi="Times New Roman" w:cs="Times New Roman"/>
          <w:b/>
          <w:bCs/>
          <w:sz w:val="25"/>
          <w:szCs w:val="25"/>
        </w:rPr>
        <w:t>Decrease in the Wholesale Price</w:t>
      </w:r>
      <w:r w:rsidRPr="00B051DB">
        <w:rPr>
          <w:rFonts w:ascii="Times New Roman" w:hAnsi="Times New Roman" w:cs="Times New Roman"/>
          <w:sz w:val="25"/>
          <w:szCs w:val="25"/>
          <w:vertAlign w:val="superscript"/>
        </w:rPr>
        <w:t>1</w:t>
      </w:r>
      <w:r w:rsidRPr="00B051DB">
        <w:rPr>
          <w:rFonts w:ascii="Times New Roman" w:hAnsi="Times New Roman" w:cs="Times New Roman"/>
          <w:b/>
          <w:bCs/>
          <w:sz w:val="25"/>
          <w:szCs w:val="25"/>
        </w:rPr>
        <w:t xml:space="preserve"> Index During </w:t>
      </w:r>
      <w:r w:rsidRPr="00B051DB">
        <w:rPr>
          <w:rFonts w:ascii="Times New Roman" w:hAnsi="Times New Roman" w:cs="Times New Roman"/>
          <w:b/>
          <w:bCs/>
          <w:kern w:val="36"/>
          <w:sz w:val="25"/>
          <w:szCs w:val="25"/>
        </w:rPr>
        <w:t>2017</w:t>
      </w:r>
    </w:p>
    <w:p w:rsidR="00AE3EE7" w:rsidRPr="00AE3EE7" w:rsidRDefault="00AE3EE7" w:rsidP="009739AA">
      <w:pPr>
        <w:spacing w:line="240" w:lineRule="auto"/>
        <w:jc w:val="both"/>
        <w:rPr>
          <w:rFonts w:ascii="Times New Roman" w:hAnsi="Times New Roman" w:cs="Times New Roman"/>
          <w:sz w:val="24"/>
          <w:szCs w:val="24"/>
        </w:rPr>
      </w:pPr>
      <w:r w:rsidRPr="00AE3EE7">
        <w:rPr>
          <w:rFonts w:ascii="Times New Roman" w:hAnsi="Times New Roman" w:cs="Times New Roman"/>
          <w:sz w:val="24"/>
          <w:szCs w:val="24"/>
        </w:rPr>
        <w:t xml:space="preserve">The </w:t>
      </w:r>
      <w:r w:rsidRPr="00AE3EE7">
        <w:rPr>
          <w:rFonts w:ascii="Times New Roman" w:hAnsi="Times New Roman" w:cs="Times New Roman"/>
          <w:b/>
          <w:bCs/>
          <w:sz w:val="24"/>
          <w:szCs w:val="24"/>
        </w:rPr>
        <w:t>overall Wholesale Price Index (WPI) in Palestine</w:t>
      </w:r>
      <w:r w:rsidRPr="00AE3EE7">
        <w:rPr>
          <w:rFonts w:ascii="Times New Roman" w:hAnsi="Times New Roman" w:cs="Times New Roman"/>
          <w:sz w:val="24"/>
          <w:szCs w:val="24"/>
        </w:rPr>
        <w:t xml:space="preserve"> with its base year (2007=100) reached </w:t>
      </w:r>
      <w:r>
        <w:rPr>
          <w:rFonts w:ascii="Times New Roman" w:hAnsi="Times New Roman" w:cs="Times New Roman"/>
          <w:sz w:val="24"/>
          <w:szCs w:val="24"/>
        </w:rPr>
        <w:t>124.16</w:t>
      </w:r>
      <w:r w:rsidRPr="00AE3EE7">
        <w:rPr>
          <w:rFonts w:ascii="Times New Roman" w:hAnsi="Times New Roman" w:cs="Times New Roman"/>
          <w:sz w:val="24"/>
          <w:szCs w:val="24"/>
        </w:rPr>
        <w:t xml:space="preserve"> </w:t>
      </w:r>
      <w:r w:rsidRPr="00AE3EE7">
        <w:rPr>
          <w:rFonts w:ascii="Times New Roman" w:hAnsi="Times New Roman" w:cs="Times New Roman"/>
          <w:b/>
          <w:bCs/>
          <w:sz w:val="24"/>
          <w:szCs w:val="24"/>
        </w:rPr>
        <w:t xml:space="preserve">in </w:t>
      </w:r>
      <w:r>
        <w:rPr>
          <w:rFonts w:ascii="Times New Roman" w:hAnsi="Times New Roman" w:cs="Times New Roman"/>
          <w:b/>
          <w:bCs/>
          <w:sz w:val="24"/>
          <w:szCs w:val="24"/>
        </w:rPr>
        <w:t>2017</w:t>
      </w:r>
      <w:r w:rsidRPr="00AE3EE7">
        <w:rPr>
          <w:rFonts w:ascii="Times New Roman" w:hAnsi="Times New Roman" w:cs="Times New Roman"/>
          <w:sz w:val="24"/>
          <w:szCs w:val="24"/>
        </w:rPr>
        <w:t xml:space="preserve">, </w:t>
      </w:r>
      <w:r>
        <w:rPr>
          <w:rFonts w:ascii="Times New Roman" w:hAnsi="Times New Roman" w:cs="Times New Roman"/>
          <w:sz w:val="24"/>
          <w:szCs w:val="24"/>
        </w:rPr>
        <w:t xml:space="preserve">which indicates </w:t>
      </w:r>
      <w:r w:rsidR="00B31FE8">
        <w:rPr>
          <w:rFonts w:ascii="Times New Roman" w:hAnsi="Times New Roman" w:cs="Times New Roman"/>
          <w:sz w:val="24"/>
          <w:szCs w:val="24"/>
        </w:rPr>
        <w:t xml:space="preserve">       </w:t>
      </w:r>
      <w:r>
        <w:rPr>
          <w:rFonts w:ascii="Times New Roman" w:hAnsi="Times New Roman" w:cs="Times New Roman"/>
          <w:sz w:val="24"/>
          <w:szCs w:val="24"/>
        </w:rPr>
        <w:t>a</w:t>
      </w:r>
      <w:r w:rsidRPr="00AE3EE7">
        <w:rPr>
          <w:rFonts w:ascii="Times New Roman" w:hAnsi="Times New Roman" w:cs="Times New Roman"/>
          <w:sz w:val="24"/>
          <w:szCs w:val="24"/>
        </w:rPr>
        <w:t xml:space="preserve"> </w:t>
      </w:r>
      <w:r>
        <w:rPr>
          <w:rFonts w:ascii="Times New Roman" w:hAnsi="Times New Roman" w:cs="Times New Roman"/>
          <w:b/>
          <w:bCs/>
          <w:sz w:val="24"/>
          <w:szCs w:val="24"/>
        </w:rPr>
        <w:t>de</w:t>
      </w:r>
      <w:r w:rsidRPr="00AE3EE7">
        <w:rPr>
          <w:rFonts w:ascii="Times New Roman" w:hAnsi="Times New Roman" w:cs="Times New Roman"/>
          <w:b/>
          <w:bCs/>
          <w:sz w:val="24"/>
          <w:szCs w:val="24"/>
        </w:rPr>
        <w:t xml:space="preserve">crease by </w:t>
      </w:r>
      <w:r>
        <w:rPr>
          <w:rFonts w:ascii="Times New Roman" w:hAnsi="Times New Roman" w:cs="Times New Roman"/>
          <w:b/>
          <w:bCs/>
          <w:sz w:val="24"/>
          <w:szCs w:val="24"/>
        </w:rPr>
        <w:t>1.17</w:t>
      </w:r>
      <w:r w:rsidRPr="00AE3EE7">
        <w:rPr>
          <w:rFonts w:ascii="Times New Roman" w:hAnsi="Times New Roman" w:cs="Times New Roman"/>
          <w:b/>
          <w:bCs/>
          <w:sz w:val="24"/>
          <w:szCs w:val="24"/>
        </w:rPr>
        <w:t>%</w:t>
      </w:r>
      <w:r w:rsidRPr="00AE3EE7">
        <w:rPr>
          <w:rFonts w:ascii="Times New Roman" w:hAnsi="Times New Roman" w:cs="Times New Roman"/>
          <w:sz w:val="24"/>
          <w:szCs w:val="24"/>
        </w:rPr>
        <w:t xml:space="preserve"> </w:t>
      </w:r>
      <w:r w:rsidRPr="00AE3EE7">
        <w:rPr>
          <w:rFonts w:ascii="Times New Roman" w:hAnsi="Times New Roman" w:cs="Times New Roman"/>
          <w:b/>
          <w:bCs/>
          <w:sz w:val="24"/>
          <w:szCs w:val="24"/>
        </w:rPr>
        <w:t xml:space="preserve">compared with </w:t>
      </w:r>
      <w:r>
        <w:rPr>
          <w:rFonts w:ascii="Times New Roman" w:hAnsi="Times New Roman" w:cs="Times New Roman"/>
          <w:b/>
          <w:bCs/>
          <w:sz w:val="24"/>
          <w:szCs w:val="24"/>
        </w:rPr>
        <w:t>2016</w:t>
      </w:r>
      <w:r w:rsidRPr="00AE3EE7">
        <w:rPr>
          <w:rFonts w:ascii="Times New Roman" w:hAnsi="Times New Roman" w:cs="Times New Roman"/>
          <w:sz w:val="24"/>
          <w:szCs w:val="24"/>
        </w:rPr>
        <w:t>.</w:t>
      </w:r>
    </w:p>
    <w:p w:rsidR="00AE3EE7" w:rsidRPr="00B051DB" w:rsidRDefault="00AE3EE7" w:rsidP="00AE3EE7">
      <w:pPr>
        <w:spacing w:line="240" w:lineRule="auto"/>
        <w:jc w:val="both"/>
        <w:rPr>
          <w:rFonts w:ascii="Times New Roman" w:hAnsi="Times New Roman" w:cs="Times New Roman"/>
          <w:sz w:val="16"/>
          <w:szCs w:val="16"/>
        </w:rPr>
      </w:pPr>
    </w:p>
    <w:p w:rsidR="00AE3EE7" w:rsidRPr="00AE3EE7" w:rsidRDefault="00AE3EE7" w:rsidP="009739AA">
      <w:pPr>
        <w:spacing w:line="240" w:lineRule="auto"/>
        <w:jc w:val="both"/>
        <w:rPr>
          <w:rFonts w:ascii="Times New Roman" w:hAnsi="Times New Roman" w:cs="Times New Roman"/>
          <w:sz w:val="24"/>
          <w:szCs w:val="24"/>
        </w:rPr>
      </w:pPr>
      <w:r w:rsidRPr="00AE3EE7">
        <w:rPr>
          <w:rFonts w:ascii="Times New Roman" w:hAnsi="Times New Roman" w:cs="Times New Roman"/>
          <w:sz w:val="24"/>
          <w:szCs w:val="24"/>
        </w:rPr>
        <w:t xml:space="preserve">Prices of WPI for </w:t>
      </w:r>
      <w:r>
        <w:rPr>
          <w:rFonts w:ascii="Times New Roman" w:hAnsi="Times New Roman" w:cs="Times New Roman"/>
          <w:sz w:val="24"/>
          <w:szCs w:val="24"/>
        </w:rPr>
        <w:t>2017</w:t>
      </w:r>
      <w:r w:rsidRPr="00AE3EE7">
        <w:rPr>
          <w:rFonts w:ascii="Times New Roman" w:hAnsi="Times New Roman" w:cs="Times New Roman"/>
          <w:sz w:val="24"/>
          <w:szCs w:val="24"/>
        </w:rPr>
        <w:t xml:space="preserve"> </w:t>
      </w:r>
      <w:r>
        <w:rPr>
          <w:rFonts w:ascii="Times New Roman" w:hAnsi="Times New Roman" w:cs="Times New Roman"/>
          <w:sz w:val="24"/>
          <w:szCs w:val="24"/>
        </w:rPr>
        <w:t>de</w:t>
      </w:r>
      <w:r w:rsidRPr="00AE3EE7">
        <w:rPr>
          <w:rFonts w:ascii="Times New Roman" w:hAnsi="Times New Roman" w:cs="Times New Roman"/>
          <w:sz w:val="24"/>
          <w:szCs w:val="24"/>
        </w:rPr>
        <w:t xml:space="preserve">creased due to the </w:t>
      </w:r>
      <w:r>
        <w:rPr>
          <w:rFonts w:ascii="Times New Roman" w:hAnsi="Times New Roman" w:cs="Times New Roman"/>
          <w:sz w:val="24"/>
          <w:szCs w:val="24"/>
        </w:rPr>
        <w:t>de</w:t>
      </w:r>
      <w:r w:rsidRPr="00AE3EE7">
        <w:rPr>
          <w:rFonts w:ascii="Times New Roman" w:hAnsi="Times New Roman" w:cs="Times New Roman"/>
          <w:sz w:val="24"/>
          <w:szCs w:val="24"/>
        </w:rPr>
        <w:t xml:space="preserve">crease in the prices of </w:t>
      </w:r>
      <w:r w:rsidRPr="00AE3EE7">
        <w:rPr>
          <w:rFonts w:ascii="Times New Roman" w:hAnsi="Times New Roman" w:cs="Times New Roman"/>
          <w:b/>
          <w:bCs/>
          <w:sz w:val="24"/>
          <w:szCs w:val="24"/>
        </w:rPr>
        <w:t xml:space="preserve">Fishing goods by </w:t>
      </w:r>
      <w:r>
        <w:rPr>
          <w:rFonts w:ascii="Times New Roman" w:hAnsi="Times New Roman" w:cs="Times New Roman"/>
          <w:b/>
          <w:bCs/>
          <w:sz w:val="24"/>
          <w:szCs w:val="24"/>
        </w:rPr>
        <w:t>22.80</w:t>
      </w:r>
      <w:r w:rsidRPr="00AE3EE7">
        <w:rPr>
          <w:rFonts w:ascii="Times New Roman" w:hAnsi="Times New Roman" w:cs="Times New Roman"/>
          <w:b/>
          <w:bCs/>
          <w:sz w:val="24"/>
          <w:szCs w:val="24"/>
        </w:rPr>
        <w:t>%</w:t>
      </w:r>
      <w:r w:rsidRPr="00AE3EE7">
        <w:rPr>
          <w:rFonts w:ascii="Times New Roman" w:hAnsi="Times New Roman" w:cs="Times New Roman"/>
          <w:sz w:val="24"/>
          <w:szCs w:val="24"/>
        </w:rPr>
        <w:t xml:space="preserve">, </w:t>
      </w:r>
      <w:r w:rsidRPr="00AE3EE7">
        <w:rPr>
          <w:rFonts w:ascii="Times New Roman" w:hAnsi="Times New Roman" w:cs="Times New Roman"/>
          <w:b/>
          <w:bCs/>
          <w:sz w:val="24"/>
          <w:szCs w:val="24"/>
        </w:rPr>
        <w:t xml:space="preserve">Agriculture goods by </w:t>
      </w:r>
      <w:r>
        <w:rPr>
          <w:rFonts w:ascii="Times New Roman" w:hAnsi="Times New Roman" w:cs="Times New Roman"/>
          <w:b/>
          <w:bCs/>
          <w:sz w:val="24"/>
          <w:szCs w:val="24"/>
        </w:rPr>
        <w:t>2.18</w:t>
      </w:r>
      <w:r w:rsidRPr="00AE3EE7">
        <w:rPr>
          <w:rFonts w:ascii="Times New Roman" w:hAnsi="Times New Roman" w:cs="Times New Roman"/>
          <w:b/>
          <w:bCs/>
          <w:sz w:val="24"/>
          <w:szCs w:val="24"/>
        </w:rPr>
        <w:t>%</w:t>
      </w:r>
      <w:r w:rsidRPr="00AE3EE7">
        <w:rPr>
          <w:rFonts w:ascii="Times New Roman" w:hAnsi="Times New Roman" w:cs="Times New Roman"/>
          <w:sz w:val="24"/>
          <w:szCs w:val="24"/>
        </w:rPr>
        <w:t xml:space="preserve">, and the prices of goods in </w:t>
      </w:r>
      <w:r w:rsidRPr="00AE3EE7">
        <w:rPr>
          <w:rFonts w:ascii="Times New Roman" w:hAnsi="Times New Roman" w:cs="Times New Roman"/>
          <w:b/>
          <w:bCs/>
          <w:sz w:val="24"/>
          <w:szCs w:val="24"/>
        </w:rPr>
        <w:t xml:space="preserve">Manufacturing group by </w:t>
      </w:r>
      <w:r>
        <w:rPr>
          <w:rFonts w:ascii="Times New Roman" w:hAnsi="Times New Roman" w:cs="Times New Roman"/>
          <w:b/>
          <w:bCs/>
          <w:sz w:val="24"/>
          <w:szCs w:val="24"/>
        </w:rPr>
        <w:t>0.72</w:t>
      </w:r>
      <w:r w:rsidRPr="00AE3EE7">
        <w:rPr>
          <w:rFonts w:ascii="Times New Roman" w:hAnsi="Times New Roman" w:cs="Times New Roman"/>
          <w:b/>
          <w:bCs/>
          <w:sz w:val="24"/>
          <w:szCs w:val="24"/>
        </w:rPr>
        <w:t>%</w:t>
      </w:r>
      <w:r w:rsidRPr="00AE3EE7">
        <w:rPr>
          <w:rFonts w:ascii="Times New Roman" w:hAnsi="Times New Roman" w:cs="Times New Roman"/>
          <w:sz w:val="24"/>
          <w:szCs w:val="24"/>
        </w:rPr>
        <w:t xml:space="preserve">, while the prices of goods in </w:t>
      </w:r>
      <w:r w:rsidRPr="00AE3EE7">
        <w:rPr>
          <w:rFonts w:ascii="Times New Roman" w:hAnsi="Times New Roman" w:cs="Times New Roman"/>
          <w:b/>
          <w:bCs/>
          <w:sz w:val="24"/>
          <w:szCs w:val="24"/>
        </w:rPr>
        <w:t xml:space="preserve">Mining and quarrying group </w:t>
      </w:r>
      <w:r>
        <w:rPr>
          <w:rFonts w:ascii="Times New Roman" w:hAnsi="Times New Roman" w:cs="Times New Roman"/>
          <w:b/>
          <w:bCs/>
          <w:sz w:val="24"/>
          <w:szCs w:val="24"/>
        </w:rPr>
        <w:t>in</w:t>
      </w:r>
      <w:r w:rsidRPr="00AE3EE7">
        <w:rPr>
          <w:rFonts w:ascii="Times New Roman" w:hAnsi="Times New Roman" w:cs="Times New Roman"/>
          <w:b/>
          <w:bCs/>
          <w:sz w:val="24"/>
          <w:szCs w:val="24"/>
        </w:rPr>
        <w:t xml:space="preserve">creased by </w:t>
      </w:r>
      <w:r>
        <w:rPr>
          <w:rFonts w:ascii="Times New Roman" w:hAnsi="Times New Roman" w:cs="Times New Roman"/>
          <w:b/>
          <w:bCs/>
          <w:sz w:val="24"/>
          <w:szCs w:val="24"/>
        </w:rPr>
        <w:t>2.97</w:t>
      </w:r>
      <w:r w:rsidRPr="00AE3EE7">
        <w:rPr>
          <w:rFonts w:ascii="Times New Roman" w:hAnsi="Times New Roman" w:cs="Times New Roman"/>
          <w:b/>
          <w:bCs/>
          <w:sz w:val="24"/>
          <w:szCs w:val="24"/>
        </w:rPr>
        <w:t>%</w:t>
      </w:r>
      <w:r w:rsidRPr="00AE3EE7">
        <w:rPr>
          <w:rFonts w:ascii="Times New Roman" w:hAnsi="Times New Roman" w:cs="Times New Roman"/>
          <w:sz w:val="24"/>
          <w:szCs w:val="24"/>
        </w:rPr>
        <w:t>.</w:t>
      </w:r>
    </w:p>
    <w:p w:rsidR="00AE3EE7" w:rsidRPr="00B051DB" w:rsidRDefault="00AE3EE7" w:rsidP="00AE3EE7">
      <w:pPr>
        <w:spacing w:line="240" w:lineRule="auto"/>
        <w:jc w:val="both"/>
        <w:rPr>
          <w:rFonts w:ascii="Times New Roman" w:hAnsi="Times New Roman" w:cs="Times New Roman"/>
          <w:sz w:val="16"/>
          <w:szCs w:val="16"/>
        </w:rPr>
      </w:pPr>
    </w:p>
    <w:p w:rsidR="00AE3EE7" w:rsidRDefault="00AE3EE7" w:rsidP="009739AA">
      <w:pPr>
        <w:spacing w:line="240" w:lineRule="auto"/>
        <w:jc w:val="both"/>
        <w:rPr>
          <w:rFonts w:ascii="Times New Roman" w:hAnsi="Times New Roman" w:cs="Times New Roman"/>
          <w:b/>
          <w:bCs/>
          <w:sz w:val="24"/>
          <w:szCs w:val="24"/>
        </w:rPr>
      </w:pPr>
      <w:r w:rsidRPr="00AE3EE7">
        <w:rPr>
          <w:rFonts w:ascii="Times New Roman" w:hAnsi="Times New Roman" w:cs="Times New Roman"/>
          <w:sz w:val="24"/>
          <w:szCs w:val="24"/>
        </w:rPr>
        <w:t xml:space="preserve">The prices of local products </w:t>
      </w:r>
      <w:r>
        <w:rPr>
          <w:rFonts w:ascii="Times New Roman" w:hAnsi="Times New Roman" w:cs="Times New Roman"/>
          <w:sz w:val="24"/>
          <w:szCs w:val="24"/>
        </w:rPr>
        <w:t>de</w:t>
      </w:r>
      <w:r w:rsidRPr="00AE3EE7">
        <w:rPr>
          <w:rFonts w:ascii="Times New Roman" w:hAnsi="Times New Roman" w:cs="Times New Roman"/>
          <w:sz w:val="24"/>
          <w:szCs w:val="24"/>
        </w:rPr>
        <w:t xml:space="preserve">creased by </w:t>
      </w:r>
      <w:r>
        <w:rPr>
          <w:rFonts w:ascii="Times New Roman" w:hAnsi="Times New Roman" w:cs="Times New Roman"/>
          <w:sz w:val="24"/>
          <w:szCs w:val="24"/>
        </w:rPr>
        <w:t>1.58</w:t>
      </w:r>
      <w:r w:rsidRPr="00AE3EE7">
        <w:rPr>
          <w:rFonts w:ascii="Times New Roman" w:hAnsi="Times New Roman" w:cs="Times New Roman"/>
          <w:sz w:val="24"/>
          <w:szCs w:val="24"/>
        </w:rPr>
        <w:t xml:space="preserve">%, </w:t>
      </w:r>
      <w:r>
        <w:rPr>
          <w:rFonts w:ascii="Times New Roman" w:hAnsi="Times New Roman" w:cs="Times New Roman"/>
          <w:sz w:val="24"/>
          <w:szCs w:val="24"/>
        </w:rPr>
        <w:t>while</w:t>
      </w:r>
      <w:r w:rsidRPr="00AE3EE7">
        <w:rPr>
          <w:rFonts w:ascii="Times New Roman" w:hAnsi="Times New Roman" w:cs="Times New Roman"/>
          <w:sz w:val="24"/>
          <w:szCs w:val="24"/>
        </w:rPr>
        <w:t xml:space="preserve"> the prices of imported products increased by </w:t>
      </w:r>
      <w:r>
        <w:rPr>
          <w:rFonts w:ascii="Times New Roman" w:hAnsi="Times New Roman" w:cs="Times New Roman"/>
          <w:sz w:val="24"/>
          <w:szCs w:val="24"/>
        </w:rPr>
        <w:t>0.21</w:t>
      </w:r>
      <w:r w:rsidRPr="00AE3EE7">
        <w:rPr>
          <w:rFonts w:ascii="Times New Roman" w:hAnsi="Times New Roman" w:cs="Times New Roman"/>
          <w:sz w:val="24"/>
          <w:szCs w:val="24"/>
        </w:rPr>
        <w:t>%</w:t>
      </w:r>
      <w:r w:rsidRPr="00AE3EE7">
        <w:rPr>
          <w:rFonts w:ascii="Times New Roman" w:hAnsi="Times New Roman" w:cs="Times New Roman"/>
          <w:b/>
          <w:bCs/>
          <w:sz w:val="24"/>
          <w:szCs w:val="24"/>
        </w:rPr>
        <w:t xml:space="preserve"> </w:t>
      </w:r>
      <w:r w:rsidRPr="00AE3EE7">
        <w:rPr>
          <w:rFonts w:ascii="Times New Roman" w:hAnsi="Times New Roman" w:cs="Times New Roman"/>
          <w:sz w:val="24"/>
          <w:szCs w:val="24"/>
        </w:rPr>
        <w:t>compared with the previous year.</w:t>
      </w:r>
    </w:p>
    <w:p w:rsidR="00B051DB" w:rsidRPr="00B051DB" w:rsidRDefault="00B051DB" w:rsidP="00AE3EE7">
      <w:pPr>
        <w:spacing w:line="240" w:lineRule="auto"/>
        <w:jc w:val="both"/>
        <w:outlineLvl w:val="1"/>
        <w:rPr>
          <w:rFonts w:ascii="Times New Roman" w:hAnsi="Times New Roman" w:cs="Times New Roman"/>
          <w:b/>
          <w:bCs/>
          <w:sz w:val="16"/>
          <w:szCs w:val="16"/>
        </w:rPr>
      </w:pPr>
    </w:p>
    <w:p w:rsidR="00E96596" w:rsidRPr="00B051DB" w:rsidRDefault="00E96596" w:rsidP="009739AA">
      <w:pPr>
        <w:spacing w:line="240" w:lineRule="auto"/>
        <w:jc w:val="center"/>
        <w:rPr>
          <w:rFonts w:ascii="Times New Roman" w:hAnsi="Times New Roman" w:cs="Times New Roman"/>
          <w:b/>
          <w:bCs/>
          <w:sz w:val="25"/>
          <w:szCs w:val="25"/>
        </w:rPr>
      </w:pPr>
      <w:r w:rsidRPr="00B051DB">
        <w:rPr>
          <w:rFonts w:ascii="Times New Roman" w:hAnsi="Times New Roman" w:cs="Times New Roman"/>
          <w:b/>
          <w:bCs/>
          <w:sz w:val="25"/>
          <w:szCs w:val="25"/>
        </w:rPr>
        <w:t xml:space="preserve">Yearly Percent Change in </w:t>
      </w:r>
      <w:r w:rsidR="00CA03AC" w:rsidRPr="00B051DB">
        <w:rPr>
          <w:rFonts w:ascii="Times New Roman" w:hAnsi="Times New Roman" w:cs="Times New Roman"/>
          <w:b/>
          <w:bCs/>
          <w:sz w:val="25"/>
          <w:szCs w:val="25"/>
        </w:rPr>
        <w:t xml:space="preserve">the </w:t>
      </w:r>
      <w:r w:rsidRPr="00B051DB">
        <w:rPr>
          <w:rFonts w:ascii="Times New Roman" w:hAnsi="Times New Roman" w:cs="Times New Roman"/>
          <w:b/>
          <w:bCs/>
          <w:sz w:val="25"/>
          <w:szCs w:val="25"/>
        </w:rPr>
        <w:t>Wholesale Price Index in Palestine for 2007 – 2017</w:t>
      </w:r>
    </w:p>
    <w:p w:rsidR="00C540CE" w:rsidRPr="00C540CE" w:rsidRDefault="00C540CE" w:rsidP="00E96596">
      <w:pPr>
        <w:spacing w:line="360" w:lineRule="auto"/>
        <w:jc w:val="center"/>
        <w:rPr>
          <w:b/>
          <w:bCs/>
          <w:sz w:val="10"/>
          <w:szCs w:val="10"/>
        </w:rPr>
      </w:pPr>
    </w:p>
    <w:tbl>
      <w:tblPr>
        <w:tblStyle w:val="TableGrid"/>
        <w:tblW w:w="0" w:type="auto"/>
        <w:jc w:val="center"/>
        <w:tblLook w:val="04A0"/>
      </w:tblPr>
      <w:tblGrid>
        <w:gridCol w:w="5061"/>
      </w:tblGrid>
      <w:tr w:rsidR="00E96596" w:rsidTr="00E96596">
        <w:trPr>
          <w:jc w:val="center"/>
        </w:trPr>
        <w:tc>
          <w:tcPr>
            <w:tcW w:w="4635" w:type="dxa"/>
          </w:tcPr>
          <w:p w:rsidR="00E96596" w:rsidRDefault="00E96596" w:rsidP="00E96596">
            <w:pPr>
              <w:pBdr>
                <w:top w:val="none" w:sz="0" w:space="0" w:color="auto"/>
                <w:left w:val="none" w:sz="0" w:space="0" w:color="auto"/>
                <w:bottom w:val="none" w:sz="0" w:space="0" w:color="auto"/>
                <w:right w:val="none" w:sz="0" w:space="0" w:color="auto"/>
                <w:between w:val="none" w:sz="0" w:space="0" w:color="auto"/>
              </w:pBdr>
              <w:spacing w:line="360" w:lineRule="auto"/>
              <w:jc w:val="center"/>
              <w:rPr>
                <w:b/>
                <w:bCs/>
              </w:rPr>
            </w:pPr>
            <w:r w:rsidRPr="00E96596">
              <w:rPr>
                <w:b/>
                <w:bCs/>
                <w:noProof/>
                <w:lang w:eastAsia="en-US"/>
              </w:rPr>
              <w:drawing>
                <wp:inline distT="0" distB="0" distL="0" distR="0">
                  <wp:extent cx="3076575" cy="2447925"/>
                  <wp:effectExtent l="0" t="0" r="0" b="0"/>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B051DB" w:rsidRDefault="00B051DB" w:rsidP="00E96596">
      <w:pPr>
        <w:spacing w:line="360" w:lineRule="auto"/>
        <w:jc w:val="center"/>
        <w:rPr>
          <w:b/>
          <w:bCs/>
        </w:rPr>
      </w:pPr>
    </w:p>
    <w:p w:rsidR="00B051DB" w:rsidRDefault="00B051DB" w:rsidP="00B051DB">
      <w:pPr>
        <w:spacing w:line="360" w:lineRule="auto"/>
        <w:rPr>
          <w:b/>
          <w:bCs/>
        </w:rPr>
      </w:pPr>
    </w:p>
    <w:p w:rsidR="00AE3EE7" w:rsidRDefault="0047336E" w:rsidP="00E96596">
      <w:pPr>
        <w:spacing w:line="240" w:lineRule="auto"/>
        <w:jc w:val="both"/>
        <w:outlineLvl w:val="1"/>
        <w:rPr>
          <w:rFonts w:ascii="Times New Roman" w:hAnsi="Times New Roman" w:cs="Times New Roman"/>
          <w:b/>
          <w:bCs/>
          <w:sz w:val="24"/>
          <w:szCs w:val="24"/>
        </w:rPr>
      </w:pPr>
      <w:r w:rsidRPr="0047336E">
        <w:rPr>
          <w:noProof/>
          <w:lang w:eastAsia="en-US"/>
        </w:rPr>
        <w:pict>
          <v:shapetype id="_x0000_t32" coordsize="21600,21600" o:spt="32" o:oned="t" path="m,l21600,21600e" filled="f">
            <v:path arrowok="t" fillok="f" o:connecttype="none"/>
            <o:lock v:ext="edit" shapetype="t"/>
          </v:shapetype>
          <v:shape id="_x0000_s1026" type="#_x0000_t32" style="position:absolute;left:0;text-align:left;margin-left:.35pt;margin-top:4.45pt;width:222.85pt;height:0;z-index:251660288" o:connectortype="straight"/>
        </w:pict>
      </w:r>
    </w:p>
    <w:p w:rsidR="00E96596" w:rsidRDefault="00E96596" w:rsidP="00E96596">
      <w:pPr>
        <w:pStyle w:val="BodyText2"/>
        <w:bidi w:val="0"/>
        <w:spacing w:after="0" w:line="240" w:lineRule="auto"/>
        <w:jc w:val="both"/>
        <w:outlineLvl w:val="0"/>
      </w:pPr>
      <w:r w:rsidRPr="00FC160D">
        <w:rPr>
          <w:vertAlign w:val="superscript"/>
        </w:rPr>
        <w:t>1</w:t>
      </w:r>
      <w:r w:rsidRPr="00FC160D">
        <w:t xml:space="preserve"> </w:t>
      </w:r>
      <w:r w:rsidRPr="00FC160D">
        <w:rPr>
          <w:sz w:val="20"/>
          <w:szCs w:val="20"/>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r w:rsidRPr="00FC160D">
        <w:t xml:space="preserve"> </w:t>
      </w: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Default="00B051DB" w:rsidP="00B051DB">
      <w:pPr>
        <w:pStyle w:val="BodyText2"/>
        <w:bidi w:val="0"/>
        <w:spacing w:after="0" w:line="240" w:lineRule="auto"/>
        <w:jc w:val="both"/>
        <w:outlineLvl w:val="0"/>
      </w:pPr>
    </w:p>
    <w:p w:rsidR="00B051DB" w:rsidRPr="00B051DB" w:rsidRDefault="00B051DB" w:rsidP="00B051DB">
      <w:pPr>
        <w:pStyle w:val="BodyText2"/>
        <w:bidi w:val="0"/>
        <w:spacing w:after="0" w:line="240" w:lineRule="auto"/>
        <w:jc w:val="both"/>
        <w:outlineLvl w:val="0"/>
        <w:rPr>
          <w:sz w:val="16"/>
          <w:szCs w:val="16"/>
        </w:rPr>
      </w:pPr>
    </w:p>
    <w:p w:rsidR="00B051DB" w:rsidRPr="00B051DB" w:rsidRDefault="00B051DB" w:rsidP="00B051DB">
      <w:pPr>
        <w:pStyle w:val="BodyText2"/>
        <w:bidi w:val="0"/>
        <w:spacing w:after="0" w:line="240" w:lineRule="auto"/>
        <w:jc w:val="both"/>
        <w:outlineLvl w:val="0"/>
        <w:rPr>
          <w:sz w:val="16"/>
          <w:szCs w:val="16"/>
        </w:rPr>
      </w:pPr>
    </w:p>
    <w:p w:rsidR="00B051DB" w:rsidRPr="00B051DB" w:rsidRDefault="00B051DB" w:rsidP="00B051DB">
      <w:pPr>
        <w:pStyle w:val="BodyText2"/>
        <w:bidi w:val="0"/>
        <w:spacing w:after="0" w:line="240" w:lineRule="auto"/>
        <w:jc w:val="both"/>
        <w:outlineLvl w:val="0"/>
        <w:rPr>
          <w:sz w:val="16"/>
          <w:szCs w:val="16"/>
        </w:rPr>
      </w:pPr>
    </w:p>
    <w:p w:rsidR="00B051DB" w:rsidRPr="00B051DB" w:rsidRDefault="00B051DB" w:rsidP="00B051DB">
      <w:pPr>
        <w:pStyle w:val="BodyText2"/>
        <w:bidi w:val="0"/>
        <w:spacing w:after="0" w:line="240" w:lineRule="auto"/>
        <w:jc w:val="both"/>
        <w:outlineLvl w:val="0"/>
        <w:rPr>
          <w:sz w:val="16"/>
          <w:szCs w:val="16"/>
        </w:rPr>
      </w:pPr>
    </w:p>
    <w:p w:rsidR="00B051DB" w:rsidRDefault="00C540CE" w:rsidP="00B051DB">
      <w:pPr>
        <w:autoSpaceDE w:val="0"/>
        <w:autoSpaceDN w:val="0"/>
        <w:adjustRightInd w:val="0"/>
        <w:spacing w:line="360" w:lineRule="auto"/>
        <w:jc w:val="center"/>
        <w:rPr>
          <w:rFonts w:ascii="Times New Roman" w:hAnsi="Times New Roman" w:cs="Times New Roman"/>
          <w:b/>
          <w:bCs/>
          <w:snapToGrid w:val="0"/>
          <w:sz w:val="25"/>
          <w:szCs w:val="25"/>
        </w:rPr>
      </w:pPr>
      <w:r w:rsidRPr="00B051DB">
        <w:rPr>
          <w:rFonts w:ascii="Times New Roman" w:hAnsi="Times New Roman" w:cs="Times New Roman"/>
          <w:b/>
          <w:bCs/>
          <w:snapToGrid w:val="0"/>
          <w:sz w:val="25"/>
          <w:szCs w:val="25"/>
        </w:rPr>
        <w:t>The table shows yearly percent change</w:t>
      </w:r>
      <w:r w:rsidR="00805294" w:rsidRPr="00B051DB">
        <w:rPr>
          <w:rFonts w:ascii="Times New Roman" w:hAnsi="Times New Roman" w:cs="Times New Roman"/>
          <w:b/>
          <w:bCs/>
          <w:snapToGrid w:val="0"/>
          <w:sz w:val="25"/>
          <w:szCs w:val="25"/>
        </w:rPr>
        <w:t>s</w:t>
      </w:r>
      <w:r w:rsidRPr="00B051DB">
        <w:rPr>
          <w:rFonts w:ascii="Times New Roman" w:hAnsi="Times New Roman" w:cs="Times New Roman"/>
          <w:b/>
          <w:bCs/>
          <w:snapToGrid w:val="0"/>
          <w:sz w:val="25"/>
          <w:szCs w:val="25"/>
        </w:rPr>
        <w:t xml:space="preserve"> in WPI by source of goods in Palestine</w:t>
      </w:r>
    </w:p>
    <w:p w:rsidR="00C540CE" w:rsidRPr="00B051DB" w:rsidRDefault="00C540CE" w:rsidP="00B051DB">
      <w:pPr>
        <w:autoSpaceDE w:val="0"/>
        <w:autoSpaceDN w:val="0"/>
        <w:adjustRightInd w:val="0"/>
        <w:spacing w:line="360" w:lineRule="auto"/>
        <w:jc w:val="center"/>
        <w:rPr>
          <w:rFonts w:ascii="Times New Roman" w:hAnsi="Times New Roman" w:cs="Times New Roman"/>
          <w:b/>
          <w:bCs/>
          <w:snapToGrid w:val="0"/>
          <w:sz w:val="25"/>
          <w:szCs w:val="25"/>
        </w:rPr>
      </w:pPr>
      <w:r w:rsidRPr="00B051DB">
        <w:rPr>
          <w:rFonts w:ascii="Times New Roman" w:hAnsi="Times New Roman" w:cs="Times New Roman"/>
          <w:b/>
          <w:bCs/>
          <w:snapToGrid w:val="0"/>
          <w:sz w:val="25"/>
          <w:szCs w:val="25"/>
        </w:rPr>
        <w:t xml:space="preserve"> for the period 2007 – 2017:</w:t>
      </w:r>
    </w:p>
    <w:p w:rsidR="00C540CE" w:rsidRPr="00805294" w:rsidRDefault="00C540CE" w:rsidP="00C540CE">
      <w:pPr>
        <w:autoSpaceDE w:val="0"/>
        <w:autoSpaceDN w:val="0"/>
        <w:adjustRightInd w:val="0"/>
        <w:spacing w:line="360" w:lineRule="auto"/>
        <w:jc w:val="both"/>
        <w:rPr>
          <w:rFonts w:ascii="Times New Roman" w:hAnsi="Times New Roman" w:cs="Times New Roman"/>
          <w:snapToGrid w:val="0"/>
          <w:sz w:val="10"/>
          <w:szCs w:val="10"/>
        </w:rPr>
      </w:pPr>
    </w:p>
    <w:tbl>
      <w:tblPr>
        <w:tblW w:w="4786" w:type="dxa"/>
        <w:jc w:val="center"/>
        <w:tblBorders>
          <w:top w:val="single" w:sz="12" w:space="0" w:color="000000"/>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59"/>
        <w:gridCol w:w="1276"/>
        <w:gridCol w:w="1275"/>
        <w:gridCol w:w="1276"/>
      </w:tblGrid>
      <w:tr w:rsidR="00C540CE" w:rsidRPr="00B051DB" w:rsidTr="00B051DB">
        <w:trPr>
          <w:trHeight w:val="397"/>
          <w:jc w:val="center"/>
        </w:trPr>
        <w:tc>
          <w:tcPr>
            <w:tcW w:w="959" w:type="dxa"/>
            <w:vMerge w:val="restart"/>
            <w:vAlign w:val="center"/>
          </w:tcPr>
          <w:p w:rsidR="00C540CE" w:rsidRPr="00B051DB" w:rsidRDefault="00C540CE" w:rsidP="00B051DB">
            <w:pPr>
              <w:autoSpaceDE w:val="0"/>
              <w:autoSpaceDN w:val="0"/>
              <w:adjustRightInd w:val="0"/>
              <w:spacing w:line="240" w:lineRule="auto"/>
              <w:jc w:val="center"/>
              <w:rPr>
                <w:rFonts w:asciiTheme="majorBidi" w:hAnsiTheme="majorBidi" w:cstheme="majorBidi"/>
                <w:b/>
                <w:bCs/>
                <w:snapToGrid w:val="0"/>
                <w:sz w:val="24"/>
                <w:szCs w:val="24"/>
              </w:rPr>
            </w:pPr>
            <w:r w:rsidRPr="00B051DB">
              <w:rPr>
                <w:rFonts w:asciiTheme="majorBidi" w:hAnsiTheme="majorBidi" w:cstheme="majorBidi"/>
                <w:b/>
                <w:bCs/>
                <w:snapToGrid w:val="0"/>
                <w:sz w:val="24"/>
                <w:szCs w:val="24"/>
              </w:rPr>
              <w:t>Year</w:t>
            </w:r>
          </w:p>
        </w:tc>
        <w:tc>
          <w:tcPr>
            <w:tcW w:w="3827" w:type="dxa"/>
            <w:gridSpan w:val="3"/>
            <w:vAlign w:val="center"/>
          </w:tcPr>
          <w:p w:rsidR="00C540CE" w:rsidRPr="00B051DB" w:rsidRDefault="00C540CE" w:rsidP="00B051DB">
            <w:pPr>
              <w:autoSpaceDE w:val="0"/>
              <w:autoSpaceDN w:val="0"/>
              <w:adjustRightInd w:val="0"/>
              <w:spacing w:line="240" w:lineRule="auto"/>
              <w:jc w:val="center"/>
              <w:rPr>
                <w:rFonts w:asciiTheme="majorBidi" w:hAnsiTheme="majorBidi" w:cstheme="majorBidi"/>
                <w:b/>
                <w:bCs/>
                <w:snapToGrid w:val="0"/>
                <w:sz w:val="24"/>
                <w:szCs w:val="24"/>
              </w:rPr>
            </w:pPr>
            <w:r w:rsidRPr="00B051DB">
              <w:rPr>
                <w:rFonts w:asciiTheme="majorBidi" w:hAnsiTheme="majorBidi" w:cstheme="majorBidi"/>
                <w:b/>
                <w:bCs/>
                <w:snapToGrid w:val="0"/>
                <w:sz w:val="24"/>
                <w:szCs w:val="24"/>
              </w:rPr>
              <w:t>Yearly Percent Change</w:t>
            </w:r>
          </w:p>
        </w:tc>
      </w:tr>
      <w:tr w:rsidR="00C540CE" w:rsidRPr="00B051DB" w:rsidTr="00B051DB">
        <w:trPr>
          <w:trHeight w:val="252"/>
          <w:jc w:val="center"/>
        </w:trPr>
        <w:tc>
          <w:tcPr>
            <w:tcW w:w="959" w:type="dxa"/>
            <w:vMerge/>
            <w:vAlign w:val="center"/>
          </w:tcPr>
          <w:p w:rsidR="00C540CE" w:rsidRPr="00B051DB" w:rsidRDefault="00C540CE" w:rsidP="00B051DB">
            <w:pPr>
              <w:autoSpaceDE w:val="0"/>
              <w:autoSpaceDN w:val="0"/>
              <w:adjustRightInd w:val="0"/>
              <w:spacing w:line="240" w:lineRule="auto"/>
              <w:jc w:val="center"/>
              <w:rPr>
                <w:rFonts w:asciiTheme="majorBidi" w:hAnsiTheme="majorBidi" w:cstheme="majorBidi"/>
                <w:b/>
                <w:bCs/>
                <w:snapToGrid w:val="0"/>
                <w:sz w:val="24"/>
                <w:szCs w:val="24"/>
              </w:rPr>
            </w:pPr>
          </w:p>
        </w:tc>
        <w:tc>
          <w:tcPr>
            <w:tcW w:w="1276" w:type="dxa"/>
          </w:tcPr>
          <w:p w:rsidR="00C540CE" w:rsidRPr="00B051DB" w:rsidRDefault="00C540CE" w:rsidP="00B051DB">
            <w:pPr>
              <w:autoSpaceDE w:val="0"/>
              <w:autoSpaceDN w:val="0"/>
              <w:adjustRightInd w:val="0"/>
              <w:spacing w:line="240" w:lineRule="auto"/>
              <w:jc w:val="center"/>
              <w:rPr>
                <w:rFonts w:asciiTheme="majorBidi" w:hAnsiTheme="majorBidi" w:cstheme="majorBidi"/>
                <w:b/>
                <w:bCs/>
                <w:snapToGrid w:val="0"/>
                <w:sz w:val="24"/>
                <w:szCs w:val="24"/>
              </w:rPr>
            </w:pPr>
            <w:r w:rsidRPr="00B051DB">
              <w:rPr>
                <w:rFonts w:asciiTheme="majorBidi" w:hAnsiTheme="majorBidi" w:cstheme="majorBidi"/>
                <w:b/>
                <w:bCs/>
                <w:snapToGrid w:val="0"/>
                <w:sz w:val="24"/>
                <w:szCs w:val="24"/>
              </w:rPr>
              <w:t>Local</w:t>
            </w:r>
          </w:p>
        </w:tc>
        <w:tc>
          <w:tcPr>
            <w:tcW w:w="1275" w:type="dxa"/>
          </w:tcPr>
          <w:p w:rsidR="00C540CE" w:rsidRPr="00B051DB" w:rsidRDefault="00C540CE" w:rsidP="00B051DB">
            <w:pPr>
              <w:autoSpaceDE w:val="0"/>
              <w:autoSpaceDN w:val="0"/>
              <w:adjustRightInd w:val="0"/>
              <w:spacing w:line="240" w:lineRule="auto"/>
              <w:jc w:val="center"/>
              <w:rPr>
                <w:rFonts w:asciiTheme="majorBidi" w:hAnsiTheme="majorBidi" w:cstheme="majorBidi"/>
                <w:b/>
                <w:bCs/>
                <w:snapToGrid w:val="0"/>
                <w:sz w:val="24"/>
                <w:szCs w:val="24"/>
              </w:rPr>
            </w:pPr>
            <w:r w:rsidRPr="00B051DB">
              <w:rPr>
                <w:rFonts w:asciiTheme="majorBidi" w:hAnsiTheme="majorBidi" w:cstheme="majorBidi"/>
                <w:b/>
                <w:bCs/>
                <w:snapToGrid w:val="0"/>
                <w:sz w:val="24"/>
                <w:szCs w:val="24"/>
              </w:rPr>
              <w:t>Import</w:t>
            </w:r>
          </w:p>
        </w:tc>
        <w:tc>
          <w:tcPr>
            <w:tcW w:w="1276" w:type="dxa"/>
          </w:tcPr>
          <w:p w:rsidR="00C540CE" w:rsidRPr="00B051DB" w:rsidRDefault="00C540CE" w:rsidP="00B051DB">
            <w:pPr>
              <w:autoSpaceDE w:val="0"/>
              <w:autoSpaceDN w:val="0"/>
              <w:adjustRightInd w:val="0"/>
              <w:spacing w:line="240" w:lineRule="auto"/>
              <w:jc w:val="center"/>
              <w:rPr>
                <w:rFonts w:asciiTheme="majorBidi" w:hAnsiTheme="majorBidi" w:cstheme="majorBidi"/>
                <w:b/>
                <w:bCs/>
                <w:snapToGrid w:val="0"/>
                <w:sz w:val="24"/>
                <w:szCs w:val="24"/>
              </w:rPr>
            </w:pPr>
            <w:r w:rsidRPr="00B051DB">
              <w:rPr>
                <w:rFonts w:asciiTheme="majorBidi" w:hAnsiTheme="majorBidi" w:cstheme="majorBidi"/>
                <w:b/>
                <w:bCs/>
                <w:snapToGrid w:val="0"/>
                <w:sz w:val="24"/>
                <w:szCs w:val="24"/>
              </w:rPr>
              <w:t>Total</w:t>
            </w:r>
          </w:p>
        </w:tc>
      </w:tr>
      <w:tr w:rsidR="00C540CE" w:rsidRPr="00B051DB" w:rsidTr="00B051DB">
        <w:trPr>
          <w:trHeight w:val="214"/>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2007</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+ 2.96</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+ 3.21</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+ 3.08</w:t>
            </w:r>
          </w:p>
        </w:tc>
      </w:tr>
      <w:tr w:rsidR="00C540CE" w:rsidRPr="00B051DB" w:rsidTr="00B051DB">
        <w:trPr>
          <w:trHeight w:val="204"/>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2008</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+ 9.36</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+ 12.01</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+ 10.71</w:t>
            </w:r>
          </w:p>
        </w:tc>
      </w:tr>
      <w:tr w:rsidR="00C540CE" w:rsidRPr="00B051DB" w:rsidTr="00B051DB">
        <w:trPr>
          <w:trHeight w:val="308"/>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2009</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+ 1.82</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- 2.23</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- 0.67</w:t>
            </w:r>
          </w:p>
        </w:tc>
      </w:tr>
      <w:tr w:rsidR="00C540CE" w:rsidRPr="00B051DB" w:rsidTr="00B051DB">
        <w:trPr>
          <w:trHeight w:val="270"/>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2010</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+ 4.91</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+ 2.92</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+ 3.70</w:t>
            </w:r>
          </w:p>
        </w:tc>
      </w:tr>
      <w:tr w:rsidR="00C540CE" w:rsidRPr="00B051DB" w:rsidTr="00B051DB">
        <w:trPr>
          <w:trHeight w:val="232"/>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2011</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+ 3.08</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+ 4.70</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+ 3.76</w:t>
            </w:r>
          </w:p>
        </w:tc>
      </w:tr>
      <w:tr w:rsidR="00C540CE" w:rsidRPr="00B051DB" w:rsidTr="00B051DB">
        <w:trPr>
          <w:trHeight w:val="223"/>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2012</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- 1.08</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+ 2.19</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+ 0.93</w:t>
            </w:r>
          </w:p>
        </w:tc>
      </w:tr>
      <w:tr w:rsidR="00C540CE" w:rsidRPr="00B051DB" w:rsidTr="00B051DB">
        <w:trPr>
          <w:trHeight w:val="198"/>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2013</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- 0.39</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+ 0.79</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+ 0.78</w:t>
            </w:r>
          </w:p>
        </w:tc>
      </w:tr>
      <w:tr w:rsidR="00C540CE" w:rsidRPr="00B051DB" w:rsidTr="00B051DB">
        <w:trPr>
          <w:trHeight w:val="175"/>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2014</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+ 0.84</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+ 2.52</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+ 1.48</w:t>
            </w:r>
          </w:p>
        </w:tc>
      </w:tr>
      <w:tr w:rsidR="00C540CE" w:rsidRPr="00B051DB" w:rsidTr="00B051DB">
        <w:trPr>
          <w:trHeight w:val="292"/>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2015</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+ 4.26</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- 2.55</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+ 1.21</w:t>
            </w:r>
          </w:p>
        </w:tc>
      </w:tr>
      <w:tr w:rsidR="00C540CE" w:rsidRPr="00B051DB" w:rsidTr="00B051DB">
        <w:trPr>
          <w:trHeight w:val="254"/>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2016</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+ 2.67</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+ 0.70</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+ 1.62</w:t>
            </w:r>
          </w:p>
        </w:tc>
      </w:tr>
      <w:tr w:rsidR="00C540CE" w:rsidRPr="00B051DB" w:rsidTr="00B051DB">
        <w:trPr>
          <w:trHeight w:val="230"/>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snapToGrid w:val="0"/>
                <w:sz w:val="24"/>
                <w:szCs w:val="24"/>
              </w:rPr>
            </w:pPr>
            <w:r w:rsidRPr="00B051DB">
              <w:rPr>
                <w:rFonts w:asciiTheme="majorBidi" w:hAnsiTheme="majorBidi" w:cstheme="majorBidi"/>
                <w:snapToGrid w:val="0"/>
                <w:sz w:val="24"/>
                <w:szCs w:val="24"/>
              </w:rPr>
              <w:t>2017</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- 1.58</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+ 0.21</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snapToGrid w:val="0"/>
                <w:sz w:val="24"/>
                <w:szCs w:val="24"/>
              </w:rPr>
            </w:pPr>
            <w:r w:rsidRPr="00B051DB">
              <w:rPr>
                <w:rFonts w:asciiTheme="majorBidi" w:hAnsiTheme="majorBidi" w:cstheme="majorBidi"/>
                <w:snapToGrid w:val="0"/>
                <w:sz w:val="24"/>
                <w:szCs w:val="24"/>
              </w:rPr>
              <w:t>- 1.17</w:t>
            </w:r>
          </w:p>
        </w:tc>
      </w:tr>
      <w:tr w:rsidR="00C540CE" w:rsidRPr="00B051DB" w:rsidTr="00B051DB">
        <w:trPr>
          <w:trHeight w:val="397"/>
          <w:jc w:val="center"/>
        </w:trPr>
        <w:tc>
          <w:tcPr>
            <w:tcW w:w="959" w:type="dxa"/>
            <w:vAlign w:val="center"/>
          </w:tcPr>
          <w:p w:rsidR="00C540CE" w:rsidRPr="00B051DB" w:rsidRDefault="00C540CE" w:rsidP="00B051DB">
            <w:pPr>
              <w:autoSpaceDE w:val="0"/>
              <w:autoSpaceDN w:val="0"/>
              <w:adjustRightInd w:val="0"/>
              <w:spacing w:line="240" w:lineRule="auto"/>
              <w:rPr>
                <w:rFonts w:asciiTheme="majorBidi" w:hAnsiTheme="majorBidi" w:cstheme="majorBidi"/>
                <w:b/>
                <w:bCs/>
                <w:snapToGrid w:val="0"/>
                <w:sz w:val="24"/>
                <w:szCs w:val="24"/>
              </w:rPr>
            </w:pPr>
            <w:r w:rsidRPr="00B051DB">
              <w:rPr>
                <w:rFonts w:asciiTheme="majorBidi" w:hAnsiTheme="majorBidi" w:cstheme="majorBidi"/>
                <w:b/>
                <w:bCs/>
                <w:snapToGrid w:val="0"/>
                <w:sz w:val="24"/>
                <w:szCs w:val="24"/>
              </w:rPr>
              <w:t>Cum.</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b/>
                <w:bCs/>
                <w:snapToGrid w:val="0"/>
                <w:sz w:val="24"/>
                <w:szCs w:val="24"/>
              </w:rPr>
            </w:pPr>
            <w:r w:rsidRPr="00B051DB">
              <w:rPr>
                <w:rFonts w:asciiTheme="majorBidi" w:hAnsiTheme="majorBidi" w:cstheme="majorBidi"/>
                <w:b/>
                <w:bCs/>
                <w:snapToGrid w:val="0"/>
                <w:sz w:val="24"/>
                <w:szCs w:val="24"/>
              </w:rPr>
              <w:t>+ 29.78</w:t>
            </w:r>
          </w:p>
        </w:tc>
        <w:tc>
          <w:tcPr>
            <w:tcW w:w="1275"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b/>
                <w:bCs/>
                <w:snapToGrid w:val="0"/>
                <w:sz w:val="24"/>
                <w:szCs w:val="24"/>
              </w:rPr>
            </w:pPr>
            <w:r w:rsidRPr="00B051DB">
              <w:rPr>
                <w:rFonts w:asciiTheme="majorBidi" w:hAnsiTheme="majorBidi" w:cstheme="majorBidi"/>
                <w:b/>
                <w:bCs/>
                <w:snapToGrid w:val="0"/>
                <w:sz w:val="24"/>
                <w:szCs w:val="24"/>
              </w:rPr>
              <w:t>+ 26.46</w:t>
            </w:r>
          </w:p>
        </w:tc>
        <w:tc>
          <w:tcPr>
            <w:tcW w:w="1276" w:type="dxa"/>
            <w:vAlign w:val="center"/>
          </w:tcPr>
          <w:p w:rsidR="00C540CE" w:rsidRPr="00B051DB" w:rsidRDefault="00C540CE" w:rsidP="00B051DB">
            <w:pPr>
              <w:autoSpaceDE w:val="0"/>
              <w:autoSpaceDN w:val="0"/>
              <w:adjustRightInd w:val="0"/>
              <w:spacing w:line="240" w:lineRule="auto"/>
              <w:jc w:val="right"/>
              <w:rPr>
                <w:rFonts w:asciiTheme="majorBidi" w:hAnsiTheme="majorBidi" w:cstheme="majorBidi"/>
                <w:b/>
                <w:bCs/>
                <w:snapToGrid w:val="0"/>
                <w:sz w:val="24"/>
                <w:szCs w:val="24"/>
              </w:rPr>
            </w:pPr>
            <w:r w:rsidRPr="00B051DB">
              <w:rPr>
                <w:rFonts w:asciiTheme="majorBidi" w:hAnsiTheme="majorBidi" w:cstheme="majorBidi"/>
                <w:b/>
                <w:bCs/>
                <w:snapToGrid w:val="0"/>
                <w:sz w:val="24"/>
                <w:szCs w:val="24"/>
              </w:rPr>
              <w:t>+ 27.99</w:t>
            </w:r>
          </w:p>
        </w:tc>
      </w:tr>
    </w:tbl>
    <w:p w:rsidR="00AE3EE7" w:rsidRPr="00B051DB" w:rsidRDefault="00AE3EE7" w:rsidP="00B051DB">
      <w:pPr>
        <w:pBdr>
          <w:top w:val="nil"/>
        </w:pBdr>
        <w:spacing w:line="240" w:lineRule="auto"/>
        <w:jc w:val="both"/>
        <w:outlineLvl w:val="1"/>
        <w:rPr>
          <w:rFonts w:ascii="Times New Roman" w:hAnsi="Times New Roman" w:cs="Times New Roman"/>
          <w:b/>
          <w:bCs/>
          <w:sz w:val="16"/>
          <w:szCs w:val="16"/>
        </w:rPr>
      </w:pPr>
    </w:p>
    <w:p w:rsidR="00FC160D" w:rsidRPr="00B051DB" w:rsidRDefault="009739AA" w:rsidP="00B051DB">
      <w:pPr>
        <w:pBdr>
          <w:top w:val="nil"/>
        </w:pBdr>
        <w:spacing w:line="240" w:lineRule="auto"/>
        <w:jc w:val="both"/>
        <w:outlineLvl w:val="1"/>
        <w:rPr>
          <w:rFonts w:ascii="Times New Roman" w:hAnsi="Times New Roman" w:cs="Times New Roman"/>
          <w:b/>
          <w:bCs/>
          <w:sz w:val="25"/>
          <w:szCs w:val="25"/>
        </w:rPr>
      </w:pPr>
      <w:r w:rsidRPr="00B051DB">
        <w:rPr>
          <w:rFonts w:ascii="Times New Roman" w:hAnsi="Times New Roman" w:cs="Times New Roman"/>
          <w:b/>
          <w:bCs/>
          <w:sz w:val="25"/>
          <w:szCs w:val="25"/>
        </w:rPr>
        <w:t>De</w:t>
      </w:r>
      <w:r w:rsidR="00FC160D" w:rsidRPr="00B051DB">
        <w:rPr>
          <w:rFonts w:ascii="Times New Roman" w:hAnsi="Times New Roman" w:cs="Times New Roman"/>
          <w:b/>
          <w:bCs/>
          <w:sz w:val="25"/>
          <w:szCs w:val="25"/>
        </w:rPr>
        <w:t xml:space="preserve">crease in the Wholesale Price Index (WPI) During the </w:t>
      </w:r>
      <w:r w:rsidR="00C540CE" w:rsidRPr="00B051DB">
        <w:rPr>
          <w:rFonts w:ascii="Times New Roman" w:hAnsi="Times New Roman" w:cs="Times New Roman"/>
          <w:b/>
          <w:bCs/>
          <w:kern w:val="36"/>
          <w:sz w:val="25"/>
          <w:szCs w:val="25"/>
        </w:rPr>
        <w:t>Fourth</w:t>
      </w:r>
      <w:r w:rsidR="00FC160D" w:rsidRPr="00B051DB">
        <w:rPr>
          <w:rFonts w:ascii="Times New Roman" w:hAnsi="Times New Roman" w:cs="Times New Roman"/>
          <w:b/>
          <w:bCs/>
          <w:kern w:val="36"/>
          <w:sz w:val="25"/>
          <w:szCs w:val="25"/>
        </w:rPr>
        <w:t xml:space="preserve"> Quarter of 2017</w:t>
      </w:r>
    </w:p>
    <w:p w:rsidR="00FC160D" w:rsidRPr="00FC160D" w:rsidRDefault="00FC160D" w:rsidP="00B051DB">
      <w:pPr>
        <w:pBdr>
          <w:top w:val="nil"/>
        </w:pBdr>
        <w:spacing w:line="240" w:lineRule="auto"/>
        <w:jc w:val="both"/>
        <w:outlineLvl w:val="0"/>
        <w:rPr>
          <w:rFonts w:ascii="Times New Roman" w:hAnsi="Times New Roman" w:cs="Times New Roman"/>
          <w:sz w:val="24"/>
          <w:szCs w:val="24"/>
        </w:rPr>
      </w:pPr>
      <w:r w:rsidRPr="00FC160D">
        <w:rPr>
          <w:rFonts w:ascii="Times New Roman" w:hAnsi="Times New Roman" w:cs="Times New Roman"/>
          <w:sz w:val="24"/>
          <w:szCs w:val="24"/>
        </w:rPr>
        <w:t xml:space="preserve">The overall WPI in Palestine with its base year (2007=100) reached </w:t>
      </w:r>
      <w:r>
        <w:rPr>
          <w:rFonts w:ascii="Times New Roman" w:hAnsi="Times New Roman" w:cs="Times New Roman"/>
          <w:sz w:val="24"/>
          <w:szCs w:val="24"/>
        </w:rPr>
        <w:t>124.</w:t>
      </w:r>
      <w:r w:rsidR="00C540CE">
        <w:rPr>
          <w:rFonts w:ascii="Times New Roman" w:hAnsi="Times New Roman" w:cs="Times New Roman"/>
          <w:sz w:val="24"/>
          <w:szCs w:val="24"/>
        </w:rPr>
        <w:t>30</w:t>
      </w:r>
      <w:r w:rsidRPr="00FC160D">
        <w:rPr>
          <w:rFonts w:ascii="Times New Roman" w:hAnsi="Times New Roman" w:cs="Times New Roman"/>
          <w:sz w:val="24"/>
          <w:szCs w:val="24"/>
        </w:rPr>
        <w:t xml:space="preserve"> in the </w:t>
      </w:r>
      <w:r w:rsidR="00C540CE">
        <w:rPr>
          <w:rFonts w:ascii="Times New Roman" w:hAnsi="Times New Roman" w:cs="Times New Roman"/>
          <w:sz w:val="24"/>
          <w:szCs w:val="24"/>
        </w:rPr>
        <w:t>Fourth</w:t>
      </w:r>
      <w:r w:rsidRPr="00FC160D">
        <w:rPr>
          <w:rFonts w:ascii="Times New Roman" w:hAnsi="Times New Roman" w:cs="Times New Roman"/>
          <w:sz w:val="24"/>
          <w:szCs w:val="24"/>
        </w:rPr>
        <w:t xml:space="preserve"> quarter 2017, which indicates a </w:t>
      </w:r>
      <w:r w:rsidR="00C540CE">
        <w:rPr>
          <w:rFonts w:ascii="Times New Roman" w:hAnsi="Times New Roman" w:cs="Times New Roman"/>
          <w:sz w:val="24"/>
          <w:szCs w:val="24"/>
        </w:rPr>
        <w:t>de</w:t>
      </w:r>
      <w:r w:rsidRPr="00FC160D">
        <w:rPr>
          <w:rFonts w:ascii="Times New Roman" w:hAnsi="Times New Roman" w:cs="Times New Roman"/>
          <w:sz w:val="24"/>
          <w:szCs w:val="24"/>
        </w:rPr>
        <w:t xml:space="preserve">crease by </w:t>
      </w:r>
      <w:r w:rsidR="00C540CE">
        <w:rPr>
          <w:rFonts w:ascii="Times New Roman" w:hAnsi="Times New Roman" w:cs="Times New Roman"/>
          <w:sz w:val="24"/>
          <w:szCs w:val="24"/>
        </w:rPr>
        <w:t>0.16</w:t>
      </w:r>
      <w:r w:rsidRPr="00FC160D">
        <w:rPr>
          <w:rFonts w:ascii="Times New Roman" w:hAnsi="Times New Roman" w:cs="Times New Roman"/>
          <w:sz w:val="24"/>
          <w:szCs w:val="24"/>
        </w:rPr>
        <w:t xml:space="preserve">% compared with the </w:t>
      </w:r>
      <w:r w:rsidR="00C540CE">
        <w:rPr>
          <w:rFonts w:ascii="Times New Roman" w:hAnsi="Times New Roman" w:cs="Times New Roman"/>
          <w:sz w:val="24"/>
          <w:szCs w:val="24"/>
        </w:rPr>
        <w:t>Third</w:t>
      </w:r>
      <w:r w:rsidRPr="00FC16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160D">
        <w:rPr>
          <w:rFonts w:ascii="Times New Roman" w:hAnsi="Times New Roman" w:cs="Times New Roman"/>
          <w:sz w:val="24"/>
          <w:szCs w:val="24"/>
        </w:rPr>
        <w:t>quarter 2017.</w:t>
      </w:r>
    </w:p>
    <w:p w:rsidR="00FC160D" w:rsidRPr="00B051DB" w:rsidRDefault="00FC160D" w:rsidP="00B051DB">
      <w:pPr>
        <w:pBdr>
          <w:top w:val="nil"/>
        </w:pBdr>
        <w:spacing w:line="240" w:lineRule="auto"/>
        <w:jc w:val="both"/>
        <w:outlineLvl w:val="0"/>
        <w:rPr>
          <w:rFonts w:ascii="Times New Roman" w:hAnsi="Times New Roman" w:cs="Times New Roman"/>
          <w:sz w:val="16"/>
          <w:szCs w:val="16"/>
        </w:rPr>
      </w:pPr>
    </w:p>
    <w:p w:rsidR="00FC160D" w:rsidRPr="00FC160D" w:rsidRDefault="00FC160D" w:rsidP="00537106">
      <w:pPr>
        <w:pStyle w:val="BodyText2"/>
        <w:bidi w:val="0"/>
        <w:spacing w:after="0" w:line="240" w:lineRule="auto"/>
        <w:jc w:val="both"/>
        <w:outlineLvl w:val="0"/>
      </w:pPr>
      <w:r w:rsidRPr="00FC160D">
        <w:t xml:space="preserve">WPI for local products (2007=100) reached </w:t>
      </w:r>
      <w:r w:rsidR="00537106">
        <w:t>124.52</w:t>
      </w:r>
      <w:r w:rsidRPr="00FC160D">
        <w:t xml:space="preserve"> in the </w:t>
      </w:r>
      <w:r w:rsidR="00537106">
        <w:t>Fourth</w:t>
      </w:r>
      <w:r w:rsidRPr="00FC160D">
        <w:t xml:space="preserve"> quarter 2017, which indicates a </w:t>
      </w:r>
      <w:r w:rsidR="00537106">
        <w:t>de</w:t>
      </w:r>
      <w:r w:rsidRPr="00FC160D">
        <w:t xml:space="preserve">crease by </w:t>
      </w:r>
      <w:r w:rsidR="00537106">
        <w:t>2.19</w:t>
      </w:r>
      <w:r w:rsidRPr="00FC160D">
        <w:t xml:space="preserve">% compared with the </w:t>
      </w:r>
      <w:r w:rsidR="00537106">
        <w:t>Third</w:t>
      </w:r>
      <w:r w:rsidRPr="00FC160D">
        <w:t xml:space="preserve"> quarter 2017. </w:t>
      </w:r>
    </w:p>
    <w:p w:rsidR="00FC160D" w:rsidRPr="00B051DB" w:rsidRDefault="00FC160D" w:rsidP="00FC160D">
      <w:pPr>
        <w:spacing w:line="240" w:lineRule="auto"/>
        <w:jc w:val="both"/>
        <w:outlineLvl w:val="0"/>
        <w:rPr>
          <w:rFonts w:ascii="Times New Roman" w:hAnsi="Times New Roman" w:cs="Times New Roman"/>
          <w:sz w:val="16"/>
          <w:szCs w:val="16"/>
        </w:rPr>
      </w:pPr>
    </w:p>
    <w:p w:rsidR="00FC160D" w:rsidRPr="00FC160D" w:rsidRDefault="00FC160D" w:rsidP="00537106">
      <w:pPr>
        <w:pStyle w:val="BodyText2"/>
        <w:bidi w:val="0"/>
        <w:spacing w:after="0" w:line="240" w:lineRule="auto"/>
        <w:jc w:val="both"/>
        <w:outlineLvl w:val="0"/>
      </w:pPr>
      <w:r w:rsidRPr="00FC160D">
        <w:t xml:space="preserve">WPI for imported products (2007=100) reached </w:t>
      </w:r>
      <w:r w:rsidR="00537106">
        <w:t>123.47</w:t>
      </w:r>
      <w:r w:rsidRPr="00FC160D">
        <w:t xml:space="preserve"> in the </w:t>
      </w:r>
      <w:r w:rsidR="00537106">
        <w:t>Fourth</w:t>
      </w:r>
      <w:r w:rsidRPr="00FC160D">
        <w:t xml:space="preserve"> quarter 2017, which indicates </w:t>
      </w:r>
      <w:r w:rsidR="00537106">
        <w:t xml:space="preserve">an </w:t>
      </w:r>
      <w:r>
        <w:t>in</w:t>
      </w:r>
      <w:r w:rsidRPr="00FC160D">
        <w:t xml:space="preserve">crease by </w:t>
      </w:r>
      <w:r w:rsidR="00537106">
        <w:t>1.20</w:t>
      </w:r>
      <w:r w:rsidRPr="00FC160D">
        <w:t xml:space="preserve">% compared with the </w:t>
      </w:r>
      <w:r w:rsidR="00537106">
        <w:t>Third</w:t>
      </w:r>
      <w:r w:rsidRPr="00FC160D">
        <w:t xml:space="preserve"> quarter 2017.</w:t>
      </w:r>
    </w:p>
    <w:p w:rsidR="00CA03AC" w:rsidRPr="00B051DB" w:rsidRDefault="00CA03AC" w:rsidP="00537106">
      <w:pPr>
        <w:autoSpaceDE w:val="0"/>
        <w:autoSpaceDN w:val="0"/>
        <w:adjustRightInd w:val="0"/>
        <w:spacing w:line="240" w:lineRule="auto"/>
        <w:jc w:val="both"/>
        <w:rPr>
          <w:rFonts w:ascii="Times New Roman" w:eastAsia="Times New Roman" w:hAnsi="Times New Roman" w:cs="Times New Roman"/>
          <w:color w:val="auto"/>
          <w:sz w:val="16"/>
          <w:szCs w:val="16"/>
          <w:lang w:eastAsia="ar-SA"/>
        </w:rPr>
      </w:pPr>
    </w:p>
    <w:p w:rsidR="00FC160D" w:rsidRPr="00B051DB" w:rsidRDefault="00FC160D" w:rsidP="00537106">
      <w:pPr>
        <w:autoSpaceDE w:val="0"/>
        <w:autoSpaceDN w:val="0"/>
        <w:adjustRightInd w:val="0"/>
        <w:spacing w:line="240" w:lineRule="auto"/>
        <w:jc w:val="both"/>
        <w:rPr>
          <w:rFonts w:ascii="Times New Roman" w:hAnsi="Times New Roman" w:cs="Times New Roman"/>
          <w:sz w:val="25"/>
          <w:szCs w:val="25"/>
        </w:rPr>
      </w:pPr>
      <w:r w:rsidRPr="00B051DB">
        <w:rPr>
          <w:rFonts w:ascii="Times New Roman" w:hAnsi="Times New Roman" w:cs="Times New Roman"/>
          <w:snapToGrid w:val="0"/>
          <w:sz w:val="25"/>
          <w:szCs w:val="25"/>
        </w:rPr>
        <w:t xml:space="preserve">The table </w:t>
      </w:r>
      <w:r w:rsidR="008D2A9A" w:rsidRPr="00B051DB">
        <w:rPr>
          <w:rFonts w:ascii="Times New Roman" w:hAnsi="Times New Roman" w:cs="Times New Roman"/>
          <w:snapToGrid w:val="0"/>
          <w:sz w:val="25"/>
          <w:szCs w:val="25"/>
        </w:rPr>
        <w:t xml:space="preserve">shows </w:t>
      </w:r>
      <w:r w:rsidRPr="00B051DB">
        <w:rPr>
          <w:rFonts w:ascii="Times New Roman" w:hAnsi="Times New Roman" w:cs="Times New Roman"/>
          <w:snapToGrid w:val="0"/>
          <w:sz w:val="25"/>
          <w:szCs w:val="25"/>
        </w:rPr>
        <w:t xml:space="preserve">the relative share and the quarterly percent changes in WPI by major activities in Palestine for First quarter – </w:t>
      </w:r>
      <w:r w:rsidR="00537106" w:rsidRPr="00B051DB">
        <w:rPr>
          <w:rFonts w:ascii="Times New Roman" w:hAnsi="Times New Roman" w:cs="Times New Roman"/>
          <w:snapToGrid w:val="0"/>
          <w:sz w:val="25"/>
          <w:szCs w:val="25"/>
        </w:rPr>
        <w:t>F</w:t>
      </w:r>
      <w:r w:rsidR="009739AA" w:rsidRPr="00B051DB">
        <w:rPr>
          <w:rFonts w:ascii="Times New Roman" w:hAnsi="Times New Roman" w:cs="Times New Roman"/>
          <w:snapToGrid w:val="0"/>
          <w:sz w:val="25"/>
          <w:szCs w:val="25"/>
        </w:rPr>
        <w:t>our</w:t>
      </w:r>
      <w:r w:rsidR="00B31FE8" w:rsidRPr="00B051DB">
        <w:rPr>
          <w:rFonts w:ascii="Times New Roman" w:hAnsi="Times New Roman" w:cs="Times New Roman"/>
          <w:snapToGrid w:val="0"/>
          <w:sz w:val="25"/>
          <w:szCs w:val="25"/>
        </w:rPr>
        <w:t>th</w:t>
      </w:r>
      <w:r w:rsidRPr="00B051DB">
        <w:rPr>
          <w:rFonts w:ascii="Times New Roman" w:hAnsi="Times New Roman" w:cs="Times New Roman"/>
          <w:snapToGrid w:val="0"/>
          <w:sz w:val="25"/>
          <w:szCs w:val="25"/>
        </w:rPr>
        <w:t xml:space="preserve"> quarter 2017:</w:t>
      </w:r>
      <w:r w:rsidRPr="00B051DB">
        <w:rPr>
          <w:rFonts w:ascii="Times New Roman" w:hAnsi="Times New Roman" w:cs="Times New Roman"/>
          <w:sz w:val="25"/>
          <w:szCs w:val="25"/>
        </w:rPr>
        <w:t xml:space="preserve"> </w:t>
      </w:r>
    </w:p>
    <w:tbl>
      <w:tblPr>
        <w:tblpPr w:leftFromText="180" w:rightFromText="180" w:vertAnchor="text" w:horzAnchor="margin" w:tblpXSpec="center" w:tblpY="124"/>
        <w:tblW w:w="63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844"/>
        <w:gridCol w:w="850"/>
        <w:gridCol w:w="851"/>
        <w:gridCol w:w="850"/>
        <w:gridCol w:w="993"/>
        <w:gridCol w:w="992"/>
      </w:tblGrid>
      <w:tr w:rsidR="008D2A9A" w:rsidRPr="00B051DB" w:rsidTr="00B051DB">
        <w:tc>
          <w:tcPr>
            <w:tcW w:w="1844" w:type="dxa"/>
            <w:vMerge w:val="restart"/>
            <w:vAlign w:val="center"/>
          </w:tcPr>
          <w:p w:rsidR="008D2A9A" w:rsidRPr="00B051DB" w:rsidRDefault="008D2A9A" w:rsidP="006E028D">
            <w:pPr>
              <w:autoSpaceDE w:val="0"/>
              <w:autoSpaceDN w:val="0"/>
              <w:adjustRightInd w:val="0"/>
              <w:spacing w:line="240" w:lineRule="auto"/>
              <w:jc w:val="center"/>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Major Activities</w:t>
            </w:r>
          </w:p>
        </w:tc>
        <w:tc>
          <w:tcPr>
            <w:tcW w:w="850" w:type="dxa"/>
            <w:vMerge w:val="restart"/>
            <w:vAlign w:val="center"/>
          </w:tcPr>
          <w:p w:rsidR="008D2A9A" w:rsidRPr="00B051DB" w:rsidRDefault="008D2A9A" w:rsidP="006E028D">
            <w:pPr>
              <w:autoSpaceDE w:val="0"/>
              <w:autoSpaceDN w:val="0"/>
              <w:adjustRightInd w:val="0"/>
              <w:spacing w:line="240" w:lineRule="auto"/>
              <w:jc w:val="center"/>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Relative Share</w:t>
            </w:r>
          </w:p>
        </w:tc>
        <w:tc>
          <w:tcPr>
            <w:tcW w:w="3686" w:type="dxa"/>
            <w:gridSpan w:val="4"/>
            <w:vAlign w:val="center"/>
          </w:tcPr>
          <w:p w:rsidR="008D2A9A" w:rsidRPr="00B051DB" w:rsidRDefault="008D2A9A" w:rsidP="006E028D">
            <w:pPr>
              <w:autoSpaceDE w:val="0"/>
              <w:autoSpaceDN w:val="0"/>
              <w:adjustRightInd w:val="0"/>
              <w:spacing w:line="240" w:lineRule="auto"/>
              <w:jc w:val="center"/>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Quarterly Percent Change</w:t>
            </w:r>
          </w:p>
        </w:tc>
      </w:tr>
      <w:tr w:rsidR="008D2A9A" w:rsidRPr="00B051DB" w:rsidTr="00B051DB">
        <w:tc>
          <w:tcPr>
            <w:tcW w:w="1844" w:type="dxa"/>
            <w:vMerge/>
            <w:vAlign w:val="center"/>
          </w:tcPr>
          <w:p w:rsidR="008D2A9A" w:rsidRPr="00B051DB" w:rsidRDefault="008D2A9A" w:rsidP="006E028D">
            <w:pPr>
              <w:spacing w:line="240" w:lineRule="auto"/>
              <w:jc w:val="center"/>
              <w:rPr>
                <w:rFonts w:ascii="Times New Roman" w:hAnsi="Times New Roman" w:cs="Times New Roman"/>
                <w:b/>
                <w:bCs/>
                <w:sz w:val="24"/>
                <w:szCs w:val="24"/>
              </w:rPr>
            </w:pPr>
          </w:p>
        </w:tc>
        <w:tc>
          <w:tcPr>
            <w:tcW w:w="850" w:type="dxa"/>
            <w:vMerge/>
            <w:vAlign w:val="center"/>
          </w:tcPr>
          <w:p w:rsidR="008D2A9A" w:rsidRPr="00B051DB" w:rsidRDefault="008D2A9A" w:rsidP="006E028D">
            <w:pPr>
              <w:autoSpaceDE w:val="0"/>
              <w:autoSpaceDN w:val="0"/>
              <w:adjustRightInd w:val="0"/>
              <w:spacing w:line="240" w:lineRule="auto"/>
              <w:jc w:val="center"/>
              <w:rPr>
                <w:rFonts w:ascii="Times New Roman" w:hAnsi="Times New Roman" w:cs="Times New Roman"/>
                <w:b/>
                <w:bCs/>
                <w:snapToGrid w:val="0"/>
                <w:sz w:val="24"/>
                <w:szCs w:val="24"/>
              </w:rPr>
            </w:pPr>
          </w:p>
        </w:tc>
        <w:tc>
          <w:tcPr>
            <w:tcW w:w="3686" w:type="dxa"/>
            <w:gridSpan w:val="4"/>
            <w:vAlign w:val="center"/>
          </w:tcPr>
          <w:p w:rsidR="008D2A9A" w:rsidRPr="00B051DB" w:rsidRDefault="008D2A9A" w:rsidP="006E028D">
            <w:pPr>
              <w:autoSpaceDE w:val="0"/>
              <w:autoSpaceDN w:val="0"/>
              <w:adjustRightInd w:val="0"/>
              <w:spacing w:line="240" w:lineRule="auto"/>
              <w:jc w:val="center"/>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2017</w:t>
            </w:r>
          </w:p>
        </w:tc>
      </w:tr>
      <w:tr w:rsidR="008D2A9A" w:rsidRPr="00B051DB" w:rsidTr="00B051DB">
        <w:tc>
          <w:tcPr>
            <w:tcW w:w="1844" w:type="dxa"/>
            <w:vMerge/>
            <w:vAlign w:val="center"/>
          </w:tcPr>
          <w:p w:rsidR="008D2A9A" w:rsidRPr="00B051DB" w:rsidRDefault="008D2A9A" w:rsidP="006E028D">
            <w:pPr>
              <w:spacing w:line="240" w:lineRule="auto"/>
              <w:jc w:val="center"/>
              <w:rPr>
                <w:rFonts w:ascii="Times New Roman" w:hAnsi="Times New Roman" w:cs="Times New Roman"/>
                <w:b/>
                <w:bCs/>
                <w:sz w:val="24"/>
                <w:szCs w:val="24"/>
              </w:rPr>
            </w:pPr>
          </w:p>
        </w:tc>
        <w:tc>
          <w:tcPr>
            <w:tcW w:w="850" w:type="dxa"/>
            <w:vMerge/>
            <w:vAlign w:val="center"/>
          </w:tcPr>
          <w:p w:rsidR="008D2A9A" w:rsidRPr="00B051DB" w:rsidRDefault="008D2A9A" w:rsidP="006E028D">
            <w:pPr>
              <w:autoSpaceDE w:val="0"/>
              <w:autoSpaceDN w:val="0"/>
              <w:adjustRightInd w:val="0"/>
              <w:spacing w:line="240" w:lineRule="auto"/>
              <w:jc w:val="center"/>
              <w:rPr>
                <w:rFonts w:ascii="Times New Roman" w:hAnsi="Times New Roman" w:cs="Times New Roman"/>
                <w:b/>
                <w:bCs/>
                <w:snapToGrid w:val="0"/>
                <w:sz w:val="24"/>
                <w:szCs w:val="24"/>
              </w:rPr>
            </w:pPr>
          </w:p>
        </w:tc>
        <w:tc>
          <w:tcPr>
            <w:tcW w:w="851" w:type="dxa"/>
            <w:vAlign w:val="center"/>
          </w:tcPr>
          <w:p w:rsidR="008D2A9A" w:rsidRPr="00B051DB" w:rsidRDefault="008D2A9A" w:rsidP="006E028D">
            <w:pPr>
              <w:autoSpaceDE w:val="0"/>
              <w:autoSpaceDN w:val="0"/>
              <w:adjustRightInd w:val="0"/>
              <w:spacing w:line="240" w:lineRule="auto"/>
              <w:jc w:val="center"/>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Q1</w:t>
            </w:r>
          </w:p>
        </w:tc>
        <w:tc>
          <w:tcPr>
            <w:tcW w:w="850" w:type="dxa"/>
            <w:vAlign w:val="center"/>
          </w:tcPr>
          <w:p w:rsidR="008D2A9A" w:rsidRPr="00B051DB" w:rsidRDefault="008D2A9A" w:rsidP="006E028D">
            <w:pPr>
              <w:autoSpaceDE w:val="0"/>
              <w:autoSpaceDN w:val="0"/>
              <w:adjustRightInd w:val="0"/>
              <w:spacing w:line="240" w:lineRule="auto"/>
              <w:jc w:val="center"/>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Q2</w:t>
            </w:r>
          </w:p>
        </w:tc>
        <w:tc>
          <w:tcPr>
            <w:tcW w:w="993" w:type="dxa"/>
            <w:vAlign w:val="center"/>
          </w:tcPr>
          <w:p w:rsidR="008D2A9A" w:rsidRPr="00B051DB" w:rsidRDefault="008D2A9A" w:rsidP="006E028D">
            <w:pPr>
              <w:autoSpaceDE w:val="0"/>
              <w:autoSpaceDN w:val="0"/>
              <w:adjustRightInd w:val="0"/>
              <w:spacing w:line="240" w:lineRule="auto"/>
              <w:jc w:val="center"/>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Q3</w:t>
            </w:r>
          </w:p>
        </w:tc>
        <w:tc>
          <w:tcPr>
            <w:tcW w:w="992" w:type="dxa"/>
          </w:tcPr>
          <w:p w:rsidR="008D2A9A" w:rsidRPr="00B051DB" w:rsidRDefault="008D2A9A" w:rsidP="006E028D">
            <w:pPr>
              <w:autoSpaceDE w:val="0"/>
              <w:autoSpaceDN w:val="0"/>
              <w:adjustRightInd w:val="0"/>
              <w:spacing w:line="240" w:lineRule="auto"/>
              <w:jc w:val="center"/>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Q4</w:t>
            </w:r>
          </w:p>
        </w:tc>
      </w:tr>
      <w:tr w:rsidR="008D2A9A" w:rsidRPr="00B051DB" w:rsidTr="00B051DB">
        <w:trPr>
          <w:trHeight w:val="337"/>
        </w:trPr>
        <w:tc>
          <w:tcPr>
            <w:tcW w:w="1844" w:type="dxa"/>
            <w:vAlign w:val="center"/>
          </w:tcPr>
          <w:p w:rsidR="008D2A9A" w:rsidRPr="00B051DB" w:rsidRDefault="008D2A9A" w:rsidP="00FC160D">
            <w:pPr>
              <w:spacing w:line="240" w:lineRule="auto"/>
              <w:rPr>
                <w:rFonts w:ascii="Times New Roman" w:hAnsi="Times New Roman" w:cs="Times New Roman"/>
                <w:sz w:val="24"/>
                <w:szCs w:val="24"/>
              </w:rPr>
            </w:pPr>
            <w:r w:rsidRPr="00B051DB">
              <w:rPr>
                <w:rFonts w:ascii="Times New Roman" w:hAnsi="Times New Roman" w:cs="Times New Roman"/>
                <w:sz w:val="24"/>
                <w:szCs w:val="24"/>
              </w:rPr>
              <w:t>Agriculture</w:t>
            </w:r>
          </w:p>
        </w:tc>
        <w:tc>
          <w:tcPr>
            <w:tcW w:w="850"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29%</w:t>
            </w:r>
          </w:p>
        </w:tc>
        <w:tc>
          <w:tcPr>
            <w:tcW w:w="851"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+2.58</w:t>
            </w:r>
          </w:p>
        </w:tc>
        <w:tc>
          <w:tcPr>
            <w:tcW w:w="850"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-8.12</w:t>
            </w:r>
          </w:p>
        </w:tc>
        <w:tc>
          <w:tcPr>
            <w:tcW w:w="993"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+6.26</w:t>
            </w:r>
          </w:p>
        </w:tc>
        <w:tc>
          <w:tcPr>
            <w:tcW w:w="992" w:type="dxa"/>
            <w:vAlign w:val="center"/>
          </w:tcPr>
          <w:p w:rsidR="008D2A9A" w:rsidRPr="00B051DB" w:rsidRDefault="008D2A9A" w:rsidP="008D2A9A">
            <w:pPr>
              <w:autoSpaceDE w:val="0"/>
              <w:autoSpaceDN w:val="0"/>
              <w:adjustRightInd w:val="0"/>
              <w:spacing w:line="240" w:lineRule="auto"/>
              <w:jc w:val="center"/>
              <w:rPr>
                <w:rFonts w:ascii="Times New Roman" w:hAnsi="Times New Roman" w:cs="Times New Roman"/>
                <w:snapToGrid w:val="0"/>
                <w:sz w:val="24"/>
                <w:szCs w:val="24"/>
              </w:rPr>
            </w:pPr>
            <w:r w:rsidRPr="00B051DB">
              <w:rPr>
                <w:rFonts w:ascii="Times New Roman" w:hAnsi="Times New Roman" w:cs="Times New Roman"/>
                <w:snapToGrid w:val="0"/>
                <w:sz w:val="24"/>
                <w:szCs w:val="24"/>
              </w:rPr>
              <w:t>+0.44</w:t>
            </w:r>
          </w:p>
        </w:tc>
      </w:tr>
      <w:tr w:rsidR="008D2A9A" w:rsidRPr="00B051DB" w:rsidTr="00B051DB">
        <w:trPr>
          <w:trHeight w:val="414"/>
        </w:trPr>
        <w:tc>
          <w:tcPr>
            <w:tcW w:w="1844" w:type="dxa"/>
            <w:vAlign w:val="center"/>
          </w:tcPr>
          <w:p w:rsidR="008D2A9A" w:rsidRPr="00B051DB" w:rsidRDefault="008D2A9A" w:rsidP="00FC160D">
            <w:pPr>
              <w:spacing w:line="240" w:lineRule="auto"/>
              <w:rPr>
                <w:rFonts w:ascii="Times New Roman" w:hAnsi="Times New Roman" w:cs="Times New Roman"/>
                <w:sz w:val="24"/>
                <w:szCs w:val="24"/>
              </w:rPr>
            </w:pPr>
            <w:r w:rsidRPr="00B051DB">
              <w:rPr>
                <w:rFonts w:ascii="Times New Roman" w:hAnsi="Times New Roman" w:cs="Times New Roman"/>
                <w:sz w:val="24"/>
                <w:szCs w:val="24"/>
              </w:rPr>
              <w:t>Fishing</w:t>
            </w:r>
          </w:p>
        </w:tc>
        <w:tc>
          <w:tcPr>
            <w:tcW w:w="850"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0.10%</w:t>
            </w:r>
          </w:p>
        </w:tc>
        <w:tc>
          <w:tcPr>
            <w:tcW w:w="851"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-24.05</w:t>
            </w:r>
          </w:p>
        </w:tc>
        <w:tc>
          <w:tcPr>
            <w:tcW w:w="850"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+9.66</w:t>
            </w:r>
          </w:p>
        </w:tc>
        <w:tc>
          <w:tcPr>
            <w:tcW w:w="993"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-5.96</w:t>
            </w:r>
          </w:p>
        </w:tc>
        <w:tc>
          <w:tcPr>
            <w:tcW w:w="992" w:type="dxa"/>
            <w:vAlign w:val="center"/>
          </w:tcPr>
          <w:p w:rsidR="008D2A9A" w:rsidRPr="00B051DB" w:rsidRDefault="008D2A9A" w:rsidP="008D2A9A">
            <w:pPr>
              <w:autoSpaceDE w:val="0"/>
              <w:autoSpaceDN w:val="0"/>
              <w:adjustRightInd w:val="0"/>
              <w:spacing w:line="240" w:lineRule="auto"/>
              <w:jc w:val="center"/>
              <w:rPr>
                <w:rFonts w:ascii="Times New Roman" w:hAnsi="Times New Roman" w:cs="Times New Roman"/>
                <w:snapToGrid w:val="0"/>
                <w:sz w:val="24"/>
                <w:szCs w:val="24"/>
              </w:rPr>
            </w:pPr>
            <w:r w:rsidRPr="00B051DB">
              <w:rPr>
                <w:rFonts w:ascii="Times New Roman" w:hAnsi="Times New Roman" w:cs="Times New Roman"/>
                <w:snapToGrid w:val="0"/>
                <w:sz w:val="24"/>
                <w:szCs w:val="24"/>
              </w:rPr>
              <w:t>+2.20</w:t>
            </w:r>
          </w:p>
        </w:tc>
      </w:tr>
      <w:tr w:rsidR="008D2A9A" w:rsidRPr="00B051DB" w:rsidTr="00B051DB">
        <w:trPr>
          <w:trHeight w:val="548"/>
        </w:trPr>
        <w:tc>
          <w:tcPr>
            <w:tcW w:w="1844" w:type="dxa"/>
            <w:vAlign w:val="center"/>
          </w:tcPr>
          <w:p w:rsidR="008D2A9A" w:rsidRPr="00B051DB" w:rsidRDefault="008D2A9A" w:rsidP="00FC160D">
            <w:pPr>
              <w:spacing w:line="240" w:lineRule="auto"/>
              <w:rPr>
                <w:rFonts w:ascii="Times New Roman" w:hAnsi="Times New Roman" w:cs="Times New Roman"/>
                <w:sz w:val="24"/>
                <w:szCs w:val="24"/>
              </w:rPr>
            </w:pPr>
            <w:r w:rsidRPr="00B051DB">
              <w:rPr>
                <w:rFonts w:ascii="Times New Roman" w:hAnsi="Times New Roman" w:cs="Times New Roman"/>
                <w:sz w:val="24"/>
                <w:szCs w:val="24"/>
              </w:rPr>
              <w:t>Mining and quarrying</w:t>
            </w:r>
          </w:p>
        </w:tc>
        <w:tc>
          <w:tcPr>
            <w:tcW w:w="850"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0.90%</w:t>
            </w:r>
          </w:p>
        </w:tc>
        <w:tc>
          <w:tcPr>
            <w:tcW w:w="851"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+4.23</w:t>
            </w:r>
          </w:p>
        </w:tc>
        <w:tc>
          <w:tcPr>
            <w:tcW w:w="850"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+1.78</w:t>
            </w:r>
          </w:p>
        </w:tc>
        <w:tc>
          <w:tcPr>
            <w:tcW w:w="993"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-0.78</w:t>
            </w:r>
          </w:p>
        </w:tc>
        <w:tc>
          <w:tcPr>
            <w:tcW w:w="992" w:type="dxa"/>
            <w:vAlign w:val="center"/>
          </w:tcPr>
          <w:p w:rsidR="008D2A9A" w:rsidRPr="00B051DB" w:rsidRDefault="008D2A9A" w:rsidP="008D2A9A">
            <w:pPr>
              <w:autoSpaceDE w:val="0"/>
              <w:autoSpaceDN w:val="0"/>
              <w:adjustRightInd w:val="0"/>
              <w:spacing w:line="240" w:lineRule="auto"/>
              <w:jc w:val="center"/>
              <w:rPr>
                <w:rFonts w:ascii="Times New Roman" w:hAnsi="Times New Roman" w:cs="Times New Roman"/>
                <w:snapToGrid w:val="0"/>
                <w:sz w:val="24"/>
                <w:szCs w:val="24"/>
              </w:rPr>
            </w:pPr>
            <w:r w:rsidRPr="00B051DB">
              <w:rPr>
                <w:rFonts w:ascii="Times New Roman" w:hAnsi="Times New Roman" w:cs="Times New Roman"/>
                <w:snapToGrid w:val="0"/>
                <w:sz w:val="24"/>
                <w:szCs w:val="24"/>
              </w:rPr>
              <w:t>+0.98</w:t>
            </w:r>
          </w:p>
        </w:tc>
      </w:tr>
      <w:tr w:rsidR="008D2A9A" w:rsidRPr="00B051DB" w:rsidTr="00B051DB">
        <w:trPr>
          <w:trHeight w:val="357"/>
        </w:trPr>
        <w:tc>
          <w:tcPr>
            <w:tcW w:w="1844" w:type="dxa"/>
            <w:vAlign w:val="center"/>
          </w:tcPr>
          <w:p w:rsidR="008D2A9A" w:rsidRPr="00B051DB" w:rsidRDefault="008D2A9A" w:rsidP="00FC160D">
            <w:pPr>
              <w:spacing w:line="240" w:lineRule="auto"/>
              <w:rPr>
                <w:rFonts w:ascii="Times New Roman" w:hAnsi="Times New Roman" w:cs="Times New Roman"/>
                <w:sz w:val="24"/>
                <w:szCs w:val="24"/>
              </w:rPr>
            </w:pPr>
            <w:r w:rsidRPr="00B051DB">
              <w:rPr>
                <w:rFonts w:ascii="Times New Roman" w:hAnsi="Times New Roman" w:cs="Times New Roman"/>
                <w:sz w:val="24"/>
                <w:szCs w:val="24"/>
              </w:rPr>
              <w:t>Manufacturing</w:t>
            </w:r>
          </w:p>
        </w:tc>
        <w:tc>
          <w:tcPr>
            <w:tcW w:w="850"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70%</w:t>
            </w:r>
          </w:p>
        </w:tc>
        <w:tc>
          <w:tcPr>
            <w:tcW w:w="851"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-0.58</w:t>
            </w:r>
          </w:p>
        </w:tc>
        <w:tc>
          <w:tcPr>
            <w:tcW w:w="850"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-0.77</w:t>
            </w:r>
          </w:p>
        </w:tc>
        <w:tc>
          <w:tcPr>
            <w:tcW w:w="993"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snapToGrid w:val="0"/>
                <w:sz w:val="24"/>
                <w:szCs w:val="24"/>
              </w:rPr>
            </w:pPr>
            <w:r w:rsidRPr="00B051DB">
              <w:rPr>
                <w:rFonts w:ascii="Times New Roman" w:hAnsi="Times New Roman" w:cs="Times New Roman"/>
                <w:snapToGrid w:val="0"/>
                <w:sz w:val="24"/>
                <w:szCs w:val="24"/>
              </w:rPr>
              <w:t>+0.31</w:t>
            </w:r>
          </w:p>
        </w:tc>
        <w:tc>
          <w:tcPr>
            <w:tcW w:w="992" w:type="dxa"/>
            <w:vAlign w:val="center"/>
          </w:tcPr>
          <w:p w:rsidR="008D2A9A" w:rsidRPr="00B051DB" w:rsidRDefault="008D2A9A" w:rsidP="008D2A9A">
            <w:pPr>
              <w:autoSpaceDE w:val="0"/>
              <w:autoSpaceDN w:val="0"/>
              <w:adjustRightInd w:val="0"/>
              <w:spacing w:line="240" w:lineRule="auto"/>
              <w:jc w:val="center"/>
              <w:rPr>
                <w:rFonts w:ascii="Times New Roman" w:hAnsi="Times New Roman" w:cs="Times New Roman"/>
                <w:snapToGrid w:val="0"/>
                <w:sz w:val="24"/>
                <w:szCs w:val="24"/>
              </w:rPr>
            </w:pPr>
            <w:r w:rsidRPr="00B051DB">
              <w:rPr>
                <w:rFonts w:ascii="Times New Roman" w:hAnsi="Times New Roman" w:cs="Times New Roman"/>
                <w:snapToGrid w:val="0"/>
                <w:sz w:val="24"/>
                <w:szCs w:val="24"/>
              </w:rPr>
              <w:t>-0.46</w:t>
            </w:r>
          </w:p>
        </w:tc>
      </w:tr>
      <w:tr w:rsidR="008D2A9A" w:rsidRPr="00B051DB" w:rsidTr="00B051DB">
        <w:trPr>
          <w:trHeight w:val="391"/>
        </w:trPr>
        <w:tc>
          <w:tcPr>
            <w:tcW w:w="1844" w:type="dxa"/>
            <w:vAlign w:val="center"/>
          </w:tcPr>
          <w:p w:rsidR="008D2A9A" w:rsidRPr="00B051DB" w:rsidRDefault="008D2A9A" w:rsidP="00FC160D">
            <w:pPr>
              <w:spacing w:line="240" w:lineRule="auto"/>
              <w:rPr>
                <w:rFonts w:ascii="Times New Roman" w:hAnsi="Times New Roman" w:cs="Times New Roman"/>
                <w:b/>
                <w:bCs/>
                <w:sz w:val="24"/>
                <w:szCs w:val="24"/>
              </w:rPr>
            </w:pPr>
            <w:r w:rsidRPr="00B051DB">
              <w:rPr>
                <w:rFonts w:ascii="Times New Roman" w:hAnsi="Times New Roman" w:cs="Times New Roman"/>
                <w:b/>
                <w:bCs/>
                <w:sz w:val="24"/>
                <w:szCs w:val="24"/>
              </w:rPr>
              <w:t>All Items Price Index</w:t>
            </w:r>
          </w:p>
        </w:tc>
        <w:tc>
          <w:tcPr>
            <w:tcW w:w="850"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100%</w:t>
            </w:r>
          </w:p>
        </w:tc>
        <w:tc>
          <w:tcPr>
            <w:tcW w:w="851"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+0.39</w:t>
            </w:r>
          </w:p>
        </w:tc>
        <w:tc>
          <w:tcPr>
            <w:tcW w:w="850"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-3.04</w:t>
            </w:r>
          </w:p>
        </w:tc>
        <w:tc>
          <w:tcPr>
            <w:tcW w:w="993" w:type="dxa"/>
            <w:vAlign w:val="center"/>
          </w:tcPr>
          <w:p w:rsidR="008D2A9A" w:rsidRPr="00B051DB" w:rsidRDefault="008D2A9A" w:rsidP="00FC160D">
            <w:pPr>
              <w:autoSpaceDE w:val="0"/>
              <w:autoSpaceDN w:val="0"/>
              <w:adjustRightInd w:val="0"/>
              <w:spacing w:line="240" w:lineRule="auto"/>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+2.06</w:t>
            </w:r>
          </w:p>
        </w:tc>
        <w:tc>
          <w:tcPr>
            <w:tcW w:w="992" w:type="dxa"/>
            <w:vAlign w:val="center"/>
          </w:tcPr>
          <w:p w:rsidR="008D2A9A" w:rsidRPr="00B051DB" w:rsidRDefault="008D2A9A" w:rsidP="008D2A9A">
            <w:pPr>
              <w:autoSpaceDE w:val="0"/>
              <w:autoSpaceDN w:val="0"/>
              <w:adjustRightInd w:val="0"/>
              <w:spacing w:line="240" w:lineRule="auto"/>
              <w:jc w:val="center"/>
              <w:rPr>
                <w:rFonts w:ascii="Times New Roman" w:hAnsi="Times New Roman" w:cs="Times New Roman"/>
                <w:b/>
                <w:bCs/>
                <w:snapToGrid w:val="0"/>
                <w:sz w:val="24"/>
                <w:szCs w:val="24"/>
              </w:rPr>
            </w:pPr>
            <w:r w:rsidRPr="00B051DB">
              <w:rPr>
                <w:rFonts w:ascii="Times New Roman" w:hAnsi="Times New Roman" w:cs="Times New Roman"/>
                <w:b/>
                <w:bCs/>
                <w:snapToGrid w:val="0"/>
                <w:sz w:val="24"/>
                <w:szCs w:val="24"/>
              </w:rPr>
              <w:t>-0.16</w:t>
            </w:r>
          </w:p>
        </w:tc>
      </w:tr>
    </w:tbl>
    <w:p w:rsidR="00FC160D" w:rsidRDefault="00FC160D"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B051DB" w:rsidRDefault="00B051DB" w:rsidP="006E028D">
      <w:pPr>
        <w:autoSpaceDE w:val="0"/>
        <w:autoSpaceDN w:val="0"/>
        <w:adjustRightInd w:val="0"/>
        <w:spacing w:line="240" w:lineRule="auto"/>
        <w:jc w:val="both"/>
        <w:rPr>
          <w:rFonts w:ascii="Times New Roman" w:hAnsi="Times New Roman" w:cs="Times New Roman"/>
          <w:sz w:val="24"/>
          <w:szCs w:val="24"/>
        </w:rPr>
      </w:pPr>
    </w:p>
    <w:p w:rsidR="00F74FFB" w:rsidRDefault="00F74FFB" w:rsidP="006E028D">
      <w:pPr>
        <w:autoSpaceDE w:val="0"/>
        <w:autoSpaceDN w:val="0"/>
        <w:adjustRightInd w:val="0"/>
        <w:spacing w:line="240" w:lineRule="auto"/>
        <w:jc w:val="both"/>
        <w:rPr>
          <w:rFonts w:ascii="Times New Roman" w:hAnsi="Times New Roman" w:cs="Times New Roman"/>
          <w:sz w:val="24"/>
          <w:szCs w:val="24"/>
        </w:rPr>
      </w:pPr>
    </w:p>
    <w:p w:rsidR="00B051DB" w:rsidRDefault="00B051DB" w:rsidP="008D2A9A">
      <w:pPr>
        <w:pStyle w:val="BodyText2"/>
        <w:bidi w:val="0"/>
        <w:spacing w:after="0" w:line="240" w:lineRule="auto"/>
        <w:jc w:val="center"/>
        <w:outlineLvl w:val="0"/>
        <w:rPr>
          <w:b/>
          <w:bCs/>
          <w:sz w:val="25"/>
          <w:szCs w:val="25"/>
        </w:rPr>
      </w:pPr>
    </w:p>
    <w:p w:rsidR="00B051DB" w:rsidRDefault="00B051DB" w:rsidP="00B051DB">
      <w:pPr>
        <w:pStyle w:val="BodyText2"/>
        <w:bidi w:val="0"/>
        <w:spacing w:after="0" w:line="240" w:lineRule="auto"/>
        <w:jc w:val="center"/>
        <w:outlineLvl w:val="0"/>
        <w:rPr>
          <w:b/>
          <w:bCs/>
          <w:sz w:val="25"/>
          <w:szCs w:val="25"/>
        </w:rPr>
      </w:pPr>
    </w:p>
    <w:p w:rsidR="00B051DB" w:rsidRDefault="00B051DB" w:rsidP="00B051DB">
      <w:pPr>
        <w:pStyle w:val="BodyText2"/>
        <w:bidi w:val="0"/>
        <w:spacing w:after="0" w:line="240" w:lineRule="auto"/>
        <w:jc w:val="center"/>
        <w:outlineLvl w:val="0"/>
        <w:rPr>
          <w:b/>
          <w:bCs/>
          <w:sz w:val="25"/>
          <w:szCs w:val="25"/>
        </w:rPr>
      </w:pPr>
    </w:p>
    <w:p w:rsidR="00B051DB" w:rsidRDefault="00B051DB" w:rsidP="00B051DB">
      <w:pPr>
        <w:pStyle w:val="BodyText2"/>
        <w:bidi w:val="0"/>
        <w:spacing w:after="0" w:line="240" w:lineRule="auto"/>
        <w:jc w:val="center"/>
        <w:outlineLvl w:val="0"/>
        <w:rPr>
          <w:b/>
          <w:bCs/>
          <w:sz w:val="25"/>
          <w:szCs w:val="25"/>
        </w:rPr>
      </w:pPr>
    </w:p>
    <w:p w:rsidR="00B051DB" w:rsidRDefault="00B051DB" w:rsidP="00B051DB">
      <w:pPr>
        <w:pStyle w:val="BodyText2"/>
        <w:bidi w:val="0"/>
        <w:spacing w:after="0" w:line="240" w:lineRule="auto"/>
        <w:jc w:val="center"/>
        <w:outlineLvl w:val="0"/>
        <w:rPr>
          <w:b/>
          <w:bCs/>
          <w:sz w:val="25"/>
          <w:szCs w:val="25"/>
        </w:rPr>
      </w:pPr>
    </w:p>
    <w:p w:rsidR="00B051DB" w:rsidRDefault="00B051DB" w:rsidP="00B051DB">
      <w:pPr>
        <w:pStyle w:val="BodyText2"/>
        <w:bidi w:val="0"/>
        <w:spacing w:after="0" w:line="240" w:lineRule="auto"/>
        <w:jc w:val="center"/>
        <w:outlineLvl w:val="0"/>
        <w:rPr>
          <w:b/>
          <w:bCs/>
          <w:sz w:val="25"/>
          <w:szCs w:val="25"/>
        </w:rPr>
      </w:pPr>
    </w:p>
    <w:p w:rsidR="00B051DB" w:rsidRDefault="00B051DB" w:rsidP="00B051DB">
      <w:pPr>
        <w:pStyle w:val="BodyText2"/>
        <w:bidi w:val="0"/>
        <w:spacing w:after="0" w:line="240" w:lineRule="auto"/>
        <w:jc w:val="center"/>
        <w:outlineLvl w:val="0"/>
        <w:rPr>
          <w:b/>
          <w:bCs/>
          <w:sz w:val="25"/>
          <w:szCs w:val="25"/>
        </w:rPr>
      </w:pPr>
    </w:p>
    <w:p w:rsidR="00B051DB" w:rsidRDefault="00B051DB" w:rsidP="00B051DB">
      <w:pPr>
        <w:pStyle w:val="BodyText2"/>
        <w:bidi w:val="0"/>
        <w:spacing w:after="0" w:line="240" w:lineRule="auto"/>
        <w:jc w:val="center"/>
        <w:outlineLvl w:val="0"/>
        <w:rPr>
          <w:b/>
          <w:bCs/>
          <w:sz w:val="25"/>
          <w:szCs w:val="25"/>
        </w:rPr>
      </w:pPr>
    </w:p>
    <w:p w:rsidR="00B051DB" w:rsidRDefault="00B051DB" w:rsidP="00B051DB">
      <w:pPr>
        <w:pStyle w:val="BodyText2"/>
        <w:bidi w:val="0"/>
        <w:spacing w:after="0" w:line="240" w:lineRule="auto"/>
        <w:jc w:val="center"/>
        <w:outlineLvl w:val="0"/>
        <w:rPr>
          <w:b/>
          <w:bCs/>
          <w:sz w:val="25"/>
          <w:szCs w:val="25"/>
        </w:rPr>
      </w:pPr>
    </w:p>
    <w:p w:rsidR="00FC160D" w:rsidRPr="00B051DB" w:rsidRDefault="00FC160D" w:rsidP="00B051DB">
      <w:pPr>
        <w:pStyle w:val="BodyText2"/>
        <w:bidi w:val="0"/>
        <w:spacing w:after="0" w:line="240" w:lineRule="auto"/>
        <w:jc w:val="center"/>
        <w:outlineLvl w:val="0"/>
        <w:rPr>
          <w:sz w:val="25"/>
          <w:szCs w:val="25"/>
        </w:rPr>
      </w:pPr>
      <w:r w:rsidRPr="00B051DB">
        <w:rPr>
          <w:b/>
          <w:bCs/>
          <w:sz w:val="25"/>
          <w:szCs w:val="25"/>
        </w:rPr>
        <w:t xml:space="preserve">The Wholesale Price Index in Palestine for </w:t>
      </w:r>
      <w:r w:rsidR="00B31FE8" w:rsidRPr="00B051DB">
        <w:rPr>
          <w:b/>
          <w:bCs/>
          <w:sz w:val="25"/>
          <w:szCs w:val="25"/>
        </w:rPr>
        <w:t xml:space="preserve">the </w:t>
      </w:r>
      <w:r w:rsidR="008D2A9A" w:rsidRPr="00B051DB">
        <w:rPr>
          <w:b/>
          <w:bCs/>
          <w:kern w:val="36"/>
          <w:sz w:val="25"/>
          <w:szCs w:val="25"/>
        </w:rPr>
        <w:t>Four</w:t>
      </w:r>
      <w:r w:rsidR="00B31FE8" w:rsidRPr="00B051DB">
        <w:rPr>
          <w:b/>
          <w:bCs/>
          <w:kern w:val="36"/>
          <w:sz w:val="25"/>
          <w:szCs w:val="25"/>
        </w:rPr>
        <w:t>th</w:t>
      </w:r>
      <w:r w:rsidRPr="00B051DB">
        <w:rPr>
          <w:b/>
          <w:bCs/>
          <w:kern w:val="36"/>
          <w:sz w:val="25"/>
          <w:szCs w:val="25"/>
        </w:rPr>
        <w:t xml:space="preserve"> </w:t>
      </w:r>
      <w:r w:rsidRPr="00B051DB">
        <w:rPr>
          <w:b/>
          <w:bCs/>
          <w:sz w:val="25"/>
          <w:szCs w:val="25"/>
        </w:rPr>
        <w:t>quarter 2015 –</w:t>
      </w:r>
      <w:r w:rsidRPr="00B051DB">
        <w:rPr>
          <w:b/>
          <w:bCs/>
          <w:color w:val="000000"/>
          <w:sz w:val="25"/>
          <w:szCs w:val="25"/>
        </w:rPr>
        <w:t xml:space="preserve"> </w:t>
      </w:r>
      <w:r w:rsidR="008D2A9A" w:rsidRPr="00B051DB">
        <w:rPr>
          <w:b/>
          <w:bCs/>
          <w:kern w:val="36"/>
          <w:sz w:val="25"/>
          <w:szCs w:val="25"/>
        </w:rPr>
        <w:t>Four</w:t>
      </w:r>
      <w:r w:rsidR="00B31FE8" w:rsidRPr="00B051DB">
        <w:rPr>
          <w:b/>
          <w:bCs/>
          <w:kern w:val="36"/>
          <w:sz w:val="25"/>
          <w:szCs w:val="25"/>
        </w:rPr>
        <w:t>th</w:t>
      </w:r>
      <w:r w:rsidRPr="00B051DB">
        <w:rPr>
          <w:b/>
          <w:bCs/>
          <w:kern w:val="36"/>
          <w:sz w:val="25"/>
          <w:szCs w:val="25"/>
        </w:rPr>
        <w:t xml:space="preserve"> </w:t>
      </w:r>
      <w:r w:rsidRPr="00B051DB">
        <w:rPr>
          <w:b/>
          <w:bCs/>
          <w:color w:val="000000"/>
          <w:sz w:val="25"/>
          <w:szCs w:val="25"/>
        </w:rPr>
        <w:t>quarter 2017</w:t>
      </w:r>
    </w:p>
    <w:p w:rsidR="00FC160D" w:rsidRPr="00B051DB" w:rsidRDefault="00FC160D" w:rsidP="006E028D">
      <w:pPr>
        <w:spacing w:line="240" w:lineRule="auto"/>
        <w:jc w:val="center"/>
        <w:rPr>
          <w:rFonts w:ascii="Times New Roman" w:hAnsi="Times New Roman" w:cs="Times New Roman"/>
          <w:b/>
          <w:bCs/>
          <w:sz w:val="25"/>
          <w:szCs w:val="25"/>
        </w:rPr>
      </w:pPr>
      <w:r w:rsidRPr="00B051DB">
        <w:rPr>
          <w:rFonts w:ascii="Times New Roman" w:hAnsi="Times New Roman" w:cs="Times New Roman"/>
          <w:b/>
          <w:bCs/>
          <w:sz w:val="25"/>
          <w:szCs w:val="25"/>
        </w:rPr>
        <w:t>(Base year 2007=100)</w:t>
      </w:r>
    </w:p>
    <w:p w:rsidR="006E028D" w:rsidRPr="006E028D" w:rsidRDefault="006E028D" w:rsidP="006E028D">
      <w:pPr>
        <w:spacing w:line="240" w:lineRule="auto"/>
        <w:jc w:val="center"/>
        <w:rPr>
          <w:rFonts w:ascii="Times New Roman" w:hAnsi="Times New Roman" w:cs="Times New Roman"/>
          <w:b/>
          <w:bCs/>
          <w:sz w:val="10"/>
          <w:szCs w:val="10"/>
        </w:rPr>
      </w:pPr>
    </w:p>
    <w:tbl>
      <w:tblPr>
        <w:tblStyle w:val="TableGrid"/>
        <w:tblW w:w="0" w:type="auto"/>
        <w:jc w:val="center"/>
        <w:tblInd w:w="118" w:type="dxa"/>
        <w:tblLook w:val="04A0"/>
      </w:tblPr>
      <w:tblGrid>
        <w:gridCol w:w="5421"/>
      </w:tblGrid>
      <w:tr w:rsidR="006E028D" w:rsidTr="00CA03AC">
        <w:trPr>
          <w:jc w:val="center"/>
        </w:trPr>
        <w:tc>
          <w:tcPr>
            <w:tcW w:w="4517" w:type="dxa"/>
          </w:tcPr>
          <w:p w:rsidR="006E028D" w:rsidRDefault="006E028D" w:rsidP="00CA03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bCs/>
                <w:sz w:val="24"/>
                <w:szCs w:val="24"/>
              </w:rPr>
            </w:pPr>
            <w:r w:rsidRPr="006E028D">
              <w:rPr>
                <w:rFonts w:ascii="Times New Roman" w:hAnsi="Times New Roman" w:cs="Times New Roman"/>
                <w:b/>
                <w:bCs/>
                <w:noProof/>
                <w:sz w:val="24"/>
                <w:szCs w:val="24"/>
                <w:lang w:eastAsia="en-US"/>
              </w:rPr>
              <w:drawing>
                <wp:inline distT="0" distB="0" distL="0" distR="0">
                  <wp:extent cx="3305175" cy="2609850"/>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B872E5" w:rsidRPr="00B051DB" w:rsidRDefault="00B872E5" w:rsidP="00B051DB">
      <w:pPr>
        <w:rPr>
          <w:rFonts w:asciiTheme="majorBidi" w:hAnsiTheme="majorBidi" w:cstheme="majorBidi"/>
          <w:szCs w:val="24"/>
        </w:rPr>
      </w:pPr>
    </w:p>
    <w:sectPr w:rsidR="00B872E5" w:rsidRPr="00B051DB" w:rsidSect="00B051DB">
      <w:headerReference w:type="default" r:id="rId10"/>
      <w:footerReference w:type="even" r:id="rId11"/>
      <w:footerReference w:type="default" r:id="rId12"/>
      <w:pgSz w:w="11900" w:h="16840" w:code="9"/>
      <w:pgMar w:top="720" w:right="720" w:bottom="720" w:left="720" w:header="709" w:footer="737" w:gutter="0"/>
      <w:cols w:space="79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683" w:rsidRDefault="00F35683" w:rsidP="0089530C">
      <w:r>
        <w:separator/>
      </w:r>
    </w:p>
  </w:endnote>
  <w:endnote w:type="continuationSeparator" w:id="0">
    <w:p w:rsidR="00F35683" w:rsidRDefault="00F35683" w:rsidP="00895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Arabic-Regular">
    <w:charset w:val="00"/>
    <w:family w:val="auto"/>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AA" w:rsidRDefault="0047336E" w:rsidP="00B872E5">
    <w:pPr>
      <w:pStyle w:val="Footer"/>
      <w:framePr w:wrap="none" w:vAnchor="text" w:hAnchor="margin" w:xAlign="center" w:y="1"/>
      <w:rPr>
        <w:rStyle w:val="PageNumber"/>
      </w:rPr>
    </w:pPr>
    <w:r>
      <w:rPr>
        <w:rStyle w:val="PageNumber"/>
      </w:rPr>
      <w:fldChar w:fldCharType="begin"/>
    </w:r>
    <w:r w:rsidR="009739AA">
      <w:rPr>
        <w:rStyle w:val="PageNumber"/>
      </w:rPr>
      <w:instrText xml:space="preserve">PAGE  </w:instrText>
    </w:r>
    <w:r>
      <w:rPr>
        <w:rStyle w:val="PageNumber"/>
      </w:rPr>
      <w:fldChar w:fldCharType="end"/>
    </w:r>
  </w:p>
  <w:p w:rsidR="009739AA" w:rsidRDefault="0047336E" w:rsidP="00B872E5">
    <w:pPr>
      <w:pStyle w:val="Footer"/>
      <w:framePr w:wrap="none" w:vAnchor="text" w:hAnchor="margin" w:y="1"/>
      <w:rPr>
        <w:rStyle w:val="PageNumber"/>
      </w:rPr>
    </w:pPr>
    <w:r>
      <w:rPr>
        <w:rStyle w:val="PageNumber"/>
      </w:rPr>
      <w:fldChar w:fldCharType="begin"/>
    </w:r>
    <w:r w:rsidR="009739AA">
      <w:rPr>
        <w:rStyle w:val="PageNumber"/>
      </w:rPr>
      <w:instrText xml:space="preserve">PAGE  </w:instrText>
    </w:r>
    <w:r>
      <w:rPr>
        <w:rStyle w:val="PageNumber"/>
      </w:rPr>
      <w:fldChar w:fldCharType="end"/>
    </w:r>
  </w:p>
  <w:p w:rsidR="009739AA" w:rsidRDefault="009739AA" w:rsidP="0020755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AA" w:rsidRDefault="0047336E" w:rsidP="0020755C">
    <w:pPr>
      <w:pStyle w:val="Footer"/>
      <w:framePr w:wrap="none" w:vAnchor="text" w:hAnchor="page" w:x="5902" w:y="391"/>
      <w:rPr>
        <w:rStyle w:val="PageNumber"/>
      </w:rPr>
    </w:pPr>
    <w:r>
      <w:rPr>
        <w:rStyle w:val="PageNumber"/>
      </w:rPr>
      <w:fldChar w:fldCharType="begin"/>
    </w:r>
    <w:r w:rsidR="009739AA">
      <w:rPr>
        <w:rStyle w:val="PageNumber"/>
      </w:rPr>
      <w:instrText xml:space="preserve">PAGE  </w:instrText>
    </w:r>
    <w:r>
      <w:rPr>
        <w:rStyle w:val="PageNumber"/>
      </w:rPr>
      <w:fldChar w:fldCharType="separate"/>
    </w:r>
    <w:r w:rsidR="00526292">
      <w:rPr>
        <w:rStyle w:val="PageNumber"/>
        <w:noProof/>
      </w:rPr>
      <w:t>1</w:t>
    </w:r>
    <w:r>
      <w:rPr>
        <w:rStyle w:val="PageNumber"/>
      </w:rPr>
      <w:fldChar w:fldCharType="end"/>
    </w:r>
  </w:p>
  <w:p w:rsidR="009739AA" w:rsidRDefault="0047336E" w:rsidP="0020755C">
    <w:pPr>
      <w:pStyle w:val="Footer"/>
      <w:ind w:firstLine="360"/>
    </w:pPr>
    <w:r>
      <w:rPr>
        <w:noProof/>
      </w:rPr>
      <w:pict>
        <v:shapetype id="_x0000_t202" coordsize="21600,21600" o:spt="202" path="m,l,21600r21600,l21600,xe">
          <v:stroke joinstyle="miter"/>
          <v:path gradientshapeok="t" o:connecttype="rect"/>
        </v:shapetype>
        <v:shape id="Text Box 5" o:spid="_x0000_s4097" type="#_x0000_t202" style="position:absolute;left:0;text-align:left;margin-left:385.45pt;margin-top:-28.05pt;width:147.35pt;height:22.0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" filled="f" stroked="f">
          <v:textbox>
            <w:txbxContent>
              <w:p w:rsidR="009739AA" w:rsidRDefault="009739AA" w:rsidP="008D2A9A">
                <w:r>
                  <w:t>Date: 18/01/2018</w:t>
                </w:r>
              </w:p>
            </w:txbxContent>
          </v:textbox>
        </v:shape>
      </w:pict>
    </w:r>
    <w:r w:rsidR="009739AA">
      <w:rPr>
        <w:noProof/>
      </w:rPr>
      <w:drawing>
        <wp:anchor distT="0" distB="0" distL="114300" distR="114300" simplePos="0" relativeHeight="251664384" behindDoc="1" locked="0" layoutInCell="1" allowOverlap="1">
          <wp:simplePos x="0" y="0"/>
          <wp:positionH relativeFrom="column">
            <wp:posOffset>-729615</wp:posOffset>
          </wp:positionH>
          <wp:positionV relativeFrom="paragraph">
            <wp:posOffset>-571500</wp:posOffset>
          </wp:positionV>
          <wp:extent cx="7572375" cy="1076325"/>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 footer.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tretch>
                    <a:fillRect/>
                  </a:stretch>
                </pic:blipFill>
                <pic:spPr>
                  <a:xfrm>
                    <a:off x="0" y="0"/>
                    <a:ext cx="7572375" cy="10763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683" w:rsidRDefault="00F35683" w:rsidP="0089530C">
      <w:r>
        <w:separator/>
      </w:r>
    </w:p>
  </w:footnote>
  <w:footnote w:type="continuationSeparator" w:id="0">
    <w:p w:rsidR="00F35683" w:rsidRDefault="00F35683" w:rsidP="00895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AA" w:rsidRDefault="009739AA" w:rsidP="00C14BC7">
    <w:pPr>
      <w:pStyle w:val="Header"/>
      <w:tabs>
        <w:tab w:val="clear" w:pos="4680"/>
        <w:tab w:val="clear" w:pos="9360"/>
        <w:tab w:val="left" w:pos="6074"/>
      </w:tabs>
    </w:pPr>
    <w:r>
      <w:rPr>
        <w:noProof/>
      </w:rPr>
      <w:drawing>
        <wp:anchor distT="0" distB="0" distL="114300" distR="114300" simplePos="0" relativeHeight="251665408" behindDoc="1" locked="0" layoutInCell="1" allowOverlap="1">
          <wp:simplePos x="0" y="0"/>
          <wp:positionH relativeFrom="column">
            <wp:posOffset>-767715</wp:posOffset>
          </wp:positionH>
          <wp:positionV relativeFrom="paragraph">
            <wp:posOffset>-335915</wp:posOffset>
          </wp:positionV>
          <wp:extent cx="7648575" cy="14859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BS+Census Header En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tretch>
                    <a:fillRect/>
                  </a:stretch>
                </pic:blipFill>
                <pic:spPr>
                  <a:xfrm>
                    <a:off x="0" y="0"/>
                    <a:ext cx="7648575" cy="1485900"/>
                  </a:xfrm>
                  <a:prstGeom prst="rect">
                    <a:avLst/>
                  </a:prstGeom>
                </pic:spPr>
              </pic:pic>
            </a:graphicData>
          </a:graphic>
        </wp:anchor>
      </w:drawing>
    </w:r>
    <w:r w:rsidR="0047336E">
      <w:rPr>
        <w:noProof/>
      </w:rPr>
      <w:pict>
        <v:rect id="Rectangle 1" o:spid="_x0000_s4098" style="position:absolute;margin-left:398pt;margin-top:-26.25pt;width:83.35pt;height:116.75pt;z-index:251660288;visibility:visible;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" filled="f" stroked="f" strokeweight="1pt">
          <w10:wrap type="square"/>
        </v:rect>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CE9"/>
    <w:multiLevelType w:val="hybridMultilevel"/>
    <w:tmpl w:val="47BE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058E"/>
    <w:multiLevelType w:val="hybridMultilevel"/>
    <w:tmpl w:val="E5CA1D00"/>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2D32B9F"/>
    <w:multiLevelType w:val="hybridMultilevel"/>
    <w:tmpl w:val="B024D0F4"/>
    <w:lvl w:ilvl="0" w:tplc="62AA81A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89530C"/>
    <w:rsid w:val="00021B1F"/>
    <w:rsid w:val="00034B7B"/>
    <w:rsid w:val="00056B6B"/>
    <w:rsid w:val="00067389"/>
    <w:rsid w:val="00072B81"/>
    <w:rsid w:val="00093963"/>
    <w:rsid w:val="000E4622"/>
    <w:rsid w:val="000F2B27"/>
    <w:rsid w:val="0011601B"/>
    <w:rsid w:val="001420EB"/>
    <w:rsid w:val="0014537B"/>
    <w:rsid w:val="0015057C"/>
    <w:rsid w:val="0018441C"/>
    <w:rsid w:val="001856B3"/>
    <w:rsid w:val="00195F2D"/>
    <w:rsid w:val="00196F45"/>
    <w:rsid w:val="001A0E1C"/>
    <w:rsid w:val="001B292F"/>
    <w:rsid w:val="001D36DE"/>
    <w:rsid w:val="001E39CB"/>
    <w:rsid w:val="0020755C"/>
    <w:rsid w:val="00220D12"/>
    <w:rsid w:val="00240A97"/>
    <w:rsid w:val="00254168"/>
    <w:rsid w:val="00275645"/>
    <w:rsid w:val="002969D1"/>
    <w:rsid w:val="002B502D"/>
    <w:rsid w:val="002C2E7D"/>
    <w:rsid w:val="002C6488"/>
    <w:rsid w:val="002D5C92"/>
    <w:rsid w:val="002E4610"/>
    <w:rsid w:val="003169B5"/>
    <w:rsid w:val="00316DE5"/>
    <w:rsid w:val="003261C5"/>
    <w:rsid w:val="0036755C"/>
    <w:rsid w:val="00383F0B"/>
    <w:rsid w:val="00384BEE"/>
    <w:rsid w:val="003A0C36"/>
    <w:rsid w:val="003B70F7"/>
    <w:rsid w:val="003C749E"/>
    <w:rsid w:val="00445E01"/>
    <w:rsid w:val="00450CC3"/>
    <w:rsid w:val="0047336E"/>
    <w:rsid w:val="004B6A6D"/>
    <w:rsid w:val="00500D7C"/>
    <w:rsid w:val="00516C24"/>
    <w:rsid w:val="00526292"/>
    <w:rsid w:val="00537106"/>
    <w:rsid w:val="005822C1"/>
    <w:rsid w:val="005843C1"/>
    <w:rsid w:val="005903C1"/>
    <w:rsid w:val="005D6762"/>
    <w:rsid w:val="005F5A03"/>
    <w:rsid w:val="006447DC"/>
    <w:rsid w:val="00666F5E"/>
    <w:rsid w:val="00690EAD"/>
    <w:rsid w:val="006957CF"/>
    <w:rsid w:val="006A6F27"/>
    <w:rsid w:val="006A7E51"/>
    <w:rsid w:val="006D5356"/>
    <w:rsid w:val="006E028D"/>
    <w:rsid w:val="00716385"/>
    <w:rsid w:val="00723FD2"/>
    <w:rsid w:val="00745A8C"/>
    <w:rsid w:val="007534F9"/>
    <w:rsid w:val="00772BD7"/>
    <w:rsid w:val="00783AF7"/>
    <w:rsid w:val="007D73EA"/>
    <w:rsid w:val="00805294"/>
    <w:rsid w:val="00816FF4"/>
    <w:rsid w:val="00820746"/>
    <w:rsid w:val="0089530C"/>
    <w:rsid w:val="008D2A9A"/>
    <w:rsid w:val="008D44F5"/>
    <w:rsid w:val="009120E4"/>
    <w:rsid w:val="00916183"/>
    <w:rsid w:val="00946AF7"/>
    <w:rsid w:val="009739AA"/>
    <w:rsid w:val="009779CE"/>
    <w:rsid w:val="00990374"/>
    <w:rsid w:val="00993606"/>
    <w:rsid w:val="009A7AB9"/>
    <w:rsid w:val="009B2B6C"/>
    <w:rsid w:val="009B7263"/>
    <w:rsid w:val="009C3123"/>
    <w:rsid w:val="009F090A"/>
    <w:rsid w:val="009F2E29"/>
    <w:rsid w:val="00A02D70"/>
    <w:rsid w:val="00A25C9B"/>
    <w:rsid w:val="00A50554"/>
    <w:rsid w:val="00A7242A"/>
    <w:rsid w:val="00A76524"/>
    <w:rsid w:val="00A8027B"/>
    <w:rsid w:val="00A826A1"/>
    <w:rsid w:val="00AC1324"/>
    <w:rsid w:val="00AC23A7"/>
    <w:rsid w:val="00AC54F7"/>
    <w:rsid w:val="00AC7248"/>
    <w:rsid w:val="00AE3A1E"/>
    <w:rsid w:val="00AE3EE7"/>
    <w:rsid w:val="00AE67D3"/>
    <w:rsid w:val="00AF28BB"/>
    <w:rsid w:val="00AF4FBE"/>
    <w:rsid w:val="00AF60D4"/>
    <w:rsid w:val="00B051DB"/>
    <w:rsid w:val="00B2076E"/>
    <w:rsid w:val="00B25F02"/>
    <w:rsid w:val="00B31FE8"/>
    <w:rsid w:val="00B67E38"/>
    <w:rsid w:val="00B84F06"/>
    <w:rsid w:val="00B872E5"/>
    <w:rsid w:val="00BA46E1"/>
    <w:rsid w:val="00BD1EE7"/>
    <w:rsid w:val="00BE3E35"/>
    <w:rsid w:val="00C07884"/>
    <w:rsid w:val="00C14BC7"/>
    <w:rsid w:val="00C50E44"/>
    <w:rsid w:val="00C540CE"/>
    <w:rsid w:val="00C85338"/>
    <w:rsid w:val="00C918EA"/>
    <w:rsid w:val="00CA03AC"/>
    <w:rsid w:val="00CA0566"/>
    <w:rsid w:val="00CC79C0"/>
    <w:rsid w:val="00CF24E8"/>
    <w:rsid w:val="00CF3357"/>
    <w:rsid w:val="00CF67B2"/>
    <w:rsid w:val="00D1484C"/>
    <w:rsid w:val="00D209ED"/>
    <w:rsid w:val="00D3221B"/>
    <w:rsid w:val="00D83B3A"/>
    <w:rsid w:val="00DB0071"/>
    <w:rsid w:val="00DF27B1"/>
    <w:rsid w:val="00DF7513"/>
    <w:rsid w:val="00E13FE4"/>
    <w:rsid w:val="00E167FF"/>
    <w:rsid w:val="00E26037"/>
    <w:rsid w:val="00E316C4"/>
    <w:rsid w:val="00E60B42"/>
    <w:rsid w:val="00E76D45"/>
    <w:rsid w:val="00E9198C"/>
    <w:rsid w:val="00E94B00"/>
    <w:rsid w:val="00E96596"/>
    <w:rsid w:val="00ED08BB"/>
    <w:rsid w:val="00F32AFB"/>
    <w:rsid w:val="00F35683"/>
    <w:rsid w:val="00F74FFB"/>
    <w:rsid w:val="00F83E8F"/>
    <w:rsid w:val="00F84AD7"/>
    <w:rsid w:val="00FA2CE0"/>
    <w:rsid w:val="00FC160D"/>
    <w:rsid w:val="00FC33A0"/>
    <w:rsid w:val="00FD3517"/>
    <w:rsid w:val="00FF1D96"/>
    <w:rsid w:val="00FF2F57"/>
    <w:rsid w:val="00FF51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B6C"/>
    <w:pPr>
      <w:pBdr>
        <w:top w:val="nil"/>
        <w:left w:val="nil"/>
        <w:bottom w:val="nil"/>
        <w:right w:val="nil"/>
        <w:between w:val="nil"/>
      </w:pBdr>
      <w:spacing w:line="276" w:lineRule="auto"/>
    </w:pPr>
    <w:rPr>
      <w:rFonts w:ascii="Arial" w:eastAsia="Arial" w:hAnsi="Arial" w:cs="Arial"/>
      <w:color w:val="000000"/>
      <w:sz w:val="22"/>
      <w:szCs w:val="22"/>
      <w:lang w:eastAsia="it-IT"/>
    </w:rPr>
  </w:style>
  <w:style w:type="paragraph" w:styleId="Heading1">
    <w:name w:val="heading 1"/>
    <w:basedOn w:val="Normal"/>
    <w:link w:val="Heading1Char"/>
    <w:uiPriority w:val="9"/>
    <w:qFormat/>
    <w:rsid w:val="00B051DB"/>
    <w:pPr>
      <w:keepNext/>
      <w:pBdr>
        <w:top w:val="none" w:sz="0" w:space="0" w:color="auto"/>
        <w:left w:val="none" w:sz="0" w:space="0" w:color="auto"/>
        <w:bottom w:val="none" w:sz="0" w:space="0" w:color="auto"/>
        <w:right w:val="none" w:sz="0" w:space="0" w:color="auto"/>
        <w:between w:val="none" w:sz="0" w:space="0" w:color="auto"/>
      </w:pBdr>
      <w:bidi/>
      <w:spacing w:line="240" w:lineRule="auto"/>
      <w:jc w:val="lowKashida"/>
      <w:outlineLvl w:val="0"/>
    </w:pPr>
    <w:rPr>
      <w:rFonts w:ascii="Times New Roman" w:eastAsiaTheme="minorHAnsi" w:hAnsi="Times New Roman" w:cs="Times New Roman"/>
      <w:b/>
      <w:bCs/>
      <w:color w:val="auto"/>
      <w:kern w:val="36"/>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HeaderChar">
    <w:name w:val="Header Char"/>
    <w:basedOn w:val="DefaultParagraphFont"/>
    <w:link w:val="Header"/>
    <w:uiPriority w:val="99"/>
    <w:rsid w:val="0089530C"/>
  </w:style>
  <w:style w:type="paragraph" w:styleId="Footer">
    <w:name w:val="footer"/>
    <w:basedOn w:val="Normal"/>
    <w:link w:val="Foot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FooterChar">
    <w:name w:val="Footer Char"/>
    <w:basedOn w:val="DefaultParagraphFont"/>
    <w:link w:val="Footer"/>
    <w:uiPriority w:val="99"/>
    <w:rsid w:val="0089530C"/>
  </w:style>
  <w:style w:type="character" w:styleId="PageNumber">
    <w:name w:val="page number"/>
    <w:basedOn w:val="DefaultParagraphFont"/>
    <w:uiPriority w:val="99"/>
    <w:semiHidden/>
    <w:unhideWhenUsed/>
    <w:rsid w:val="0020755C"/>
  </w:style>
  <w:style w:type="paragraph" w:customStyle="1" w:styleId="BasicParagraph">
    <w:name w:val="[Basic Paragraph]"/>
    <w:basedOn w:val="Normal"/>
    <w:uiPriority w:val="99"/>
    <w:rsid w:val="00C07884"/>
    <w:pPr>
      <w:widowControl w:val="0"/>
      <w:pBdr>
        <w:top w:val="none" w:sz="0" w:space="0" w:color="auto"/>
        <w:left w:val="none" w:sz="0" w:space="0" w:color="auto"/>
        <w:bottom w:val="none" w:sz="0" w:space="0" w:color="auto"/>
        <w:right w:val="none" w:sz="0" w:space="0" w:color="auto"/>
        <w:between w:val="none" w:sz="0" w:space="0" w:color="auto"/>
      </w:pBdr>
      <w:autoSpaceDE w:val="0"/>
      <w:autoSpaceDN w:val="0"/>
      <w:bidi/>
      <w:adjustRightInd w:val="0"/>
      <w:spacing w:line="288" w:lineRule="auto"/>
      <w:textAlignment w:val="center"/>
    </w:pPr>
    <w:rPr>
      <w:rFonts w:ascii="AdobeArabic-Regular" w:eastAsiaTheme="minorHAnsi" w:hAnsi="AdobeArabic-Regular" w:cs="AdobeArabic-Regular"/>
      <w:sz w:val="24"/>
      <w:szCs w:val="24"/>
      <w:lang w:eastAsia="en-US" w:bidi="ar-YE"/>
    </w:rPr>
  </w:style>
  <w:style w:type="paragraph" w:styleId="BodyText3">
    <w:name w:val="Body Text 3"/>
    <w:basedOn w:val="Normal"/>
    <w:link w:val="BodyText3Char"/>
    <w:unhideWhenUsed/>
    <w:rsid w:val="00AE3A1E"/>
    <w:pPr>
      <w:pBdr>
        <w:top w:val="none" w:sz="0" w:space="0" w:color="auto"/>
        <w:left w:val="none" w:sz="0" w:space="0" w:color="auto"/>
        <w:bottom w:val="none" w:sz="0" w:space="0" w:color="auto"/>
        <w:right w:val="none" w:sz="0" w:space="0" w:color="auto"/>
        <w:between w:val="none" w:sz="0" w:space="0" w:color="auto"/>
      </w:pBdr>
      <w:bidi/>
      <w:spacing w:after="120" w:line="240" w:lineRule="auto"/>
    </w:pPr>
    <w:rPr>
      <w:rFonts w:ascii="Times New Roman" w:eastAsia="Times New Roman" w:hAnsi="Times New Roman" w:cs="Times New Roman"/>
      <w:color w:val="auto"/>
      <w:sz w:val="16"/>
      <w:szCs w:val="16"/>
      <w:lang w:eastAsia="ar-SA"/>
    </w:rPr>
  </w:style>
  <w:style w:type="character" w:customStyle="1" w:styleId="BodyText3Char">
    <w:name w:val="Body Text 3 Char"/>
    <w:basedOn w:val="DefaultParagraphFont"/>
    <w:link w:val="BodyText3"/>
    <w:rsid w:val="00AE3A1E"/>
    <w:rPr>
      <w:rFonts w:ascii="Times New Roman" w:eastAsia="Times New Roman" w:hAnsi="Times New Roman" w:cs="Times New Roman"/>
      <w:sz w:val="16"/>
      <w:szCs w:val="16"/>
      <w:lang w:eastAsia="ar-SA"/>
    </w:rPr>
  </w:style>
  <w:style w:type="paragraph" w:styleId="BodyText2">
    <w:name w:val="Body Text 2"/>
    <w:basedOn w:val="Normal"/>
    <w:link w:val="BodyText2Char"/>
    <w:unhideWhenUsed/>
    <w:rsid w:val="00E13FE4"/>
    <w:pPr>
      <w:pBdr>
        <w:top w:val="none" w:sz="0" w:space="0" w:color="auto"/>
        <w:left w:val="none" w:sz="0" w:space="0" w:color="auto"/>
        <w:bottom w:val="none" w:sz="0" w:space="0" w:color="auto"/>
        <w:right w:val="none" w:sz="0" w:space="0" w:color="auto"/>
        <w:between w:val="none" w:sz="0" w:space="0" w:color="auto"/>
      </w:pBdr>
      <w:bidi/>
      <w:spacing w:after="120" w:line="480" w:lineRule="auto"/>
    </w:pPr>
    <w:rPr>
      <w:rFonts w:ascii="Times New Roman" w:eastAsia="Times New Roman" w:hAnsi="Times New Roman" w:cs="Times New Roman"/>
      <w:color w:val="auto"/>
      <w:sz w:val="24"/>
      <w:szCs w:val="24"/>
      <w:lang w:eastAsia="ar-SA"/>
    </w:rPr>
  </w:style>
  <w:style w:type="character" w:customStyle="1" w:styleId="BodyText2Char">
    <w:name w:val="Body Text 2 Char"/>
    <w:basedOn w:val="DefaultParagraphFont"/>
    <w:link w:val="BodyText2"/>
    <w:rsid w:val="00E13FE4"/>
    <w:rPr>
      <w:rFonts w:ascii="Times New Roman" w:eastAsia="Times New Roman" w:hAnsi="Times New Roman" w:cs="Times New Roman"/>
      <w:lang w:eastAsia="ar-SA"/>
    </w:rPr>
  </w:style>
  <w:style w:type="character" w:styleId="Hyperlink">
    <w:name w:val="Hyperlink"/>
    <w:uiPriority w:val="99"/>
    <w:unhideWhenUsed/>
    <w:rsid w:val="00E13FE4"/>
    <w:rPr>
      <w:color w:val="0000FF"/>
      <w:u w:val="single"/>
    </w:rPr>
  </w:style>
  <w:style w:type="paragraph" w:styleId="BalloonText">
    <w:name w:val="Balloon Text"/>
    <w:basedOn w:val="Normal"/>
    <w:link w:val="BalloonTextChar"/>
    <w:uiPriority w:val="99"/>
    <w:semiHidden/>
    <w:unhideWhenUsed/>
    <w:rsid w:val="00E13F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FE4"/>
    <w:rPr>
      <w:rFonts w:ascii="Tahoma" w:eastAsia="Arial" w:hAnsi="Tahoma" w:cs="Tahoma"/>
      <w:color w:val="000000"/>
      <w:sz w:val="16"/>
      <w:szCs w:val="16"/>
      <w:lang w:eastAsia="it-IT"/>
    </w:rPr>
  </w:style>
  <w:style w:type="table" w:styleId="TableGrid">
    <w:name w:val="Table Grid"/>
    <w:basedOn w:val="TableNormal"/>
    <w:uiPriority w:val="39"/>
    <w:rsid w:val="00FF51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54F7"/>
    <w:pPr>
      <w:spacing w:line="240" w:lineRule="auto"/>
    </w:pPr>
    <w:rPr>
      <w:sz w:val="20"/>
      <w:szCs w:val="20"/>
    </w:rPr>
  </w:style>
  <w:style w:type="character" w:customStyle="1" w:styleId="FootnoteTextChar">
    <w:name w:val="Footnote Text Char"/>
    <w:basedOn w:val="DefaultParagraphFont"/>
    <w:link w:val="FootnoteText"/>
    <w:uiPriority w:val="99"/>
    <w:semiHidden/>
    <w:rsid w:val="00AC54F7"/>
    <w:rPr>
      <w:rFonts w:ascii="Arial" w:eastAsia="Arial" w:hAnsi="Arial" w:cs="Arial"/>
      <w:color w:val="000000"/>
      <w:sz w:val="20"/>
      <w:szCs w:val="20"/>
      <w:lang w:eastAsia="it-IT"/>
    </w:rPr>
  </w:style>
  <w:style w:type="character" w:styleId="FootnoteReference">
    <w:name w:val="footnote reference"/>
    <w:basedOn w:val="DefaultParagraphFont"/>
    <w:uiPriority w:val="99"/>
    <w:semiHidden/>
    <w:unhideWhenUsed/>
    <w:rsid w:val="00AC54F7"/>
    <w:rPr>
      <w:vertAlign w:val="superscript"/>
    </w:rPr>
  </w:style>
  <w:style w:type="paragraph" w:styleId="ListParagraph">
    <w:name w:val="List Paragraph"/>
    <w:basedOn w:val="Normal"/>
    <w:uiPriority w:val="34"/>
    <w:qFormat/>
    <w:rsid w:val="00254168"/>
    <w:pPr>
      <w:ind w:left="720"/>
      <w:contextualSpacing/>
    </w:pPr>
  </w:style>
  <w:style w:type="character" w:customStyle="1" w:styleId="Heading1Char">
    <w:name w:val="Heading 1 Char"/>
    <w:basedOn w:val="DefaultParagraphFont"/>
    <w:link w:val="Heading1"/>
    <w:uiPriority w:val="9"/>
    <w:rsid w:val="00B051DB"/>
    <w:rPr>
      <w:rFonts w:ascii="Times New Roman" w:hAnsi="Times New Roman" w:cs="Times New Roman"/>
      <w:b/>
      <w:bCs/>
      <w:kern w:val="36"/>
    </w:rPr>
  </w:style>
</w:styles>
</file>

<file path=word/webSettings.xml><?xml version="1.0" encoding="utf-8"?>
<w:webSettings xmlns:r="http://schemas.openxmlformats.org/officeDocument/2006/relationships" xmlns:w="http://schemas.openxmlformats.org/wordprocessingml/2006/main">
  <w:divs>
    <w:div w:id="288706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2626692282021468"/>
          <c:y val="8.0645161290322842E-2"/>
          <c:w val="0.71646724571799547"/>
          <c:h val="0.76161705959775561"/>
        </c:manualLayout>
      </c:layout>
      <c:lineChart>
        <c:grouping val="standard"/>
        <c:ser>
          <c:idx val="0"/>
          <c:order val="0"/>
          <c:tx>
            <c:strRef>
              <c:f>Sheet1!$A$2</c:f>
              <c:strCache>
                <c:ptCount val="1"/>
                <c:pt idx="0">
                  <c:v>inflation rate</c:v>
                </c:pt>
              </c:strCache>
            </c:strRef>
          </c:tx>
          <c:dLbls>
            <c:dLbl>
              <c:idx val="0"/>
              <c:layout>
                <c:manualLayout>
                  <c:x val="-2.2522522522522567E-2"/>
                  <c:y val="5.8608058608058511E-2"/>
                </c:manualLayout>
              </c:layout>
              <c:spPr/>
              <c:txPr>
                <a:bodyPr/>
                <a:lstStyle/>
                <a:p>
                  <a:pPr>
                    <a:defRPr b="1"/>
                  </a:pPr>
                  <a:endParaRPr lang="ar-SA"/>
                </a:p>
              </c:txPr>
              <c:dLblPos val="r"/>
              <c:showVal val="1"/>
            </c:dLbl>
            <c:dLbl>
              <c:idx val="1"/>
              <c:layout>
                <c:manualLayout>
                  <c:x val="-8.123603106312742E-2"/>
                  <c:y val="-6.7078958880139983E-2"/>
                </c:manualLayout>
              </c:layout>
              <c:spPr/>
              <c:txPr>
                <a:bodyPr/>
                <a:lstStyle/>
                <a:p>
                  <a:pPr>
                    <a:defRPr b="1"/>
                  </a:pPr>
                  <a:endParaRPr lang="ar-SA"/>
                </a:p>
              </c:txPr>
              <c:dLblPos val="r"/>
              <c:showVal val="1"/>
            </c:dLbl>
            <c:dLbl>
              <c:idx val="2"/>
              <c:layout>
                <c:manualLayout>
                  <c:x val="-3.6036036036036091E-2"/>
                  <c:y val="5.8608058608058511E-2"/>
                </c:manualLayout>
              </c:layout>
              <c:spPr/>
              <c:txPr>
                <a:bodyPr/>
                <a:lstStyle/>
                <a:p>
                  <a:pPr>
                    <a:defRPr b="1"/>
                  </a:pPr>
                  <a:endParaRPr lang="ar-SA"/>
                </a:p>
              </c:txPr>
              <c:dLblPos val="r"/>
              <c:showVal val="1"/>
            </c:dLbl>
            <c:dLbl>
              <c:idx val="3"/>
              <c:layout>
                <c:manualLayout>
                  <c:x val="-8.5585590460986363E-2"/>
                  <c:y val="-8.1730643044619591E-2"/>
                </c:manualLayout>
              </c:layout>
              <c:spPr/>
              <c:txPr>
                <a:bodyPr/>
                <a:lstStyle/>
                <a:p>
                  <a:pPr>
                    <a:defRPr b="1"/>
                  </a:pPr>
                  <a:endParaRPr lang="ar-SA"/>
                </a:p>
              </c:txPr>
              <c:dLblPos val="r"/>
              <c:showVal val="1"/>
            </c:dLbl>
            <c:dLbl>
              <c:idx val="5"/>
              <c:layout>
                <c:manualLayout>
                  <c:x val="-6.7567533439763419E-2"/>
                  <c:y val="-7.593121172353462E-2"/>
                </c:manualLayout>
              </c:layout>
              <c:spPr/>
              <c:txPr>
                <a:bodyPr/>
                <a:lstStyle/>
                <a:p>
                  <a:pPr>
                    <a:defRPr b="1"/>
                  </a:pPr>
                  <a:endParaRPr lang="ar-SA"/>
                </a:p>
              </c:txPr>
              <c:dLblPos val="r"/>
              <c:showVal val="1"/>
            </c:dLbl>
            <c:dLbl>
              <c:idx val="7"/>
              <c:layout>
                <c:manualLayout>
                  <c:x val="-7.6344219859115686E-2"/>
                  <c:y val="-6.7841754155730599E-2"/>
                </c:manualLayout>
              </c:layout>
              <c:spPr/>
              <c:txPr>
                <a:bodyPr/>
                <a:lstStyle/>
                <a:p>
                  <a:pPr>
                    <a:defRPr b="1"/>
                  </a:pPr>
                  <a:endParaRPr lang="ar-SA"/>
                </a:p>
              </c:txPr>
              <c:dLblPos val="r"/>
              <c:showVal val="1"/>
            </c:dLbl>
            <c:dLbl>
              <c:idx val="9"/>
              <c:layout>
                <c:manualLayout>
                  <c:x val="-5.0400916380297825E-2"/>
                  <c:y val="-6.7460083114610811E-2"/>
                </c:manualLayout>
              </c:layout>
              <c:spPr/>
              <c:txPr>
                <a:bodyPr/>
                <a:lstStyle/>
                <a:p>
                  <a:pPr>
                    <a:defRPr b="1"/>
                  </a:pPr>
                  <a:endParaRPr lang="ar-SA"/>
                </a:p>
              </c:txPr>
              <c:dLblPos val="r"/>
              <c:showVal val="1"/>
            </c:dLbl>
            <c:dLbl>
              <c:idx val="10"/>
              <c:layout>
                <c:manualLayout>
                  <c:x val="0"/>
                  <c:y val="4.1666666666666692E-2"/>
                </c:manualLayout>
              </c:layout>
              <c:spPr/>
              <c:txPr>
                <a:bodyPr/>
                <a:lstStyle/>
                <a:p>
                  <a:pPr>
                    <a:defRPr b="1"/>
                  </a:pPr>
                  <a:endParaRPr lang="ar-SA"/>
                </a:p>
              </c:txPr>
              <c:showVal val="1"/>
            </c:dLbl>
            <c:delete val="1"/>
          </c:dLbls>
          <c:cat>
            <c:numRef>
              <c:f>Sheet1!$B$1:$L$1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Sheet1!$B$2:$L$2</c:f>
              <c:numCache>
                <c:formatCode>0.00%</c:formatCode>
                <c:ptCount val="11"/>
                <c:pt idx="0">
                  <c:v>3.0843279339540872E-2</c:v>
                </c:pt>
                <c:pt idx="1">
                  <c:v>0.10708656857849649</c:v>
                </c:pt>
                <c:pt idx="2">
                  <c:v>-6.692354814467478E-3</c:v>
                </c:pt>
                <c:pt idx="3">
                  <c:v>3.7019793883841384E-2</c:v>
                </c:pt>
                <c:pt idx="4">
                  <c:v>3.7602409325464589E-2</c:v>
                </c:pt>
                <c:pt idx="5">
                  <c:v>9.286510848262302E-3</c:v>
                </c:pt>
                <c:pt idx="6">
                  <c:v>7.8084822892499524E-3</c:v>
                </c:pt>
                <c:pt idx="7">
                  <c:v>1.4843629228618233E-2</c:v>
                </c:pt>
                <c:pt idx="8">
                  <c:v>1.2122729362056528E-2</c:v>
                </c:pt>
                <c:pt idx="9">
                  <c:v>1.6208822194510218E-2</c:v>
                </c:pt>
                <c:pt idx="10">
                  <c:v>-1.1702741605752168E-2</c:v>
                </c:pt>
              </c:numCache>
            </c:numRef>
          </c:val>
        </c:ser>
        <c:marker val="1"/>
        <c:axId val="126741120"/>
        <c:axId val="130233856"/>
      </c:lineChart>
      <c:catAx>
        <c:axId val="126741120"/>
        <c:scaling>
          <c:orientation val="minMax"/>
        </c:scaling>
        <c:axPos val="b"/>
        <c:numFmt formatCode="General" sourceLinked="1"/>
        <c:tickLblPos val="nextTo"/>
        <c:txPr>
          <a:bodyPr rot="-2700000" vert="horz"/>
          <a:lstStyle/>
          <a:p>
            <a:pPr>
              <a:defRPr sz="799" b="0" i="0" u="none" strike="noStrike" baseline="0">
                <a:solidFill>
                  <a:srgbClr val="000000"/>
                </a:solidFill>
                <a:latin typeface="Arial"/>
                <a:ea typeface="Arial"/>
                <a:cs typeface="Arial"/>
              </a:defRPr>
            </a:pPr>
            <a:endParaRPr lang="ar-SA"/>
          </a:p>
        </c:txPr>
        <c:crossAx val="130233856"/>
        <c:crosses val="autoZero"/>
        <c:auto val="1"/>
        <c:lblAlgn val="ctr"/>
        <c:lblOffset val="500"/>
      </c:catAx>
      <c:valAx>
        <c:axId val="130233856"/>
        <c:scaling>
          <c:orientation val="minMax"/>
          <c:max val="0.13"/>
          <c:min val="-2.0000000000000028E-2"/>
        </c:scaling>
        <c:axPos val="l"/>
        <c:title>
          <c:tx>
            <c:rich>
              <a:bodyPr/>
              <a:lstStyle/>
              <a:p>
                <a:pPr>
                  <a:defRPr sz="799" b="0" i="0" u="none" strike="noStrike" baseline="0">
                    <a:solidFill>
                      <a:srgbClr val="000000"/>
                    </a:solidFill>
                    <a:latin typeface="Arial"/>
                    <a:ea typeface="Arial"/>
                    <a:cs typeface="Arial"/>
                  </a:defRPr>
                </a:pPr>
                <a:r>
                  <a:rPr lang="en-US"/>
                  <a:t>Yearly WPI Percent</a:t>
                </a:r>
                <a:r>
                  <a:rPr lang="en-US" baseline="0"/>
                  <a:t> Change</a:t>
                </a:r>
                <a:endParaRPr lang="en-US"/>
              </a:p>
            </c:rich>
          </c:tx>
          <c:layout>
            <c:manualLayout>
              <c:xMode val="edge"/>
              <c:yMode val="edge"/>
              <c:x val="3.6651604116495814E-3"/>
              <c:y val="0.11246336395450571"/>
            </c:manualLayout>
          </c:layout>
        </c:title>
        <c:numFmt formatCode="0.0%" sourceLinked="0"/>
        <c:tickLblPos val="nextTo"/>
        <c:txPr>
          <a:bodyPr rot="0" vert="horz"/>
          <a:lstStyle/>
          <a:p>
            <a:pPr>
              <a:defRPr sz="799" b="0" i="0" u="none" strike="noStrike" baseline="0">
                <a:solidFill>
                  <a:srgbClr val="000000"/>
                </a:solidFill>
                <a:latin typeface="Arial"/>
                <a:ea typeface="Arial"/>
                <a:cs typeface="Arial"/>
              </a:defRPr>
            </a:pPr>
            <a:endParaRPr lang="ar-SA"/>
          </a:p>
        </c:txPr>
        <c:crossAx val="126741120"/>
        <c:crossesAt val="1"/>
        <c:crossBetween val="midCat"/>
        <c:majorUnit val="2.0000000000000028E-2"/>
        <c:minorUnit val="8.0000000000000227E-3"/>
      </c:valAx>
    </c:plotArea>
    <c:plotVisOnly val="1"/>
    <c:dispBlanksAs val="gap"/>
  </c:chart>
  <c:spPr>
    <a:ln>
      <a:noFill/>
    </a:ln>
  </c:spPr>
  <c:txPr>
    <a:bodyPr/>
    <a:lstStyle/>
    <a:p>
      <a:pPr>
        <a:defRPr sz="799" b="0" i="0" u="none" strike="noStrike" baseline="0">
          <a:solidFill>
            <a:srgbClr val="000000"/>
          </a:solidFill>
          <a:latin typeface="Arial"/>
          <a:ea typeface="Arial"/>
          <a:cs typeface="Arial"/>
        </a:defRPr>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0434161638886048"/>
          <c:y val="5.5000000000000084E-2"/>
          <c:w val="0.73315880969424274"/>
          <c:h val="0.61634623010253264"/>
        </c:manualLayout>
      </c:layout>
      <c:lineChart>
        <c:grouping val="standard"/>
        <c:ser>
          <c:idx val="0"/>
          <c:order val="0"/>
          <c:tx>
            <c:strRef>
              <c:f>Sheet1!$A$2</c:f>
              <c:strCache>
                <c:ptCount val="1"/>
                <c:pt idx="0">
                  <c:v>Price Index</c:v>
                </c:pt>
              </c:strCache>
            </c:strRef>
          </c:tx>
          <c:spPr>
            <a:ln w="12699">
              <a:solidFill>
                <a:srgbClr val="000080"/>
              </a:solidFill>
              <a:prstDash val="solid"/>
            </a:ln>
          </c:spPr>
          <c:marker>
            <c:symbol val="circle"/>
            <c:size val="4"/>
            <c:spPr>
              <a:solidFill>
                <a:srgbClr val="000080"/>
              </a:solidFill>
              <a:ln>
                <a:solidFill>
                  <a:srgbClr val="000080"/>
                </a:solidFill>
                <a:prstDash val="solid"/>
              </a:ln>
            </c:spPr>
          </c:marker>
          <c:dLbls>
            <c:dLbl>
              <c:idx val="0"/>
              <c:layout>
                <c:manualLayout>
                  <c:x val="-4.9061935439888307E-2"/>
                  <c:y val="-6.6252653200958578E-2"/>
                </c:manualLayout>
              </c:layout>
              <c:spPr/>
              <c:txPr>
                <a:bodyPr/>
                <a:lstStyle/>
                <a:p>
                  <a:pPr>
                    <a:defRPr b="1"/>
                  </a:pPr>
                  <a:endParaRPr lang="ar-SA"/>
                </a:p>
              </c:txPr>
              <c:showVal val="1"/>
            </c:dLbl>
            <c:dLbl>
              <c:idx val="8"/>
              <c:layout>
                <c:manualLayout>
                  <c:x val="0"/>
                  <c:y val="-7.5362318840579826E-2"/>
                </c:manualLayout>
              </c:layout>
              <c:spPr/>
              <c:txPr>
                <a:bodyPr/>
                <a:lstStyle/>
                <a:p>
                  <a:pPr>
                    <a:defRPr b="1"/>
                  </a:pPr>
                  <a:endParaRPr lang="ar-SA"/>
                </a:p>
              </c:txPr>
              <c:showVal val="1"/>
            </c:dLbl>
            <c:delete val="1"/>
          </c:dLbls>
          <c:cat>
            <c:strRef>
              <c:f>Sheet1!$B$1:$J$1</c:f>
              <c:strCache>
                <c:ptCount val="9"/>
                <c:pt idx="0">
                  <c:v>Q4.2015</c:v>
                </c:pt>
                <c:pt idx="1">
                  <c:v>Q1.2016</c:v>
                </c:pt>
                <c:pt idx="2">
                  <c:v>Q2.2016</c:v>
                </c:pt>
                <c:pt idx="3">
                  <c:v>Q3.2016</c:v>
                </c:pt>
                <c:pt idx="4">
                  <c:v>Q4.2016</c:v>
                </c:pt>
                <c:pt idx="5">
                  <c:v>Q1.2017</c:v>
                </c:pt>
                <c:pt idx="6">
                  <c:v>Q2.2017</c:v>
                </c:pt>
                <c:pt idx="7">
                  <c:v>Q3.2017</c:v>
                </c:pt>
                <c:pt idx="8">
                  <c:v>Q4.2017</c:v>
                </c:pt>
              </c:strCache>
            </c:strRef>
          </c:cat>
          <c:val>
            <c:numRef>
              <c:f>Sheet1!$B$2:$J$2</c:f>
              <c:numCache>
                <c:formatCode>0.00</c:formatCode>
                <c:ptCount val="9"/>
                <c:pt idx="0">
                  <c:v>124.98</c:v>
                </c:pt>
                <c:pt idx="1">
                  <c:v>123.84</c:v>
                </c:pt>
                <c:pt idx="2">
                  <c:v>125.09</c:v>
                </c:pt>
                <c:pt idx="3">
                  <c:v>128.26</c:v>
                </c:pt>
                <c:pt idx="4">
                  <c:v>125.33</c:v>
                </c:pt>
                <c:pt idx="5">
                  <c:v>125.82</c:v>
                </c:pt>
                <c:pt idx="6">
                  <c:v>122</c:v>
                </c:pt>
                <c:pt idx="7">
                  <c:v>124.50937714724039</c:v>
                </c:pt>
                <c:pt idx="8">
                  <c:v>124.30406209233908</c:v>
                </c:pt>
              </c:numCache>
            </c:numRef>
          </c:val>
        </c:ser>
        <c:marker val="1"/>
        <c:axId val="51084672"/>
        <c:axId val="51111040"/>
      </c:lineChart>
      <c:catAx>
        <c:axId val="51084672"/>
        <c:scaling>
          <c:orientation val="minMax"/>
        </c:scaling>
        <c:axPos val="b"/>
        <c:numFmt formatCode="General" sourceLinked="1"/>
        <c:minorTickMark val="out"/>
        <c:tickLblPos val="nextTo"/>
        <c:spPr>
          <a:ln w="3175">
            <a:solidFill>
              <a:srgbClr val="000000"/>
            </a:solidFill>
            <a:prstDash val="solid"/>
          </a:ln>
        </c:spPr>
        <c:txPr>
          <a:bodyPr rot="3900000" vert="horz"/>
          <a:lstStyle/>
          <a:p>
            <a:pPr>
              <a:defRPr/>
            </a:pPr>
            <a:endParaRPr lang="ar-SA"/>
          </a:p>
        </c:txPr>
        <c:crossAx val="51111040"/>
        <c:crosses val="autoZero"/>
        <c:auto val="1"/>
        <c:lblAlgn val="ctr"/>
        <c:lblOffset val="100"/>
        <c:tickLblSkip val="1"/>
        <c:tickMarkSkip val="2"/>
      </c:catAx>
      <c:valAx>
        <c:axId val="51111040"/>
        <c:scaling>
          <c:orientation val="minMax"/>
          <c:max val="130"/>
          <c:min val="120"/>
        </c:scaling>
        <c:axPos val="l"/>
        <c:title>
          <c:tx>
            <c:rich>
              <a:bodyPr/>
              <a:lstStyle/>
              <a:p>
                <a:pPr>
                  <a:defRPr/>
                </a:pPr>
                <a:r>
                  <a:rPr lang="en-US"/>
                  <a:t>Wholesale Price Index (WPI)</a:t>
                </a:r>
              </a:p>
            </c:rich>
          </c:tx>
          <c:layout>
            <c:manualLayout>
              <c:xMode val="edge"/>
              <c:yMode val="edge"/>
              <c:x val="8.9786756453423266E-3"/>
              <c:y val="9.0714160729908844E-2"/>
            </c:manualLayout>
          </c:layout>
          <c:spPr>
            <a:noFill/>
            <a:ln w="25399">
              <a:noFill/>
            </a:ln>
          </c:spPr>
        </c:title>
        <c:numFmt formatCode="0" sourceLinked="0"/>
        <c:tickLblPos val="nextTo"/>
        <c:spPr>
          <a:ln w="3175">
            <a:solidFill>
              <a:srgbClr val="000000"/>
            </a:solidFill>
            <a:prstDash val="solid"/>
          </a:ln>
        </c:spPr>
        <c:txPr>
          <a:bodyPr rot="0" vert="horz"/>
          <a:lstStyle/>
          <a:p>
            <a:pPr>
              <a:defRPr/>
            </a:pPr>
            <a:endParaRPr lang="ar-SA"/>
          </a:p>
        </c:txPr>
        <c:crossAx val="51084672"/>
        <c:crosses val="autoZero"/>
        <c:crossBetween val="between"/>
        <c:majorUnit val="2"/>
      </c:valAx>
      <c:spPr>
        <a:noFill/>
        <a:ln w="25399">
          <a:noFill/>
        </a:ln>
      </c:spPr>
    </c:plotArea>
    <c:plotVisOnly val="1"/>
    <c:dispBlanksAs val="gap"/>
  </c:chart>
  <c:spPr>
    <a:noFill/>
    <a:ln w="12700" cap="flat" cmpd="sng" algn="ctr">
      <a:noFill/>
      <a:prstDash val="solid"/>
      <a:miter lim="800000"/>
      <a:headEnd type="none" w="med" len="med"/>
      <a:tailEnd type="none" w="med" len="med"/>
    </a:ln>
  </c:spPr>
  <c:txPr>
    <a:bodyPr/>
    <a:lstStyle/>
    <a:p>
      <a:pPr>
        <a:defRPr sz="900" b="0" i="0" u="none" strike="noStrike" baseline="0">
          <a:solidFill>
            <a:srgbClr val="000000"/>
          </a:solidFill>
          <a:latin typeface="Arial" pitchFamily="34" charset="0"/>
          <a:ea typeface="Calibri"/>
          <a:cs typeface="Arial" pitchFamily="34" charset="0"/>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408A-B5A1-40F0-85AD-1C1403BB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hbadran</cp:lastModifiedBy>
  <cp:revision>4</cp:revision>
  <cp:lastPrinted>2018-01-16T06:07:00Z</cp:lastPrinted>
  <dcterms:created xsi:type="dcterms:W3CDTF">2018-01-18T06:15:00Z</dcterms:created>
  <dcterms:modified xsi:type="dcterms:W3CDTF">2018-01-18T06:15:00Z</dcterms:modified>
</cp:coreProperties>
</file>