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EA" w:rsidRDefault="002A7FEA" w:rsidP="002A7FEA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A7FEA" w:rsidRPr="003A1474" w:rsidRDefault="002A7FEA" w:rsidP="002A7FEA">
      <w:pPr>
        <w:pStyle w:val="Heading1"/>
        <w:bidi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sz w:val="32"/>
          <w:szCs w:val="32"/>
        </w:rPr>
        <w:t>Palestinian Central Bureau of Statistics (PCBS)</w:t>
      </w:r>
    </w:p>
    <w:p w:rsidR="002A7FEA" w:rsidRPr="003A1474" w:rsidRDefault="002A7FEA" w:rsidP="002A7FEA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1474">
        <w:rPr>
          <w:rFonts w:asciiTheme="majorBidi" w:hAnsiTheme="majorBidi" w:cstheme="majorBidi"/>
          <w:b/>
          <w:bCs/>
          <w:sz w:val="32"/>
          <w:szCs w:val="32"/>
        </w:rPr>
        <w:t>Press Release on Israeli Settlements in Palestine</w:t>
      </w:r>
    </w:p>
    <w:p w:rsidR="002A7FEA" w:rsidRDefault="002A7FEA" w:rsidP="002A7FEA">
      <w:pPr>
        <w:bidi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2A7FEA" w:rsidRDefault="002A7FEA" w:rsidP="002A7FEA">
      <w:pPr>
        <w:bidi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2A7FEA" w:rsidRDefault="002A7FEA" w:rsidP="002A7FEA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3A1474">
        <w:rPr>
          <w:rFonts w:ascii="Times New Roman" w:hAnsi="Times New Roman" w:cs="Times New Roman"/>
          <w:b/>
          <w:bCs/>
          <w:sz w:val="25"/>
          <w:szCs w:val="25"/>
          <w:lang w:bidi="ar-SA"/>
        </w:rPr>
        <w:t>More than 617</w:t>
      </w:r>
      <w:r w:rsidRPr="003A1474">
        <w:rPr>
          <w:rFonts w:ascii="Times New Roman" w:hAnsi="Times New Roman" w:cs="Times New Roman"/>
          <w:b/>
          <w:bCs/>
          <w:sz w:val="25"/>
          <w:szCs w:val="25"/>
        </w:rPr>
        <w:t xml:space="preserve"> thousands Settlers in the West Bank, Half of them are in Jerusalem Governorate</w:t>
      </w:r>
    </w:p>
    <w:p w:rsidR="002A7FEA" w:rsidRPr="003A1474" w:rsidRDefault="002A7FEA" w:rsidP="002A7FEA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2A7FEA" w:rsidRPr="003A1474" w:rsidRDefault="002A7FEA" w:rsidP="002A7FEA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3A1474">
        <w:rPr>
          <w:rFonts w:asciiTheme="majorBidi" w:eastAsiaTheme="minorHAnsi" w:hAnsiTheme="majorBidi" w:cstheme="majorBidi"/>
          <w:sz w:val="24"/>
          <w:szCs w:val="24"/>
        </w:rPr>
        <w:t>There were 150 settlements in the West Bank at the end of 2015. The majority are located in Jerusalem governorate: 26 settlements, of which 16 are on land annexed by Israel</w:t>
      </w:r>
      <w:r w:rsidRPr="003A1474">
        <w:rPr>
          <w:rFonts w:asciiTheme="majorBidi" w:hAnsiTheme="majorBidi" w:cstheme="majorBidi"/>
          <w:sz w:val="24"/>
          <w:szCs w:val="24"/>
        </w:rPr>
        <w:t xml:space="preserve"> (J1)</w:t>
      </w:r>
      <w:r w:rsidRPr="003A1474">
        <w:rPr>
          <w:rStyle w:val="FootnoteReference"/>
          <w:rFonts w:asciiTheme="majorBidi" w:eastAsiaTheme="minorHAnsi" w:hAnsiTheme="majorBidi" w:cstheme="majorBidi"/>
          <w:sz w:val="24"/>
          <w:szCs w:val="24"/>
        </w:rPr>
        <w:footnoteReference w:id="1"/>
      </w:r>
      <w:r w:rsidRPr="003A1474">
        <w:rPr>
          <w:rFonts w:asciiTheme="majorBidi" w:eastAsiaTheme="minorHAnsi" w:hAnsiTheme="majorBidi" w:cstheme="majorBidi"/>
          <w:sz w:val="24"/>
          <w:szCs w:val="24"/>
        </w:rPr>
        <w:t xml:space="preserve">, and 10 </w:t>
      </w:r>
      <w:r w:rsidRPr="003A1474">
        <w:rPr>
          <w:rFonts w:asciiTheme="majorBidi" w:hAnsiTheme="majorBidi" w:cstheme="majorBidi"/>
          <w:sz w:val="24"/>
          <w:szCs w:val="24"/>
        </w:rPr>
        <w:t>settlements in Jerusalem (J2)</w:t>
      </w:r>
      <w:r w:rsidRPr="003A1474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2A7FEA" w:rsidRPr="00685D93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</w:rPr>
      </w:pPr>
    </w:p>
    <w:p w:rsidR="002A7FEA" w:rsidRPr="003A1474" w:rsidRDefault="002A7FEA" w:rsidP="002A7FEA">
      <w:pPr>
        <w:bidi w:val="0"/>
        <w:spacing w:after="0"/>
        <w:jc w:val="center"/>
        <w:rPr>
          <w:rFonts w:asciiTheme="majorBidi" w:hAnsiTheme="majorBidi" w:cstheme="majorBidi"/>
          <w:b/>
          <w:bCs/>
          <w:sz w:val="25"/>
          <w:szCs w:val="25"/>
        </w:rPr>
      </w:pPr>
      <w:r w:rsidRPr="003A1474">
        <w:rPr>
          <w:rFonts w:asciiTheme="majorBidi" w:hAnsiTheme="majorBidi" w:cstheme="majorBidi"/>
          <w:b/>
          <w:bCs/>
          <w:sz w:val="25"/>
          <w:szCs w:val="25"/>
        </w:rPr>
        <w:t xml:space="preserve">Number of </w:t>
      </w:r>
      <w:r w:rsidRPr="003A1474">
        <w:rPr>
          <w:rFonts w:ascii="Times New Roman" w:hAnsi="Times New Roman" w:cs="Times New Roman"/>
          <w:b/>
          <w:bCs/>
          <w:sz w:val="25"/>
          <w:szCs w:val="25"/>
        </w:rPr>
        <w:t>Israeli</w:t>
      </w:r>
      <w:r w:rsidRPr="003A1474">
        <w:rPr>
          <w:rFonts w:asciiTheme="majorBidi" w:hAnsiTheme="majorBidi" w:cstheme="majorBidi"/>
          <w:b/>
          <w:bCs/>
          <w:sz w:val="25"/>
          <w:szCs w:val="25"/>
        </w:rPr>
        <w:t xml:space="preserve"> Settlements in the West Bank by Governorate, 2015</w:t>
      </w:r>
    </w:p>
    <w:p w:rsidR="002A7FEA" w:rsidRPr="00280250" w:rsidRDefault="002A7FEA" w:rsidP="002A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 w:val="0"/>
        <w:spacing w:after="0" w:line="240" w:lineRule="auto"/>
        <w:jc w:val="both"/>
        <w:textAlignment w:val="top"/>
        <w:rPr>
          <w:rFonts w:asciiTheme="majorBidi" w:hAnsiTheme="majorBidi" w:cstheme="majorBidi"/>
          <w:sz w:val="24"/>
          <w:szCs w:val="24"/>
        </w:rPr>
      </w:pPr>
      <w:r w:rsidRPr="00280250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>
            <wp:extent cx="6067425" cy="2076450"/>
            <wp:effectExtent l="0" t="0" r="0" b="0"/>
            <wp:docPr id="3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7FEA" w:rsidRDefault="002A7FEA" w:rsidP="002A7FEA">
      <w:pPr>
        <w:bidi w:val="0"/>
        <w:spacing w:after="0" w:line="240" w:lineRule="auto"/>
        <w:jc w:val="lowKashida"/>
        <w:rPr>
          <w:rFonts w:ascii="Times New Roman" w:eastAsiaTheme="minorHAnsi" w:hAnsi="Times New Roman" w:cs="Times New Roman"/>
        </w:rPr>
      </w:pPr>
    </w:p>
    <w:p w:rsidR="002A7FEA" w:rsidRPr="003A1474" w:rsidRDefault="002A7FEA" w:rsidP="002A7FEA">
      <w:pPr>
        <w:bidi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A1474">
        <w:rPr>
          <w:rFonts w:ascii="Times New Roman" w:eastAsiaTheme="minorHAnsi" w:hAnsi="Times New Roman" w:cs="Times New Roman"/>
          <w:sz w:val="24"/>
          <w:szCs w:val="24"/>
        </w:rPr>
        <w:t>Data indicate that the number of settlers in the West Bank at the end of 2015 was 617,291.</w:t>
      </w:r>
    </w:p>
    <w:p w:rsidR="002A7FEA" w:rsidRPr="003A1474" w:rsidRDefault="002A7FEA" w:rsidP="002A7FEA">
      <w:pPr>
        <w:bidi w:val="0"/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2A7FEA" w:rsidRPr="003A1474" w:rsidRDefault="002A7FEA" w:rsidP="002A7FE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A1474">
        <w:rPr>
          <w:rFonts w:ascii="Times New Roman" w:hAnsi="Times New Roman" w:cs="Times New Roman"/>
          <w:b/>
          <w:bCs/>
          <w:sz w:val="25"/>
          <w:szCs w:val="25"/>
        </w:rPr>
        <w:t>Number of Settlers in the West Bank Settlements by Year and Region 2010 -2015</w:t>
      </w:r>
    </w:p>
    <w:tbl>
      <w:tblPr>
        <w:tblStyle w:val="TableGrid"/>
        <w:tblW w:w="4982" w:type="dxa"/>
        <w:jc w:val="center"/>
        <w:tblInd w:w="-655" w:type="dxa"/>
        <w:tblLook w:val="04A0"/>
      </w:tblPr>
      <w:tblGrid>
        <w:gridCol w:w="1681"/>
        <w:gridCol w:w="1647"/>
        <w:gridCol w:w="1654"/>
      </w:tblGrid>
      <w:tr w:rsidR="002A7FEA" w:rsidRPr="003A1474" w:rsidTr="00241220">
        <w:trPr>
          <w:trHeight w:val="193"/>
          <w:jc w:val="center"/>
        </w:trPr>
        <w:tc>
          <w:tcPr>
            <w:tcW w:w="168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A1474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Year</w:t>
            </w:r>
          </w:p>
        </w:tc>
        <w:tc>
          <w:tcPr>
            <w:tcW w:w="3301" w:type="dxa"/>
            <w:gridSpan w:val="2"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Region</w:t>
            </w:r>
          </w:p>
        </w:tc>
      </w:tr>
      <w:tr w:rsidR="002A7FEA" w:rsidRPr="003A1474" w:rsidTr="00241220">
        <w:trPr>
          <w:trHeight w:val="193"/>
          <w:jc w:val="center"/>
        </w:trPr>
        <w:tc>
          <w:tcPr>
            <w:tcW w:w="1681" w:type="dxa"/>
            <w:vMerge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647" w:type="dxa"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-112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sz w:val="25"/>
                <w:szCs w:val="25"/>
              </w:rPr>
              <w:t>Jerusalem (J1)</w:t>
            </w:r>
            <w:r w:rsidRPr="003A1474">
              <w:rPr>
                <w:rFonts w:asciiTheme="majorBidi" w:hAnsiTheme="majorBidi" w:cstheme="majorBid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-205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sz w:val="25"/>
                <w:szCs w:val="25"/>
              </w:rPr>
              <w:t>West Bank</w:t>
            </w:r>
          </w:p>
        </w:tc>
      </w:tr>
      <w:tr w:rsidR="002A7FEA" w:rsidRPr="003A1474" w:rsidTr="00241220">
        <w:trPr>
          <w:trHeight w:val="268"/>
          <w:jc w:val="center"/>
        </w:trPr>
        <w:tc>
          <w:tcPr>
            <w:tcW w:w="1681" w:type="dxa"/>
            <w:tcMar>
              <w:left w:w="227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firstLineChars="100" w:firstLine="250"/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2010</w:t>
            </w:r>
          </w:p>
        </w:tc>
        <w:tc>
          <w:tcPr>
            <w:tcW w:w="1647" w:type="dxa"/>
            <w:tcMar>
              <w:left w:w="0" w:type="dxa"/>
              <w:right w:w="284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196,178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(R)524,952</w:t>
            </w:r>
          </w:p>
        </w:tc>
      </w:tr>
      <w:tr w:rsidR="002A7FEA" w:rsidRPr="003A1474" w:rsidTr="00241220">
        <w:trPr>
          <w:trHeight w:val="268"/>
          <w:jc w:val="center"/>
        </w:trPr>
        <w:tc>
          <w:tcPr>
            <w:tcW w:w="1681" w:type="dxa"/>
            <w:tcMar>
              <w:left w:w="227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firstLineChars="100" w:firstLine="250"/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2011</w:t>
            </w:r>
          </w:p>
        </w:tc>
        <w:tc>
          <w:tcPr>
            <w:tcW w:w="1647" w:type="dxa"/>
            <w:tcMar>
              <w:left w:w="0" w:type="dxa"/>
              <w:right w:w="284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199,647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(R)542,997</w:t>
            </w:r>
          </w:p>
        </w:tc>
      </w:tr>
      <w:tr w:rsidR="002A7FEA" w:rsidRPr="003A1474" w:rsidTr="00241220">
        <w:trPr>
          <w:trHeight w:val="291"/>
          <w:jc w:val="center"/>
        </w:trPr>
        <w:tc>
          <w:tcPr>
            <w:tcW w:w="1681" w:type="dxa"/>
            <w:tcMar>
              <w:left w:w="227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firstLineChars="100" w:firstLine="250"/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2012</w:t>
            </w:r>
          </w:p>
        </w:tc>
        <w:tc>
          <w:tcPr>
            <w:tcW w:w="1647" w:type="dxa"/>
            <w:tcMar>
              <w:left w:w="0" w:type="dxa"/>
              <w:right w:w="284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203,176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(R)562,747</w:t>
            </w:r>
          </w:p>
        </w:tc>
      </w:tr>
      <w:tr w:rsidR="002A7FEA" w:rsidRPr="003A1474" w:rsidTr="00241220">
        <w:trPr>
          <w:trHeight w:val="268"/>
          <w:jc w:val="center"/>
        </w:trPr>
        <w:tc>
          <w:tcPr>
            <w:tcW w:w="1681" w:type="dxa"/>
            <w:tcMar>
              <w:left w:w="227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firstLineChars="100" w:firstLine="250"/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2013</w:t>
            </w:r>
          </w:p>
        </w:tc>
        <w:tc>
          <w:tcPr>
            <w:tcW w:w="1647" w:type="dxa"/>
            <w:tcMar>
              <w:left w:w="0" w:type="dxa"/>
              <w:right w:w="284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(R)206,767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(R)580,762</w:t>
            </w:r>
          </w:p>
        </w:tc>
      </w:tr>
      <w:tr w:rsidR="002A7FEA" w:rsidRPr="003A1474" w:rsidTr="00241220">
        <w:trPr>
          <w:trHeight w:val="291"/>
          <w:jc w:val="center"/>
        </w:trPr>
        <w:tc>
          <w:tcPr>
            <w:tcW w:w="1681" w:type="dxa"/>
            <w:tcMar>
              <w:left w:w="227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firstLineChars="100" w:firstLine="250"/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2014</w:t>
            </w:r>
          </w:p>
        </w:tc>
        <w:tc>
          <w:tcPr>
            <w:tcW w:w="1647" w:type="dxa"/>
            <w:tcMar>
              <w:left w:w="0" w:type="dxa"/>
              <w:right w:w="284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(R)210,420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(R)598,369</w:t>
            </w:r>
          </w:p>
        </w:tc>
      </w:tr>
      <w:tr w:rsidR="002A7FEA" w:rsidRPr="003A1474" w:rsidTr="00241220">
        <w:trPr>
          <w:trHeight w:val="291"/>
          <w:jc w:val="center"/>
        </w:trPr>
        <w:tc>
          <w:tcPr>
            <w:tcW w:w="1681" w:type="dxa"/>
            <w:tcMar>
              <w:left w:w="227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firstLineChars="100" w:firstLine="250"/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2015</w:t>
            </w:r>
          </w:p>
        </w:tc>
        <w:tc>
          <w:tcPr>
            <w:tcW w:w="1647" w:type="dxa"/>
            <w:tcMar>
              <w:left w:w="0" w:type="dxa"/>
              <w:right w:w="284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214,135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:rsidR="002A7FEA" w:rsidRPr="003A1474" w:rsidRDefault="002A7FEA" w:rsidP="00241220">
            <w:pPr>
              <w:bidi w:val="0"/>
              <w:ind w:left="30" w:right="63" w:firstLineChars="18" w:firstLine="45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3A1474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617,291</w:t>
            </w:r>
          </w:p>
        </w:tc>
      </w:tr>
    </w:tbl>
    <w:p w:rsidR="002A7FEA" w:rsidRDefault="002A7FEA" w:rsidP="002A7FEA">
      <w:pPr>
        <w:bidi w:val="0"/>
        <w:spacing w:after="0" w:line="240" w:lineRule="auto"/>
        <w:ind w:left="284"/>
        <w:jc w:val="both"/>
        <w:textAlignment w:val="top"/>
        <w:rPr>
          <w:rFonts w:asciiTheme="majorBidi" w:hAnsiTheme="majorBidi" w:cstheme="majorBidi"/>
          <w:sz w:val="16"/>
          <w:szCs w:val="16"/>
        </w:rPr>
      </w:pPr>
    </w:p>
    <w:p w:rsidR="002A7FEA" w:rsidRDefault="002A7FEA" w:rsidP="002A7FEA">
      <w:pPr>
        <w:bidi w:val="0"/>
        <w:spacing w:after="0" w:line="240" w:lineRule="auto"/>
        <w:jc w:val="both"/>
        <w:textAlignment w:val="top"/>
        <w:rPr>
          <w:rFonts w:asciiTheme="majorBidi" w:hAnsiTheme="majorBidi" w:cstheme="majorBidi"/>
          <w:sz w:val="16"/>
          <w:szCs w:val="16"/>
        </w:rPr>
      </w:pPr>
    </w:p>
    <w:p w:rsidR="002A7FEA" w:rsidRDefault="002A7FEA" w:rsidP="002A7FEA">
      <w:pPr>
        <w:bidi w:val="0"/>
        <w:spacing w:after="0" w:line="240" w:lineRule="auto"/>
        <w:jc w:val="both"/>
        <w:textAlignment w:val="top"/>
        <w:rPr>
          <w:rFonts w:asciiTheme="majorBidi" w:hAnsiTheme="majorBidi" w:cstheme="majorBidi"/>
          <w:sz w:val="16"/>
          <w:szCs w:val="16"/>
        </w:rPr>
      </w:pPr>
      <w:r w:rsidRPr="00280250">
        <w:rPr>
          <w:rFonts w:asciiTheme="majorBidi" w:hAnsiTheme="majorBidi" w:cstheme="majorBidi"/>
          <w:sz w:val="16"/>
          <w:szCs w:val="16"/>
        </w:rPr>
        <w:t>R: revised data</w:t>
      </w:r>
    </w:p>
    <w:p w:rsidR="002A7FEA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</w:rPr>
      </w:pPr>
    </w:p>
    <w:p w:rsidR="002A7FEA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</w:rPr>
      </w:pPr>
    </w:p>
    <w:p w:rsidR="002A7FEA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</w:rPr>
      </w:pPr>
    </w:p>
    <w:p w:rsidR="002A7FEA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</w:rPr>
      </w:pPr>
    </w:p>
    <w:p w:rsidR="002A7FEA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</w:rPr>
      </w:pPr>
    </w:p>
    <w:p w:rsidR="002A7FEA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</w:rPr>
      </w:pPr>
    </w:p>
    <w:p w:rsidR="002A7FEA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</w:rPr>
      </w:pPr>
    </w:p>
    <w:p w:rsidR="002A7FEA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  <w:sz w:val="24"/>
          <w:szCs w:val="24"/>
        </w:rPr>
      </w:pPr>
    </w:p>
    <w:p w:rsidR="002A7FEA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  <w:sz w:val="24"/>
          <w:szCs w:val="24"/>
        </w:rPr>
      </w:pPr>
    </w:p>
    <w:p w:rsidR="002A7FEA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  <w:sz w:val="24"/>
          <w:szCs w:val="24"/>
        </w:rPr>
      </w:pPr>
    </w:p>
    <w:p w:rsidR="002A7FEA" w:rsidRPr="003A1474" w:rsidRDefault="002A7FEA" w:rsidP="002A7FEA">
      <w:pPr>
        <w:bidi w:val="0"/>
        <w:spacing w:after="0" w:line="240" w:lineRule="auto"/>
        <w:jc w:val="lowKashida"/>
        <w:rPr>
          <w:rFonts w:asciiTheme="majorBidi" w:eastAsiaTheme="minorHAnsi" w:hAnsiTheme="majorBidi" w:cstheme="majorBidi"/>
          <w:sz w:val="24"/>
          <w:szCs w:val="24"/>
        </w:rPr>
      </w:pPr>
      <w:r w:rsidRPr="003A1474">
        <w:rPr>
          <w:rFonts w:asciiTheme="majorBidi" w:eastAsiaTheme="minorHAnsi" w:hAnsiTheme="majorBidi" w:cstheme="majorBidi"/>
          <w:sz w:val="24"/>
          <w:szCs w:val="24"/>
        </w:rPr>
        <w:t>Most settlers (292,555) are concentrated in Jerusalem governorate, constituting 47.4% of all settlers in the West Bank. Of these, 214,135 settlers are in the Jerusalem (J1) area. Other settlers are in Ramallah &amp; Al-</w:t>
      </w:r>
      <w:proofErr w:type="spellStart"/>
      <w:r w:rsidRPr="003A1474">
        <w:rPr>
          <w:rFonts w:asciiTheme="majorBidi" w:eastAsiaTheme="minorHAnsi" w:hAnsiTheme="majorBidi" w:cstheme="majorBidi"/>
          <w:sz w:val="24"/>
          <w:szCs w:val="24"/>
        </w:rPr>
        <w:t>Bireh</w:t>
      </w:r>
      <w:proofErr w:type="spellEnd"/>
      <w:r w:rsidRPr="003A1474">
        <w:rPr>
          <w:rFonts w:asciiTheme="majorBidi" w:eastAsiaTheme="minorHAnsi" w:hAnsiTheme="majorBidi" w:cstheme="majorBidi"/>
          <w:sz w:val="24"/>
          <w:szCs w:val="24"/>
        </w:rPr>
        <w:t xml:space="preserve"> governorate (123,194 settlers), Bethlehem governorate (75,320 settlers), and </w:t>
      </w:r>
      <w:proofErr w:type="spellStart"/>
      <w:r w:rsidRPr="003A1474">
        <w:rPr>
          <w:rFonts w:asciiTheme="majorBidi" w:eastAsiaTheme="minorHAnsi" w:hAnsiTheme="majorBidi" w:cstheme="majorBidi"/>
          <w:sz w:val="24"/>
          <w:szCs w:val="24"/>
        </w:rPr>
        <w:t>Salfit</w:t>
      </w:r>
      <w:proofErr w:type="spellEnd"/>
      <w:r w:rsidRPr="003A1474">
        <w:rPr>
          <w:rFonts w:asciiTheme="majorBidi" w:eastAsiaTheme="minorHAnsi" w:hAnsiTheme="majorBidi" w:cstheme="majorBidi"/>
          <w:sz w:val="24"/>
          <w:szCs w:val="24"/>
        </w:rPr>
        <w:t xml:space="preserve"> governorate (39,488 settlers).  The governorate with the lowest number of settlers was Tubas with 2,036 settlers.</w:t>
      </w:r>
      <w:bookmarkStart w:id="0" w:name="_GoBack"/>
      <w:bookmarkEnd w:id="0"/>
    </w:p>
    <w:p w:rsidR="002A7FEA" w:rsidRPr="003A1474" w:rsidRDefault="002A7FEA" w:rsidP="002A7FEA">
      <w:pPr>
        <w:tabs>
          <w:tab w:val="left" w:pos="3375"/>
        </w:tabs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A1474">
        <w:rPr>
          <w:rFonts w:asciiTheme="majorBidi" w:hAnsiTheme="majorBidi" w:cstheme="majorBidi"/>
          <w:sz w:val="24"/>
          <w:szCs w:val="24"/>
        </w:rPr>
        <w:tab/>
      </w:r>
    </w:p>
    <w:p w:rsidR="002A7FEA" w:rsidRPr="003A1474" w:rsidRDefault="002A7FEA" w:rsidP="002A7FEA">
      <w:pPr>
        <w:bidi w:val="0"/>
        <w:spacing w:after="0"/>
        <w:jc w:val="center"/>
        <w:rPr>
          <w:rFonts w:asciiTheme="majorBidi" w:hAnsiTheme="majorBidi" w:cstheme="majorBidi"/>
          <w:b/>
          <w:bCs/>
          <w:sz w:val="25"/>
          <w:szCs w:val="25"/>
        </w:rPr>
      </w:pPr>
      <w:r w:rsidRPr="003A1474">
        <w:rPr>
          <w:rFonts w:ascii="Times New Roman" w:hAnsi="Times New Roman" w:cs="Times New Roman"/>
          <w:b/>
          <w:bCs/>
          <w:sz w:val="25"/>
          <w:szCs w:val="25"/>
        </w:rPr>
        <w:t xml:space="preserve">Number of Israeli Settlers </w:t>
      </w:r>
      <w:r w:rsidRPr="003A1474">
        <w:rPr>
          <w:rFonts w:asciiTheme="majorBidi" w:hAnsiTheme="majorBidi" w:cstheme="majorBidi"/>
          <w:b/>
          <w:bCs/>
          <w:sz w:val="25"/>
          <w:szCs w:val="25"/>
        </w:rPr>
        <w:t>in the West Bank by Governorate, 2015</w:t>
      </w:r>
    </w:p>
    <w:p w:rsidR="002A7FEA" w:rsidRPr="00280250" w:rsidRDefault="002A7FEA" w:rsidP="002A7FEA">
      <w:pPr>
        <w:bidi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80250">
        <w:rPr>
          <w:rFonts w:ascii="Times New Roman" w:hAnsi="Times New Roman" w:cs="Times New Roman"/>
          <w:b/>
          <w:bCs/>
          <w:noProof/>
          <w:lang w:bidi="ar-SA"/>
        </w:rPr>
        <w:drawing>
          <wp:inline distT="0" distB="0" distL="0" distR="0">
            <wp:extent cx="3400425" cy="2201545"/>
            <wp:effectExtent l="19050" t="0" r="9525" b="8255"/>
            <wp:docPr id="4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7FEA" w:rsidRDefault="002A7FEA" w:rsidP="002A7FEA">
      <w:pPr>
        <w:bidi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A7FEA" w:rsidRDefault="002A7FEA" w:rsidP="002A7FEA">
      <w:pPr>
        <w:bidi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A7FEA" w:rsidRPr="007A5FD8" w:rsidRDefault="002A7FEA" w:rsidP="002A7FEA">
      <w:pPr>
        <w:bidi w:val="0"/>
        <w:spacing w:after="0"/>
        <w:rPr>
          <w:rFonts w:asciiTheme="majorBidi" w:hAnsiTheme="majorBidi" w:cstheme="majorBidi"/>
          <w:sz w:val="16"/>
          <w:szCs w:val="16"/>
        </w:rPr>
      </w:pPr>
    </w:p>
    <w:p w:rsidR="00136B0B" w:rsidRDefault="002A7FEA">
      <w:pPr>
        <w:rPr>
          <w:rFonts w:hint="cs"/>
        </w:rPr>
      </w:pPr>
      <w:r>
        <w:rPr>
          <w:rFonts w:hint="cs"/>
          <w:rtl/>
          <w:lang w:bidi="ar-SA"/>
        </w:rPr>
        <w:t xml:space="preserve"> </w:t>
      </w:r>
    </w:p>
    <w:sectPr w:rsidR="00136B0B" w:rsidSect="002A7FEA">
      <w:pgSz w:w="12240" w:h="15840" w:code="1"/>
      <w:pgMar w:top="720" w:right="720" w:bottom="720" w:left="10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DC" w:rsidRDefault="000445DC" w:rsidP="002A7FEA">
      <w:pPr>
        <w:spacing w:after="0" w:line="240" w:lineRule="auto"/>
      </w:pPr>
      <w:r>
        <w:separator/>
      </w:r>
    </w:p>
  </w:endnote>
  <w:endnote w:type="continuationSeparator" w:id="0">
    <w:p w:rsidR="000445DC" w:rsidRDefault="000445DC" w:rsidP="002A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DC" w:rsidRDefault="000445DC" w:rsidP="002A7FEA">
      <w:pPr>
        <w:spacing w:after="0" w:line="240" w:lineRule="auto"/>
      </w:pPr>
      <w:r>
        <w:separator/>
      </w:r>
    </w:p>
  </w:footnote>
  <w:footnote w:type="continuationSeparator" w:id="0">
    <w:p w:rsidR="000445DC" w:rsidRDefault="000445DC" w:rsidP="002A7FEA">
      <w:pPr>
        <w:spacing w:after="0" w:line="240" w:lineRule="auto"/>
      </w:pPr>
      <w:r>
        <w:continuationSeparator/>
      </w:r>
    </w:p>
  </w:footnote>
  <w:footnote w:id="1">
    <w:p w:rsidR="002A7FEA" w:rsidRPr="003A1474" w:rsidRDefault="002A7FEA" w:rsidP="002A7FEA">
      <w:pPr>
        <w:bidi w:val="0"/>
        <w:spacing w:after="0" w:line="240" w:lineRule="auto"/>
        <w:ind w:left="284"/>
        <w:jc w:val="both"/>
        <w:textAlignment w:val="top"/>
        <w:rPr>
          <w:rFonts w:asciiTheme="majorBidi" w:hAnsiTheme="majorBidi" w:cstheme="majorBidi"/>
          <w:sz w:val="20"/>
          <w:szCs w:val="20"/>
        </w:rPr>
      </w:pPr>
      <w:r w:rsidRPr="003A1474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3A1474">
        <w:rPr>
          <w:rFonts w:asciiTheme="majorBidi" w:hAnsiTheme="majorBidi" w:cstheme="majorBidi"/>
          <w:sz w:val="20"/>
          <w:szCs w:val="20"/>
          <w:rtl/>
          <w:lang w:bidi="ar-SA"/>
        </w:rPr>
        <w:t xml:space="preserve"> </w:t>
      </w:r>
      <w:r w:rsidRPr="003A1474">
        <w:rPr>
          <w:rFonts w:asciiTheme="majorBidi" w:hAnsiTheme="majorBidi" w:cstheme="majorBidi"/>
          <w:sz w:val="20"/>
          <w:szCs w:val="20"/>
        </w:rPr>
        <w:t xml:space="preserve"> Includes that part of Jerusalem which was annexed forcefully by Israel following its occupation of the West Bank in 1967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FEA"/>
    <w:rsid w:val="000445DC"/>
    <w:rsid w:val="00136B0B"/>
    <w:rsid w:val="002A7FEA"/>
    <w:rsid w:val="005E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A"/>
    <w:pPr>
      <w:bidi/>
    </w:pPr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FEA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FEA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2A7FEA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2A7F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EA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35081845631911596"/>
          <c:y val="6.9517947523653534E-2"/>
          <c:w val="0.6066091121652134"/>
          <c:h val="0.71176376039845679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Formal Settlements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dLbls>
            <c:txPr>
              <a:bodyPr/>
              <a:lstStyle/>
              <a:p>
                <a:pPr>
                  <a:defRPr sz="800"/>
                </a:pPr>
                <a:endParaRPr lang="ar-SA"/>
              </a:p>
            </c:txPr>
            <c:dLblPos val="outEnd"/>
            <c:showVal val="1"/>
          </c:dLbls>
          <c:cat>
            <c:strRef>
              <c:f>Sheet1!$B$1:$L$1</c:f>
              <c:strCache>
                <c:ptCount val="11"/>
                <c:pt idx="0">
                  <c:v>Jerusalem</c:v>
                </c:pt>
                <c:pt idx="1">
                  <c:v>Ramallah &amp; Al-Bireh</c:v>
                </c:pt>
                <c:pt idx="2">
                  <c:v>Hebron</c:v>
                </c:pt>
                <c:pt idx="3">
                  <c:v>Jericho &amp; Al- Aghwar</c:v>
                </c:pt>
                <c:pt idx="4">
                  <c:v>Bethlehem</c:v>
                </c:pt>
                <c:pt idx="5">
                  <c:v>Salfit</c:v>
                </c:pt>
                <c:pt idx="6">
                  <c:v>Nablus</c:v>
                </c:pt>
                <c:pt idx="7">
                  <c:v>Qalqiliya</c:v>
                </c:pt>
                <c:pt idx="8">
                  <c:v>Tubas</c:v>
                </c:pt>
                <c:pt idx="9">
                  <c:v>Jenin</c:v>
                </c:pt>
                <c:pt idx="10">
                  <c:v>Tulkarm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26</c:v>
                </c:pt>
                <c:pt idx="1">
                  <c:v>26</c:v>
                </c:pt>
                <c:pt idx="2">
                  <c:v>20</c:v>
                </c:pt>
                <c:pt idx="3">
                  <c:v>17</c:v>
                </c:pt>
                <c:pt idx="4">
                  <c:v>13</c:v>
                </c:pt>
                <c:pt idx="5">
                  <c:v>13</c:v>
                </c:pt>
                <c:pt idx="6">
                  <c:v>12</c:v>
                </c:pt>
                <c:pt idx="7">
                  <c:v>8</c:v>
                </c:pt>
                <c:pt idx="8">
                  <c:v>7</c:v>
                </c:pt>
                <c:pt idx="9">
                  <c:v>5</c:v>
                </c:pt>
                <c:pt idx="10">
                  <c:v>3</c:v>
                </c:pt>
              </c:numCache>
            </c:numRef>
          </c:val>
        </c:ser>
        <c:dLbls>
          <c:showVal val="1"/>
        </c:dLbls>
        <c:gapWidth val="300"/>
        <c:axId val="103083008"/>
        <c:axId val="103130240"/>
      </c:barChart>
      <c:catAx>
        <c:axId val="103083008"/>
        <c:scaling>
          <c:orientation val="minMax"/>
        </c:scaling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1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 b="1"/>
                  <a:t>Governorate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1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 sz="800" b="1"/>
              </a:p>
            </c:rich>
          </c:tx>
          <c:layout>
            <c:manualLayout>
              <c:xMode val="edge"/>
              <c:yMode val="edge"/>
              <c:x val="1.2193246486390971E-2"/>
              <c:y val="0.1925536372173664"/>
            </c:manualLayout>
          </c:layout>
        </c:title>
        <c:numFmt formatCode="General" sourceLinked="1"/>
        <c:maj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3130240"/>
        <c:crosses val="autoZero"/>
        <c:auto val="1"/>
        <c:lblAlgn val="ctr"/>
        <c:lblOffset val="0"/>
        <c:tickLblSkip val="1"/>
        <c:tickMarkSkip val="1"/>
      </c:catAx>
      <c:valAx>
        <c:axId val="103130240"/>
        <c:scaling>
          <c:orientation val="minMax"/>
          <c:max val="30"/>
          <c:min val="0"/>
        </c:scaling>
        <c:axPos val="b"/>
        <c:title>
          <c:tx>
            <c:rich>
              <a:bodyPr/>
              <a:lstStyle/>
              <a:p>
                <a:pPr>
                  <a:defRPr sz="800" b="1"/>
                </a:pPr>
                <a:r>
                  <a:rPr lang="en-US" sz="800" b="1"/>
                  <a:t>Number</a:t>
                </a:r>
              </a:p>
            </c:rich>
          </c:tx>
          <c:layout>
            <c:manualLayout>
              <c:xMode val="edge"/>
              <c:yMode val="edge"/>
              <c:x val="0.45867931646158805"/>
              <c:y val="0.9218098196441083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3083008"/>
        <c:crosses val="autoZero"/>
        <c:crossBetween val="between"/>
        <c:majorUnit val="5"/>
        <c:minorUnit val="1"/>
      </c:valAx>
      <c:spPr>
        <a:solidFill>
          <a:srgbClr val="FFFFFF"/>
        </a:solidFill>
        <a:ln w="25335">
          <a:noFill/>
        </a:ln>
      </c:spPr>
    </c:plotArea>
    <c:plotVisOnly val="1"/>
    <c:dispBlanksAs val="gap"/>
  </c:chart>
  <c:spPr>
    <a:noFill/>
    <a:ln w="3166">
      <a:noFill/>
      <a:prstDash val="solid"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39508133286021524"/>
          <c:y val="2.8186394401570232E-2"/>
          <c:w val="0.55322658077650866"/>
          <c:h val="0.76828617240188091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4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8.5643959403414516E-2"/>
                  <c:y val="-6.3472908608552966E-2"/>
                </c:manualLayout>
              </c:layout>
              <c:dLblPos val="outEnd"/>
              <c:showVal val="1"/>
            </c:dLbl>
            <c:numFmt formatCode="#,##0.0" sourceLinked="0"/>
            <c:dLblPos val="outEnd"/>
            <c:showVal val="1"/>
          </c:dLbls>
          <c:cat>
            <c:strRef>
              <c:f>Sheet1!$B$1:$L$1</c:f>
              <c:strCache>
                <c:ptCount val="11"/>
                <c:pt idx="0">
                  <c:v>Jerusalem</c:v>
                </c:pt>
                <c:pt idx="1">
                  <c:v>Ramallah &amp; Al-Bireh</c:v>
                </c:pt>
                <c:pt idx="2">
                  <c:v>Bethlehem</c:v>
                </c:pt>
                <c:pt idx="3">
                  <c:v>Salfit</c:v>
                </c:pt>
                <c:pt idx="4">
                  <c:v>Qalqiliya</c:v>
                </c:pt>
                <c:pt idx="5">
                  <c:v>Hebron</c:v>
                </c:pt>
                <c:pt idx="6">
                  <c:v>Nablus</c:v>
                </c:pt>
                <c:pt idx="7">
                  <c:v>Jericho &amp; Al- Aghwar</c:v>
                </c:pt>
                <c:pt idx="8">
                  <c:v>Tulkarm</c:v>
                </c:pt>
                <c:pt idx="9">
                  <c:v>Jenin</c:v>
                </c:pt>
                <c:pt idx="10">
                  <c:v>Tubas</c:v>
                </c:pt>
              </c:strCache>
            </c:strRef>
          </c:cat>
          <c:val>
            <c:numRef>
              <c:f>Sheet1!$B$2:$L$2</c:f>
              <c:numCache>
                <c:formatCode>_-* #,##0.0_-;_-* #,##0.0\-;_-* "-"??_-;_-@_-</c:formatCode>
                <c:ptCount val="11"/>
                <c:pt idx="0">
                  <c:v>292.55500000000001</c:v>
                </c:pt>
                <c:pt idx="1">
                  <c:v>123.194</c:v>
                </c:pt>
                <c:pt idx="2">
                  <c:v>75.319999999999993</c:v>
                </c:pt>
                <c:pt idx="3">
                  <c:v>39.488</c:v>
                </c:pt>
                <c:pt idx="4">
                  <c:v>37.006</c:v>
                </c:pt>
                <c:pt idx="5">
                  <c:v>17.856000000000005</c:v>
                </c:pt>
                <c:pt idx="6">
                  <c:v>17.706</c:v>
                </c:pt>
                <c:pt idx="7">
                  <c:v>6.2859999999999996</c:v>
                </c:pt>
                <c:pt idx="8">
                  <c:v>2.9929999999999977</c:v>
                </c:pt>
                <c:pt idx="9">
                  <c:v>2.8509999999999978</c:v>
                </c:pt>
                <c:pt idx="10">
                  <c:v>2.0359999999999987</c:v>
                </c:pt>
              </c:numCache>
            </c:numRef>
          </c:val>
        </c:ser>
        <c:gapWidth val="300"/>
        <c:axId val="103039744"/>
        <c:axId val="103041664"/>
      </c:barChart>
      <c:catAx>
        <c:axId val="10303974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b="1"/>
                </a:pPr>
                <a:r>
                  <a:rPr lang="en-US" b="1"/>
                  <a:t>Governorate</a:t>
                </a:r>
              </a:p>
            </c:rich>
          </c:tx>
          <c:layout>
            <c:manualLayout>
              <c:xMode val="edge"/>
              <c:yMode val="edge"/>
              <c:x val="1.2216547235036001E-2"/>
              <c:y val="0.30338550954843035"/>
            </c:manualLayout>
          </c:layout>
        </c:title>
        <c:numFmt formatCode="General" sourceLinked="1"/>
        <c:maj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03041664"/>
        <c:crossesAt val="0"/>
        <c:auto val="1"/>
        <c:lblAlgn val="ctr"/>
        <c:lblOffset val="100"/>
        <c:tickLblSkip val="1"/>
        <c:tickMarkSkip val="2"/>
      </c:catAx>
      <c:valAx>
        <c:axId val="103041664"/>
        <c:scaling>
          <c:orientation val="minMax"/>
          <c:max val="300"/>
          <c:min val="0"/>
        </c:scaling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en-US" b="1"/>
                  <a:t>Number (Thousands)</a:t>
                </a:r>
              </a:p>
            </c:rich>
          </c:tx>
          <c:layout>
            <c:manualLayout>
              <c:xMode val="edge"/>
              <c:yMode val="edge"/>
              <c:x val="0.45664575609614622"/>
              <c:y val="0.92566763549559028"/>
            </c:manualLayout>
          </c:layout>
        </c:title>
        <c:numFmt formatCode="#,##0" sourceLinked="0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03039744"/>
        <c:crosses val="autoZero"/>
        <c:crossBetween val="between"/>
        <c:majorUnit val="50"/>
        <c:minorUnit val="10"/>
      </c:valAx>
      <c:spPr>
        <a:solidFill>
          <a:srgbClr val="FFFFFF"/>
        </a:solidFill>
        <a:ln w="25299">
          <a:noFill/>
        </a:ln>
      </c:spPr>
    </c:plotArea>
    <c:plotVisOnly val="1"/>
    <c:dispBlanksAs val="gap"/>
  </c:chart>
  <c:spPr>
    <a:noFill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2016-10-16T09:41:00Z</dcterms:created>
  <dcterms:modified xsi:type="dcterms:W3CDTF">2016-10-16T09:41:00Z</dcterms:modified>
</cp:coreProperties>
</file>