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8992A" w14:textId="77777777" w:rsidR="00256B64" w:rsidRPr="0033031F" w:rsidRDefault="00824F0C" w:rsidP="00BA16A0">
      <w:pPr>
        <w:pStyle w:val="Title"/>
        <w:rPr>
          <w:rFonts w:asciiTheme="majorBidi" w:hAnsiTheme="majorBidi" w:cstheme="majorBidi"/>
          <w:sz w:val="32"/>
          <w:szCs w:val="32"/>
        </w:rPr>
      </w:pPr>
      <w:r w:rsidRPr="0033031F">
        <w:rPr>
          <w:rFonts w:asciiTheme="majorBidi" w:hAnsiTheme="majorBidi" w:cstheme="majorBidi"/>
          <w:sz w:val="32"/>
          <w:szCs w:val="32"/>
        </w:rPr>
        <w:t>The Pales</w:t>
      </w:r>
      <w:bookmarkStart w:id="0" w:name="_GoBack"/>
      <w:bookmarkEnd w:id="0"/>
      <w:r w:rsidRPr="0033031F">
        <w:rPr>
          <w:rFonts w:asciiTheme="majorBidi" w:hAnsiTheme="majorBidi" w:cstheme="majorBidi"/>
          <w:sz w:val="32"/>
          <w:szCs w:val="32"/>
        </w:rPr>
        <w:t>tinian Central B</w:t>
      </w:r>
      <w:r w:rsidR="00BA16A0" w:rsidRPr="0033031F">
        <w:rPr>
          <w:rFonts w:asciiTheme="majorBidi" w:hAnsiTheme="majorBidi" w:cstheme="majorBidi"/>
          <w:sz w:val="32"/>
          <w:szCs w:val="32"/>
        </w:rPr>
        <w:t>ure</w:t>
      </w:r>
      <w:r w:rsidRPr="0033031F">
        <w:rPr>
          <w:rFonts w:asciiTheme="majorBidi" w:hAnsiTheme="majorBidi" w:cstheme="majorBidi"/>
          <w:sz w:val="32"/>
          <w:szCs w:val="32"/>
        </w:rPr>
        <w:t>au of Statistics</w:t>
      </w:r>
      <w:r w:rsidR="00256B64" w:rsidRPr="0033031F">
        <w:rPr>
          <w:rFonts w:asciiTheme="majorBidi" w:hAnsiTheme="majorBidi" w:cstheme="majorBidi"/>
          <w:sz w:val="32"/>
          <w:szCs w:val="32"/>
        </w:rPr>
        <w:t xml:space="preserve"> (PCBS)</w:t>
      </w:r>
    </w:p>
    <w:p w14:paraId="19FE748F" w14:textId="6FBFD0C2" w:rsidR="00824F0C" w:rsidRPr="0033031F" w:rsidRDefault="00824F0C" w:rsidP="00BA16A0">
      <w:pPr>
        <w:pStyle w:val="Title"/>
        <w:rPr>
          <w:rFonts w:asciiTheme="majorBidi" w:hAnsiTheme="majorBidi" w:cstheme="majorBidi"/>
          <w:sz w:val="32"/>
          <w:szCs w:val="32"/>
        </w:rPr>
      </w:pPr>
      <w:r w:rsidRPr="0033031F">
        <w:rPr>
          <w:rFonts w:asciiTheme="majorBidi" w:hAnsiTheme="majorBidi" w:cstheme="majorBidi"/>
          <w:sz w:val="32"/>
          <w:szCs w:val="32"/>
        </w:rPr>
        <w:t xml:space="preserve"> </w:t>
      </w:r>
      <w:r w:rsidR="00BA16A0" w:rsidRPr="0033031F">
        <w:rPr>
          <w:rFonts w:asciiTheme="majorBidi" w:hAnsiTheme="majorBidi" w:cstheme="majorBidi"/>
          <w:sz w:val="32"/>
          <w:szCs w:val="32"/>
        </w:rPr>
        <w:t xml:space="preserve">Announces </w:t>
      </w:r>
      <w:r w:rsidRPr="0033031F">
        <w:rPr>
          <w:rFonts w:asciiTheme="majorBidi" w:hAnsiTheme="majorBidi" w:cstheme="majorBidi"/>
          <w:sz w:val="32"/>
          <w:szCs w:val="32"/>
        </w:rPr>
        <w:t xml:space="preserve">the </w:t>
      </w:r>
      <w:r w:rsidR="00BA16A0" w:rsidRPr="0033031F">
        <w:rPr>
          <w:rFonts w:asciiTheme="majorBidi" w:hAnsiTheme="majorBidi" w:cstheme="majorBidi"/>
          <w:sz w:val="32"/>
          <w:szCs w:val="32"/>
        </w:rPr>
        <w:t xml:space="preserve">Main Results </w:t>
      </w:r>
      <w:r w:rsidRPr="0033031F">
        <w:rPr>
          <w:rFonts w:asciiTheme="majorBidi" w:hAnsiTheme="majorBidi" w:cstheme="majorBidi"/>
          <w:sz w:val="32"/>
          <w:szCs w:val="32"/>
        </w:rPr>
        <w:t xml:space="preserve">of the Palestinian Multiple Indicators Cluster Survey </w:t>
      </w:r>
      <w:r w:rsidR="00704BDD" w:rsidRPr="0033031F">
        <w:rPr>
          <w:rFonts w:asciiTheme="majorBidi" w:hAnsiTheme="majorBidi" w:cstheme="majorBidi"/>
          <w:sz w:val="32"/>
          <w:szCs w:val="32"/>
        </w:rPr>
        <w:t xml:space="preserve">(PMICS) </w:t>
      </w:r>
      <w:r w:rsidRPr="0033031F">
        <w:rPr>
          <w:rFonts w:asciiTheme="majorBidi" w:hAnsiTheme="majorBidi" w:cstheme="majorBidi"/>
          <w:sz w:val="32"/>
          <w:szCs w:val="32"/>
        </w:rPr>
        <w:t>2019-2020</w:t>
      </w:r>
    </w:p>
    <w:p w14:paraId="51CA511D" w14:textId="77777777" w:rsidR="00824F0C" w:rsidRPr="00824F0C" w:rsidRDefault="00824F0C" w:rsidP="00824F0C">
      <w:pPr>
        <w:pStyle w:val="Title"/>
        <w:rPr>
          <w:rFonts w:asciiTheme="majorBidi" w:hAnsiTheme="majorBidi" w:cstheme="majorBidi"/>
          <w:sz w:val="28"/>
          <w:szCs w:val="28"/>
        </w:rPr>
      </w:pPr>
    </w:p>
    <w:p w14:paraId="5996A418" w14:textId="798BC943" w:rsidR="00824F0C" w:rsidRPr="005A2C70" w:rsidRDefault="00824F0C" w:rsidP="00074E9C">
      <w:pPr>
        <w:pStyle w:val="Title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5A2C70">
        <w:rPr>
          <w:rFonts w:asciiTheme="majorBidi" w:hAnsiTheme="majorBidi" w:cstheme="majorBidi"/>
          <w:sz w:val="28"/>
          <w:szCs w:val="28"/>
        </w:rPr>
        <w:t xml:space="preserve">Ramallah </w:t>
      </w:r>
      <w:r w:rsidR="001826FF">
        <w:rPr>
          <w:rFonts w:asciiTheme="majorBidi" w:hAnsiTheme="majorBidi" w:cstheme="majorBidi"/>
          <w:sz w:val="28"/>
          <w:szCs w:val="28"/>
        </w:rPr>
        <w:t>–</w:t>
      </w:r>
      <w:r w:rsidRPr="005A2C70">
        <w:rPr>
          <w:rFonts w:asciiTheme="majorBidi" w:hAnsiTheme="majorBidi" w:cstheme="majorBidi"/>
          <w:sz w:val="28"/>
          <w:szCs w:val="28"/>
        </w:rPr>
        <w:t xml:space="preserve"> </w:t>
      </w:r>
      <w:r w:rsidR="001826FF">
        <w:rPr>
          <w:rFonts w:asciiTheme="majorBidi" w:hAnsiTheme="majorBidi" w:cstheme="majorBidi"/>
          <w:sz w:val="28"/>
          <w:szCs w:val="28"/>
        </w:rPr>
        <w:t xml:space="preserve">15 December </w:t>
      </w:r>
      <w:r w:rsidRPr="005A2C70">
        <w:rPr>
          <w:rFonts w:asciiTheme="majorBidi" w:hAnsiTheme="majorBidi" w:cstheme="majorBidi"/>
          <w:sz w:val="28"/>
          <w:szCs w:val="28"/>
        </w:rPr>
        <w:t xml:space="preserve">2020 - </w:t>
      </w:r>
      <w:r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The Palestinian Central Bureau of Statistics, in cooperation with UNICEF, </w:t>
      </w:r>
      <w:r w:rsidR="001826FF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today </w:t>
      </w:r>
      <w:r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announced the main results of the Palestinian Multiple Indicator Cluster Survey </w:t>
      </w:r>
      <w:r w:rsidR="00704BDD">
        <w:rPr>
          <w:rFonts w:asciiTheme="majorBidi" w:hAnsiTheme="majorBidi" w:cstheme="majorBidi"/>
          <w:sz w:val="28"/>
          <w:szCs w:val="28"/>
        </w:rPr>
        <w:t xml:space="preserve">(MICS) </w:t>
      </w:r>
      <w:r w:rsidRPr="005A2C70">
        <w:rPr>
          <w:rFonts w:asciiTheme="majorBidi" w:hAnsiTheme="majorBidi" w:cstheme="majorBidi"/>
          <w:b w:val="0"/>
          <w:bCs w:val="0"/>
          <w:sz w:val="28"/>
          <w:szCs w:val="28"/>
        </w:rPr>
        <w:t>2019-2020</w:t>
      </w:r>
      <w:r w:rsidR="00AF06D0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C661D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This </w:t>
      </w:r>
      <w:r w:rsidR="00EE4460">
        <w:rPr>
          <w:rFonts w:asciiTheme="majorBidi" w:hAnsiTheme="majorBidi" w:cstheme="majorBidi"/>
          <w:b w:val="0"/>
          <w:bCs w:val="0"/>
          <w:sz w:val="28"/>
          <w:szCs w:val="28"/>
        </w:rPr>
        <w:t>announcement was made at</w:t>
      </w:r>
      <w:r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 virtual conference </w:t>
      </w:r>
      <w:r w:rsidR="00AD2DF9">
        <w:rPr>
          <w:rFonts w:asciiTheme="majorBidi" w:hAnsiTheme="majorBidi" w:cstheme="majorBidi"/>
          <w:b w:val="0"/>
          <w:bCs w:val="0"/>
          <w:sz w:val="28"/>
          <w:szCs w:val="28"/>
        </w:rPr>
        <w:t>with</w:t>
      </w:r>
      <w:r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704BDD">
        <w:rPr>
          <w:rFonts w:asciiTheme="majorBidi" w:hAnsiTheme="majorBidi" w:cstheme="majorBidi"/>
          <w:b w:val="0"/>
          <w:bCs w:val="0"/>
          <w:sz w:val="28"/>
          <w:szCs w:val="28"/>
        </w:rPr>
        <w:t>H.E.</w:t>
      </w:r>
      <w:r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Dr. Ola Awad, President of </w:t>
      </w:r>
      <w:r w:rsidR="00704BDD">
        <w:rPr>
          <w:rFonts w:asciiTheme="majorBidi" w:hAnsiTheme="majorBidi" w:cstheme="majorBidi"/>
          <w:b w:val="0"/>
          <w:bCs w:val="0"/>
          <w:sz w:val="28"/>
          <w:szCs w:val="28"/>
        </w:rPr>
        <w:t>PCBS</w:t>
      </w:r>
      <w:r w:rsidR="00C94FA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>, and Ms. Lucia Elmi</w:t>
      </w:r>
      <w:r w:rsidRPr="005A2C70">
        <w:rPr>
          <w:rFonts w:asciiTheme="majorBidi" w:hAnsiTheme="majorBidi" w:cstheme="majorBidi"/>
          <w:b w:val="0"/>
          <w:bCs w:val="0"/>
          <w:sz w:val="28"/>
          <w:szCs w:val="28"/>
        </w:rPr>
        <w:t>, Special Representative of UNICEF in the State of Palestine,</w:t>
      </w:r>
      <w:r w:rsidR="00704BD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and</w:t>
      </w:r>
      <w:r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in the presence of representatives of ministries, official</w:t>
      </w:r>
      <w:r w:rsidR="00D80543">
        <w:rPr>
          <w:rFonts w:asciiTheme="majorBidi" w:hAnsiTheme="majorBidi" w:cstheme="majorBidi"/>
          <w:b w:val="0"/>
          <w:bCs w:val="0"/>
          <w:sz w:val="28"/>
          <w:szCs w:val="28"/>
        </w:rPr>
        <w:t>s</w:t>
      </w:r>
      <w:r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and civil institutions, universities, research centers, United Nations organizations, relevant bodies and the media.</w:t>
      </w:r>
    </w:p>
    <w:p w14:paraId="03220F67" w14:textId="77777777" w:rsidR="00824F0C" w:rsidRPr="005A2C70" w:rsidRDefault="00824F0C" w:rsidP="00074E9C">
      <w:pPr>
        <w:pStyle w:val="Title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14:paraId="4CB59E5C" w14:textId="2EF0F47C" w:rsidR="00824F0C" w:rsidRPr="005A2C70" w:rsidRDefault="006B2597" w:rsidP="00B45939">
      <w:pPr>
        <w:pStyle w:val="Title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Opening the conference, </w:t>
      </w:r>
      <w:r w:rsidR="00704BD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H.E.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Dr. Ola Awad </w:t>
      </w:r>
      <w:r w:rsidR="00F7661B">
        <w:rPr>
          <w:rFonts w:asciiTheme="majorBidi" w:hAnsiTheme="majorBidi" w:cstheme="majorBidi"/>
          <w:b w:val="0"/>
          <w:bCs w:val="0"/>
          <w:sz w:val="28"/>
          <w:szCs w:val="28"/>
        </w:rPr>
        <w:t>outlined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704BDD">
        <w:rPr>
          <w:rFonts w:asciiTheme="majorBidi" w:hAnsiTheme="majorBidi" w:cstheme="majorBidi"/>
          <w:b w:val="0"/>
          <w:bCs w:val="0"/>
          <w:sz w:val="28"/>
          <w:szCs w:val="28"/>
        </w:rPr>
        <w:t>PCBS</w:t>
      </w:r>
      <w:r w:rsidR="00F7661B">
        <w:rPr>
          <w:rFonts w:asciiTheme="majorBidi" w:hAnsiTheme="majorBidi" w:cstheme="majorBidi"/>
          <w:b w:val="0"/>
          <w:bCs w:val="0"/>
          <w:sz w:val="28"/>
          <w:szCs w:val="28"/>
        </w:rPr>
        <w:t>’s</w:t>
      </w:r>
      <w:r w:rsidR="00704BDD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implementation of </w:t>
      </w:r>
      <w:r w:rsidR="0028450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the </w:t>
      </w:r>
      <w:r w:rsidR="00704BDD" w:rsidRPr="00ED63A8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PMICS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in its sixth </w:t>
      </w:r>
      <w:r w:rsidR="00704BDD">
        <w:rPr>
          <w:rFonts w:asciiTheme="majorBidi" w:hAnsiTheme="majorBidi" w:cstheme="majorBidi"/>
          <w:b w:val="0"/>
          <w:bCs w:val="0"/>
          <w:sz w:val="28"/>
          <w:szCs w:val="28"/>
        </w:rPr>
        <w:t>round</w:t>
      </w:r>
      <w:r w:rsidR="00704BDD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8919D1" w:rsidRPr="005A2C70">
        <w:rPr>
          <w:rFonts w:asciiTheme="majorBidi" w:hAnsiTheme="majorBidi" w:cstheme="majorBidi"/>
          <w:b w:val="0"/>
          <w:bCs w:val="0"/>
          <w:sz w:val="28"/>
          <w:szCs w:val="28"/>
        </w:rPr>
        <w:t>in December 2019 - January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2020</w:t>
      </w:r>
      <w:r w:rsidR="00AF06D0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AF06D0">
        <w:rPr>
          <w:rFonts w:asciiTheme="majorBidi" w:hAnsiTheme="majorBidi" w:cstheme="majorBidi"/>
          <w:b w:val="0"/>
          <w:bCs w:val="0"/>
          <w:sz w:val="28"/>
          <w:szCs w:val="28"/>
        </w:rPr>
        <w:t>The MICS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was implemented with technical and financial support from UNICEF</w:t>
      </w:r>
      <w:r w:rsidR="00D80543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r w:rsidR="00BA1C99" w:rsidRPr="00BA1C99">
        <w:rPr>
          <w:rFonts w:asciiTheme="majorBidi" w:hAnsiTheme="majorBidi" w:cstheme="majorBidi"/>
          <w:b w:val="0"/>
          <w:bCs w:val="0"/>
          <w:sz w:val="28"/>
          <w:szCs w:val="28"/>
        </w:rPr>
        <w:t>the French Development Agency</w:t>
      </w:r>
      <w:r w:rsidR="00BA1C99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(AFD)</w:t>
      </w:r>
      <w:r w:rsidR="00BA1C99" w:rsidRPr="00BA1C99">
        <w:rPr>
          <w:rFonts w:asciiTheme="majorBidi" w:hAnsiTheme="majorBidi" w:cstheme="majorBidi"/>
          <w:b w:val="0"/>
          <w:bCs w:val="0"/>
          <w:sz w:val="28"/>
          <w:szCs w:val="28"/>
        </w:rPr>
        <w:t>, and the French Ministry of Foreign Affairs</w:t>
      </w:r>
      <w:r w:rsidR="00D80543">
        <w:rPr>
          <w:rFonts w:asciiTheme="majorBidi" w:hAnsiTheme="majorBidi" w:cstheme="majorBidi"/>
          <w:b w:val="0"/>
          <w:bCs w:val="0"/>
          <w:sz w:val="28"/>
          <w:szCs w:val="28"/>
        </w:rPr>
        <w:t>, and UNFPA</w:t>
      </w:r>
      <w:r w:rsidR="0028450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927CAD">
        <w:rPr>
          <w:rFonts w:asciiTheme="majorBidi" w:hAnsiTheme="majorBidi" w:cstheme="majorBidi"/>
          <w:b w:val="0"/>
          <w:bCs w:val="0"/>
          <w:sz w:val="28"/>
          <w:szCs w:val="28"/>
        </w:rPr>
        <w:t>through</w:t>
      </w:r>
      <w:r w:rsidR="0028450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 </w:t>
      </w:r>
      <w:r w:rsidR="00927CA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survey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sample of 10,080 </w:t>
      </w:r>
      <w:r w:rsidR="00B45939">
        <w:rPr>
          <w:rFonts w:asciiTheme="majorBidi" w:hAnsiTheme="majorBidi" w:cstheme="majorBidi"/>
          <w:b w:val="0"/>
          <w:bCs w:val="0"/>
          <w:sz w:val="28"/>
          <w:szCs w:val="28"/>
        </w:rPr>
        <w:t>household</w:t>
      </w:r>
      <w:r w:rsidR="00B45939" w:rsidRPr="005A2C70">
        <w:rPr>
          <w:rFonts w:asciiTheme="majorBidi" w:hAnsiTheme="majorBidi" w:cstheme="majorBidi"/>
          <w:b w:val="0"/>
          <w:bCs w:val="0"/>
          <w:sz w:val="28"/>
          <w:szCs w:val="28"/>
        </w:rPr>
        <w:t>s</w:t>
      </w:r>
      <w:r w:rsidR="009247AD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14:paraId="6E891540" w14:textId="77777777" w:rsidR="00824F0C" w:rsidRPr="005A2C70" w:rsidRDefault="00824F0C" w:rsidP="00074E9C">
      <w:pPr>
        <w:pStyle w:val="Title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14:paraId="1C012353" w14:textId="16FC90AC" w:rsidR="00824F0C" w:rsidRPr="005A2C70" w:rsidRDefault="00B45939" w:rsidP="00504F70">
      <w:pPr>
        <w:pStyle w:val="Title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>Dr. Awad</w:t>
      </w:r>
      <w:r w:rsidR="009247A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927CAD">
        <w:rPr>
          <w:rFonts w:asciiTheme="majorBidi" w:hAnsiTheme="majorBidi" w:cstheme="majorBidi"/>
          <w:b w:val="0"/>
          <w:bCs w:val="0"/>
          <w:sz w:val="28"/>
          <w:szCs w:val="28"/>
        </w:rPr>
        <w:t>stated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that the main objectives of </w:t>
      </w:r>
      <w:r w:rsidR="009247AD" w:rsidRPr="005A2C70">
        <w:rPr>
          <w:rFonts w:asciiTheme="majorBidi" w:hAnsiTheme="majorBidi" w:cstheme="majorBidi"/>
          <w:b w:val="0"/>
          <w:bCs w:val="0"/>
          <w:sz w:val="28"/>
          <w:szCs w:val="28"/>
        </w:rPr>
        <w:t>th</w:t>
      </w:r>
      <w:r w:rsidR="009247AD">
        <w:rPr>
          <w:rFonts w:asciiTheme="majorBidi" w:hAnsiTheme="majorBidi" w:cstheme="majorBidi"/>
          <w:b w:val="0"/>
          <w:bCs w:val="0"/>
          <w:sz w:val="28"/>
          <w:szCs w:val="28"/>
        </w:rPr>
        <w:t>is</w:t>
      </w:r>
      <w:r w:rsidR="009247AD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survey </w:t>
      </w:r>
      <w:r w:rsidR="00AF06D0">
        <w:rPr>
          <w:rFonts w:asciiTheme="majorBidi" w:hAnsiTheme="majorBidi" w:cstheme="majorBidi"/>
          <w:b w:val="0"/>
          <w:bCs w:val="0"/>
          <w:sz w:val="28"/>
          <w:szCs w:val="28"/>
        </w:rPr>
        <w:t>we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re to provide </w:t>
      </w:r>
      <w:r w:rsidR="00504F70">
        <w:rPr>
          <w:rFonts w:asciiTheme="majorBidi" w:hAnsiTheme="majorBidi" w:cstheme="majorBidi"/>
          <w:b w:val="0"/>
          <w:bCs w:val="0"/>
          <w:sz w:val="28"/>
          <w:szCs w:val="28"/>
        </w:rPr>
        <w:t>updated</w:t>
      </w:r>
      <w:r w:rsidR="00504F70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data </w:t>
      </w:r>
      <w:r w:rsidR="009247AD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necessary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>to assess the situation of children and women</w:t>
      </w:r>
      <w:r w:rsidR="009247AD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contribute to increasing awareness of issues related to </w:t>
      </w:r>
      <w:r w:rsidR="009247AD">
        <w:rPr>
          <w:rFonts w:asciiTheme="majorBidi" w:hAnsiTheme="majorBidi" w:cstheme="majorBidi"/>
          <w:b w:val="0"/>
          <w:bCs w:val="0"/>
          <w:sz w:val="28"/>
          <w:szCs w:val="28"/>
        </w:rPr>
        <w:t>household</w:t>
      </w:r>
      <w:r w:rsidR="009247AD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>and reproductive health</w:t>
      </w:r>
      <w:r w:rsidR="00927CAD">
        <w:rPr>
          <w:rFonts w:asciiTheme="majorBidi" w:hAnsiTheme="majorBidi" w:cstheme="majorBidi"/>
          <w:b w:val="0"/>
          <w:bCs w:val="0"/>
          <w:sz w:val="28"/>
          <w:szCs w:val="28"/>
        </w:rPr>
        <w:t>. It also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provid</w:t>
      </w:r>
      <w:r w:rsidR="00BF41F6">
        <w:rPr>
          <w:rFonts w:asciiTheme="majorBidi" w:hAnsiTheme="majorBidi" w:cstheme="majorBidi"/>
          <w:b w:val="0"/>
          <w:bCs w:val="0"/>
          <w:sz w:val="28"/>
          <w:szCs w:val="28"/>
        </w:rPr>
        <w:t>e</w:t>
      </w:r>
      <w:r w:rsidR="00927CAD">
        <w:rPr>
          <w:rFonts w:asciiTheme="majorBidi" w:hAnsiTheme="majorBidi" w:cstheme="majorBidi"/>
          <w:b w:val="0"/>
          <w:bCs w:val="0"/>
          <w:sz w:val="28"/>
          <w:szCs w:val="28"/>
        </w:rPr>
        <w:t>d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the </w:t>
      </w:r>
      <w:r w:rsidR="00BF41F6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data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necessary to evaluate the progress made towards achieving </w:t>
      </w:r>
      <w:r w:rsidR="00927CA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the </w:t>
      </w:r>
      <w:r w:rsidR="009247AD">
        <w:rPr>
          <w:rFonts w:asciiTheme="majorBidi" w:hAnsiTheme="majorBidi" w:cstheme="majorBidi"/>
          <w:b w:val="0"/>
          <w:bCs w:val="0"/>
          <w:sz w:val="28"/>
          <w:szCs w:val="28"/>
        </w:rPr>
        <w:t>SDG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2030 and other</w:t>
      </w:r>
      <w:r w:rsidR="009247A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internationally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agreed goals</w:t>
      </w:r>
      <w:r w:rsidR="00BF41F6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In addition</w:t>
      </w:r>
      <w:r w:rsidR="009247AD">
        <w:rPr>
          <w:rFonts w:asciiTheme="majorBidi" w:hAnsiTheme="majorBidi" w:cstheme="majorBidi"/>
          <w:b w:val="0"/>
          <w:bCs w:val="0"/>
          <w:sz w:val="28"/>
          <w:szCs w:val="28"/>
        </w:rPr>
        <w:t>, th</w:t>
      </w:r>
      <w:r w:rsidR="00350058">
        <w:rPr>
          <w:rFonts w:asciiTheme="majorBidi" w:hAnsiTheme="majorBidi" w:cstheme="majorBidi"/>
          <w:b w:val="0"/>
          <w:bCs w:val="0"/>
          <w:sz w:val="28"/>
          <w:szCs w:val="28"/>
        </w:rPr>
        <w:t>e MICS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1F1C96">
        <w:rPr>
          <w:rFonts w:asciiTheme="majorBidi" w:hAnsiTheme="majorBidi" w:cstheme="majorBidi"/>
          <w:b w:val="0"/>
          <w:bCs w:val="0"/>
          <w:sz w:val="28"/>
          <w:szCs w:val="28"/>
        </w:rPr>
        <w:t>has made data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available to decision-makers and policy-makers to monitor, develop or modify </w:t>
      </w:r>
      <w:r w:rsidR="00916BF4">
        <w:rPr>
          <w:rFonts w:asciiTheme="majorBidi" w:hAnsiTheme="majorBidi" w:cstheme="majorBidi"/>
          <w:b w:val="0"/>
          <w:bCs w:val="0"/>
          <w:sz w:val="28"/>
          <w:szCs w:val="28"/>
        </w:rPr>
        <w:t>services</w:t>
      </w:r>
      <w:r w:rsidR="009909BD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="009B2136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9909BD">
        <w:rPr>
          <w:rFonts w:asciiTheme="majorBidi" w:hAnsiTheme="majorBidi" w:cstheme="majorBidi"/>
          <w:b w:val="0"/>
          <w:bCs w:val="0"/>
          <w:sz w:val="28"/>
          <w:szCs w:val="28"/>
        </w:rPr>
        <w:t>The survey also support</w:t>
      </w:r>
      <w:r w:rsidR="001F1C96">
        <w:rPr>
          <w:rFonts w:asciiTheme="majorBidi" w:hAnsiTheme="majorBidi" w:cstheme="majorBidi"/>
          <w:b w:val="0"/>
          <w:bCs w:val="0"/>
          <w:sz w:val="28"/>
          <w:szCs w:val="28"/>
        </w:rPr>
        <w:t>s</w:t>
      </w:r>
      <w:r w:rsidR="009909B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the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>identif</w:t>
      </w:r>
      <w:r w:rsidR="009909B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ication of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>necessary intervention</w:t>
      </w:r>
      <w:r w:rsidR="00AF06D0">
        <w:rPr>
          <w:rFonts w:asciiTheme="majorBidi" w:hAnsiTheme="majorBidi" w:cstheme="majorBidi"/>
          <w:b w:val="0"/>
          <w:bCs w:val="0"/>
          <w:sz w:val="28"/>
          <w:szCs w:val="28"/>
        </w:rPr>
        <w:t>s</w:t>
      </w:r>
      <w:r w:rsidR="00071732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1F1C96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and </w:t>
      </w:r>
      <w:r w:rsidR="009B2136" w:rsidRPr="005A2C70">
        <w:rPr>
          <w:rFonts w:asciiTheme="majorBidi" w:hAnsiTheme="majorBidi" w:cstheme="majorBidi"/>
          <w:b w:val="0"/>
          <w:bCs w:val="0"/>
          <w:sz w:val="28"/>
          <w:szCs w:val="28"/>
        </w:rPr>
        <w:t>contribut</w:t>
      </w:r>
      <w:r w:rsidR="00071732">
        <w:rPr>
          <w:rFonts w:asciiTheme="majorBidi" w:hAnsiTheme="majorBidi" w:cstheme="majorBidi"/>
          <w:b w:val="0"/>
          <w:bCs w:val="0"/>
          <w:sz w:val="28"/>
          <w:szCs w:val="28"/>
        </w:rPr>
        <w:t>e</w:t>
      </w:r>
      <w:r w:rsidR="001F1C96">
        <w:rPr>
          <w:rFonts w:asciiTheme="majorBidi" w:hAnsiTheme="majorBidi" w:cstheme="majorBidi"/>
          <w:b w:val="0"/>
          <w:bCs w:val="0"/>
          <w:sz w:val="28"/>
          <w:szCs w:val="28"/>
        </w:rPr>
        <w:t>s</w:t>
      </w:r>
      <w:r w:rsidR="009B2136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>to improving data monitoring systems in Palestine</w:t>
      </w:r>
      <w:r w:rsidR="001F1C96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and </w:t>
      </w:r>
      <w:r w:rsidR="009B2136" w:rsidRPr="005A2C70">
        <w:rPr>
          <w:rFonts w:asciiTheme="majorBidi" w:hAnsiTheme="majorBidi" w:cstheme="majorBidi"/>
          <w:b w:val="0"/>
          <w:bCs w:val="0"/>
          <w:sz w:val="28"/>
          <w:szCs w:val="28"/>
        </w:rPr>
        <w:t>enhanc</w:t>
      </w:r>
      <w:r w:rsidR="009B2136">
        <w:rPr>
          <w:rFonts w:asciiTheme="majorBidi" w:hAnsiTheme="majorBidi" w:cstheme="majorBidi"/>
          <w:b w:val="0"/>
          <w:bCs w:val="0"/>
          <w:sz w:val="28"/>
          <w:szCs w:val="28"/>
        </w:rPr>
        <w:t>ing</w:t>
      </w:r>
      <w:r w:rsidR="009B2136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9B2136">
        <w:rPr>
          <w:rFonts w:asciiTheme="majorBidi" w:hAnsiTheme="majorBidi" w:cstheme="majorBidi"/>
          <w:b w:val="0"/>
          <w:bCs w:val="0"/>
          <w:sz w:val="28"/>
          <w:szCs w:val="28"/>
        </w:rPr>
        <w:t>t</w:t>
      </w:r>
      <w:r w:rsidR="009B2136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echnical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>expertise in designing and implementing systems</w:t>
      </w:r>
      <w:r w:rsidR="009B2136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14:paraId="72B4F05B" w14:textId="77777777" w:rsidR="00824F0C" w:rsidRPr="005A2C70" w:rsidRDefault="00824F0C" w:rsidP="00074E9C">
      <w:pPr>
        <w:pStyle w:val="Title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14:paraId="2275BEA8" w14:textId="5613EAF4" w:rsidR="00D340D3" w:rsidRPr="00D340D3" w:rsidRDefault="00C94FAC" w:rsidP="00A66D5A">
      <w:pPr>
        <w:pStyle w:val="Title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5A2C70">
        <w:rPr>
          <w:rFonts w:asciiTheme="majorBidi" w:hAnsiTheme="majorBidi" w:cstheme="majorBidi"/>
          <w:b w:val="0"/>
          <w:bCs w:val="0"/>
          <w:sz w:val="28"/>
          <w:szCs w:val="28"/>
        </w:rPr>
        <w:t>Ms. Lucia Elmi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1F1C96">
        <w:rPr>
          <w:rFonts w:asciiTheme="majorBidi" w:hAnsiTheme="majorBidi" w:cstheme="majorBidi"/>
          <w:b w:val="0"/>
          <w:bCs w:val="0"/>
          <w:sz w:val="28"/>
          <w:szCs w:val="28"/>
        </w:rPr>
        <w:t>highlighted</w:t>
      </w:r>
      <w:r w:rsidR="001F1C96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>that the MICS</w:t>
      </w:r>
      <w:r w:rsidR="00F226C3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survey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is an international program for conducting household surveys</w:t>
      </w:r>
      <w:r w:rsidR="001F1C96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prepared and developed by UNICEF</w:t>
      </w:r>
      <w:r w:rsidR="00F226C3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F226C3">
        <w:rPr>
          <w:rFonts w:asciiTheme="majorBidi" w:hAnsiTheme="majorBidi" w:cstheme="majorBidi"/>
          <w:b w:val="0"/>
          <w:bCs w:val="0"/>
          <w:sz w:val="28"/>
          <w:szCs w:val="28"/>
        </w:rPr>
        <w:t>I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>t</w:t>
      </w:r>
      <w:r w:rsidR="006075A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 purpose is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to collect statistics on the main indicators used in assessing the </w:t>
      </w:r>
      <w:r w:rsidR="00125787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children’s and women’s rights, including on the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>health</w:t>
      </w:r>
      <w:r w:rsidR="00125787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nutrition</w:t>
      </w:r>
      <w:r w:rsidR="00125787">
        <w:rPr>
          <w:rFonts w:asciiTheme="majorBidi" w:hAnsiTheme="majorBidi" w:cstheme="majorBidi"/>
          <w:b w:val="0"/>
          <w:bCs w:val="0"/>
          <w:sz w:val="28"/>
          <w:szCs w:val="28"/>
        </w:rPr>
        <w:t>, education and protection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status of children, as well as maternal health and household conditions. The survey included five questionnaires: a household questionnaire, a questionnaire for women age</w:t>
      </w:r>
      <w:r w:rsidR="005B1028">
        <w:rPr>
          <w:rFonts w:asciiTheme="majorBidi" w:hAnsiTheme="majorBidi" w:cstheme="majorBidi"/>
          <w:b w:val="0"/>
          <w:bCs w:val="0"/>
          <w:sz w:val="28"/>
          <w:szCs w:val="28"/>
        </w:rPr>
        <w:t>d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15-49 years, a questionnaire for children from the age</w:t>
      </w:r>
      <w:r w:rsidR="005B1028">
        <w:rPr>
          <w:rFonts w:asciiTheme="majorBidi" w:hAnsiTheme="majorBidi" w:cstheme="majorBidi"/>
          <w:b w:val="0"/>
          <w:bCs w:val="0"/>
          <w:sz w:val="28"/>
          <w:szCs w:val="28"/>
        </w:rPr>
        <w:t>s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of 5-17 years old, a </w:t>
      </w:r>
      <w:r w:rsidR="00A66D5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questionnaire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for children under five years of age, and a </w:t>
      </w:r>
      <w:r w:rsidR="00A66D5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questionnaire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for </w:t>
      </w:r>
      <w:r w:rsidR="009278C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testing </w:t>
      </w:r>
      <w:r w:rsidR="00824F0C" w:rsidRPr="005A2C70">
        <w:rPr>
          <w:rFonts w:asciiTheme="majorBidi" w:hAnsiTheme="majorBidi" w:cstheme="majorBidi"/>
          <w:b w:val="0"/>
          <w:bCs w:val="0"/>
          <w:sz w:val="28"/>
          <w:szCs w:val="28"/>
        </w:rPr>
        <w:t>water quality.</w:t>
      </w:r>
      <w:r w:rsidR="00D340D3">
        <w:rPr>
          <w:rFonts w:asciiTheme="majorBidi" w:hAnsiTheme="majorBidi" w:cstheme="majorBidi"/>
          <w:b w:val="0"/>
          <w:bCs w:val="0"/>
          <w:sz w:val="28"/>
          <w:szCs w:val="28"/>
        </w:rPr>
        <w:br w:type="page"/>
      </w:r>
    </w:p>
    <w:p w14:paraId="1A200694" w14:textId="77777777" w:rsidR="007A5195" w:rsidRPr="004B384B" w:rsidRDefault="00E9651C" w:rsidP="004B384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</w:t>
      </w:r>
      <w:r w:rsidRPr="00615385">
        <w:rPr>
          <w:rFonts w:asciiTheme="majorBidi" w:hAnsiTheme="majorBidi" w:cstheme="majorBidi"/>
          <w:b/>
          <w:bCs/>
          <w:sz w:val="28"/>
          <w:szCs w:val="28"/>
        </w:rPr>
        <w:t>The Main Findings</w:t>
      </w:r>
      <w:r w:rsidR="00615385" w:rsidRPr="00615385">
        <w:rPr>
          <w:rFonts w:asciiTheme="majorBidi" w:hAnsiTheme="majorBidi" w:cstheme="majorBidi"/>
          <w:b/>
          <w:bCs/>
          <w:sz w:val="28"/>
          <w:szCs w:val="28"/>
        </w:rPr>
        <w:t xml:space="preserve"> of the</w:t>
      </w:r>
      <w:r w:rsidRPr="0061538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A7255" w:rsidRPr="00615385">
        <w:rPr>
          <w:rFonts w:asciiTheme="majorBidi" w:hAnsiTheme="majorBidi" w:cstheme="majorBidi"/>
          <w:b/>
          <w:bCs/>
          <w:sz w:val="28"/>
          <w:szCs w:val="28"/>
        </w:rPr>
        <w:t>Palestinian Multiple Indicator</w:t>
      </w:r>
      <w:r w:rsidR="00CD6A9E" w:rsidRPr="00615385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5A7255" w:rsidRPr="00615385">
        <w:rPr>
          <w:rFonts w:asciiTheme="majorBidi" w:hAnsiTheme="majorBidi" w:cstheme="majorBidi"/>
          <w:b/>
          <w:bCs/>
          <w:sz w:val="28"/>
          <w:szCs w:val="28"/>
        </w:rPr>
        <w:t xml:space="preserve"> Cluster Survey </w:t>
      </w:r>
      <w:r w:rsidR="009278C2">
        <w:rPr>
          <w:rFonts w:asciiTheme="majorBidi" w:hAnsiTheme="majorBidi" w:cstheme="majorBidi"/>
          <w:b/>
          <w:bCs/>
          <w:sz w:val="28"/>
          <w:szCs w:val="28"/>
        </w:rPr>
        <w:t xml:space="preserve">(PMICS) </w:t>
      </w:r>
      <w:r w:rsidR="003A68AC" w:rsidRPr="00615385">
        <w:rPr>
          <w:rFonts w:asciiTheme="majorBidi" w:hAnsiTheme="majorBidi" w:cstheme="majorBidi"/>
          <w:b/>
          <w:bCs/>
          <w:sz w:val="28"/>
          <w:szCs w:val="28"/>
        </w:rPr>
        <w:t>2019-2020</w:t>
      </w:r>
      <w:r w:rsidR="00615385" w:rsidRPr="00615385">
        <w:rPr>
          <w:rFonts w:asciiTheme="majorBidi" w:hAnsiTheme="majorBidi" w:cstheme="majorBidi"/>
          <w:b/>
          <w:bCs/>
          <w:sz w:val="28"/>
          <w:szCs w:val="28"/>
        </w:rPr>
        <w:t xml:space="preserve"> are as follows:</w:t>
      </w:r>
    </w:p>
    <w:p w14:paraId="59A9238C" w14:textId="77777777" w:rsidR="009909DD" w:rsidRPr="00745D22" w:rsidRDefault="009909DD" w:rsidP="009909DD">
      <w:pPr>
        <w:bidi w:val="0"/>
        <w:jc w:val="both"/>
        <w:rPr>
          <w:rFonts w:asciiTheme="majorBidi" w:hAnsiTheme="majorBidi" w:cstheme="majorBidi"/>
          <w:b/>
          <w:bCs/>
          <w:noProof/>
        </w:rPr>
      </w:pPr>
    </w:p>
    <w:p w14:paraId="48C58C26" w14:textId="77777777" w:rsidR="002E27B5" w:rsidRPr="00745D22" w:rsidRDefault="002E27B5" w:rsidP="00F147B4">
      <w:pPr>
        <w:bidi w:val="0"/>
        <w:jc w:val="both"/>
        <w:rPr>
          <w:rFonts w:asciiTheme="majorBidi" w:hAnsiTheme="majorBidi" w:cstheme="majorBidi"/>
          <w:b/>
          <w:bCs/>
          <w:noProof/>
          <w:lang w:val="en-GB"/>
        </w:rPr>
      </w:pPr>
      <w:r w:rsidRPr="00745D22">
        <w:rPr>
          <w:rFonts w:asciiTheme="majorBidi" w:hAnsiTheme="majorBidi" w:cstheme="majorBidi"/>
          <w:b/>
          <w:bCs/>
          <w:noProof/>
          <w:lang w:val="en-GB"/>
        </w:rPr>
        <w:t>Early childhood mortality</w:t>
      </w:r>
    </w:p>
    <w:p w14:paraId="337FAF50" w14:textId="7F6D10D2" w:rsidR="009674EE" w:rsidRPr="00745D22" w:rsidRDefault="002E27B5" w:rsidP="009674EE">
      <w:pPr>
        <w:bidi w:val="0"/>
        <w:jc w:val="both"/>
        <w:rPr>
          <w:rFonts w:asciiTheme="majorBidi" w:hAnsiTheme="majorBidi" w:cstheme="majorBidi"/>
          <w:noProof/>
          <w:lang w:bidi="ar-JO"/>
        </w:rPr>
      </w:pPr>
      <w:r w:rsidRPr="00745D22">
        <w:rPr>
          <w:rFonts w:asciiTheme="majorBidi" w:hAnsiTheme="majorBidi" w:cstheme="majorBidi"/>
          <w:noProof/>
          <w:lang w:val="en-GB"/>
        </w:rPr>
        <w:t>T</w:t>
      </w:r>
      <w:r w:rsidR="009C3270" w:rsidRPr="00745D22">
        <w:rPr>
          <w:rFonts w:asciiTheme="majorBidi" w:hAnsiTheme="majorBidi" w:cstheme="majorBidi"/>
          <w:noProof/>
          <w:lang w:val="en-GB"/>
        </w:rPr>
        <w:t xml:space="preserve">he </w:t>
      </w:r>
      <w:r w:rsidR="009278C2" w:rsidRPr="00745D22">
        <w:rPr>
          <w:rFonts w:asciiTheme="majorBidi" w:hAnsiTheme="majorBidi" w:cstheme="majorBidi"/>
          <w:noProof/>
          <w:lang w:val="en-GB"/>
        </w:rPr>
        <w:t xml:space="preserve">mortality rate </w:t>
      </w:r>
      <w:r w:rsidR="009278C2">
        <w:rPr>
          <w:rFonts w:asciiTheme="majorBidi" w:hAnsiTheme="majorBidi" w:cstheme="majorBidi"/>
          <w:noProof/>
          <w:lang w:val="en-GB"/>
        </w:rPr>
        <w:t xml:space="preserve">among children </w:t>
      </w:r>
      <w:r w:rsidR="009C3270" w:rsidRPr="00745D22">
        <w:rPr>
          <w:rFonts w:asciiTheme="majorBidi" w:hAnsiTheme="majorBidi" w:cstheme="majorBidi"/>
          <w:noProof/>
          <w:lang w:val="en-GB"/>
        </w:rPr>
        <w:t xml:space="preserve">under-five </w:t>
      </w:r>
      <w:r w:rsidR="009278C2">
        <w:rPr>
          <w:rFonts w:asciiTheme="majorBidi" w:hAnsiTheme="majorBidi" w:cstheme="majorBidi"/>
          <w:noProof/>
          <w:lang w:val="en-GB"/>
        </w:rPr>
        <w:t>years</w:t>
      </w:r>
      <w:r w:rsidR="00312688">
        <w:rPr>
          <w:rFonts w:asciiTheme="majorBidi" w:hAnsiTheme="majorBidi" w:cstheme="majorBidi"/>
          <w:noProof/>
          <w:lang w:val="en-GB"/>
        </w:rPr>
        <w:t xml:space="preserve"> </w:t>
      </w:r>
      <w:r w:rsidR="009C3270" w:rsidRPr="00745D22">
        <w:rPr>
          <w:rFonts w:asciiTheme="majorBidi" w:hAnsiTheme="majorBidi" w:cstheme="majorBidi"/>
          <w:noProof/>
          <w:lang w:val="en-GB"/>
        </w:rPr>
        <w:t xml:space="preserve">in Palestine </w:t>
      </w:r>
      <w:r w:rsidR="009C3270" w:rsidRPr="00745D22">
        <w:rPr>
          <w:rFonts w:asciiTheme="majorBidi" w:hAnsiTheme="majorBidi" w:cstheme="majorBidi"/>
          <w:noProof/>
        </w:rPr>
        <w:t xml:space="preserve">was </w:t>
      </w:r>
      <w:r w:rsidR="001C4A27" w:rsidRPr="00745D22">
        <w:rPr>
          <w:rFonts w:asciiTheme="majorBidi" w:hAnsiTheme="majorBidi" w:cstheme="majorBidi" w:hint="cs"/>
          <w:noProof/>
          <w:rtl/>
        </w:rPr>
        <w:t>14</w:t>
      </w:r>
      <w:r w:rsidR="009C3270" w:rsidRPr="00745D22">
        <w:rPr>
          <w:rFonts w:asciiTheme="majorBidi" w:hAnsiTheme="majorBidi" w:cstheme="majorBidi"/>
          <w:noProof/>
        </w:rPr>
        <w:t xml:space="preserve"> per 1000 live births; </w:t>
      </w:r>
      <w:r w:rsidR="001C4A27" w:rsidRPr="00745D22">
        <w:rPr>
          <w:rFonts w:asciiTheme="majorBidi" w:hAnsiTheme="majorBidi" w:cstheme="majorBidi"/>
          <w:noProof/>
        </w:rPr>
        <w:t>15</w:t>
      </w:r>
      <w:r w:rsidR="009C3270" w:rsidRPr="00745D22">
        <w:rPr>
          <w:rFonts w:asciiTheme="majorBidi" w:hAnsiTheme="majorBidi" w:cstheme="majorBidi"/>
          <w:noProof/>
        </w:rPr>
        <w:t xml:space="preserve"> in the West Bank </w:t>
      </w:r>
      <w:r w:rsidR="001C4A27" w:rsidRPr="00745D22">
        <w:rPr>
          <w:rFonts w:asciiTheme="majorBidi" w:hAnsiTheme="majorBidi" w:cstheme="majorBidi"/>
          <w:noProof/>
        </w:rPr>
        <w:t>and</w:t>
      </w:r>
      <w:r w:rsidR="009C3270" w:rsidRPr="00745D22">
        <w:rPr>
          <w:rFonts w:asciiTheme="majorBidi" w:hAnsiTheme="majorBidi" w:cstheme="majorBidi"/>
          <w:noProof/>
        </w:rPr>
        <w:t xml:space="preserve"> </w:t>
      </w:r>
      <w:r w:rsidR="001C4A27" w:rsidRPr="00745D22">
        <w:rPr>
          <w:rFonts w:asciiTheme="majorBidi" w:hAnsiTheme="majorBidi" w:cstheme="majorBidi"/>
          <w:noProof/>
        </w:rPr>
        <w:t>14</w:t>
      </w:r>
      <w:r w:rsidR="009C3270" w:rsidRPr="00745D22">
        <w:rPr>
          <w:rFonts w:asciiTheme="majorBidi" w:hAnsiTheme="majorBidi" w:cstheme="majorBidi"/>
          <w:noProof/>
        </w:rPr>
        <w:t xml:space="preserve"> in </w:t>
      </w:r>
      <w:r w:rsidR="00312688">
        <w:rPr>
          <w:rFonts w:asciiTheme="majorBidi" w:hAnsiTheme="majorBidi" w:cstheme="majorBidi"/>
          <w:noProof/>
        </w:rPr>
        <w:t xml:space="preserve">the </w:t>
      </w:r>
      <w:r w:rsidR="009C3270" w:rsidRPr="00745D22">
        <w:rPr>
          <w:rFonts w:asciiTheme="majorBidi" w:hAnsiTheme="majorBidi" w:cstheme="majorBidi"/>
          <w:noProof/>
        </w:rPr>
        <w:t>Gaza Strip. On the other hand</w:t>
      </w:r>
      <w:r w:rsidR="009278C2">
        <w:rPr>
          <w:rFonts w:asciiTheme="majorBidi" w:hAnsiTheme="majorBidi" w:cstheme="majorBidi"/>
          <w:noProof/>
        </w:rPr>
        <w:t>,</w:t>
      </w:r>
      <w:r w:rsidR="009C3270" w:rsidRPr="00745D22">
        <w:rPr>
          <w:rFonts w:asciiTheme="majorBidi" w:hAnsiTheme="majorBidi" w:cstheme="majorBidi"/>
          <w:noProof/>
        </w:rPr>
        <w:t xml:space="preserve"> infant mortality rates </w:t>
      </w:r>
      <w:r w:rsidR="009C3270" w:rsidRPr="00745D22">
        <w:rPr>
          <w:rFonts w:asciiTheme="majorBidi" w:hAnsiTheme="majorBidi" w:cstheme="majorBidi"/>
          <w:noProof/>
          <w:lang w:val="en-GB"/>
        </w:rPr>
        <w:t xml:space="preserve">in Palestine </w:t>
      </w:r>
      <w:r w:rsidR="009C3270" w:rsidRPr="00745D22">
        <w:rPr>
          <w:rFonts w:asciiTheme="majorBidi" w:hAnsiTheme="majorBidi" w:cstheme="majorBidi"/>
          <w:noProof/>
        </w:rPr>
        <w:t xml:space="preserve">reached </w:t>
      </w:r>
      <w:r w:rsidR="001C4A27" w:rsidRPr="00745D22">
        <w:rPr>
          <w:rFonts w:asciiTheme="majorBidi" w:hAnsiTheme="majorBidi" w:cstheme="majorBidi"/>
          <w:noProof/>
        </w:rPr>
        <w:t>12</w:t>
      </w:r>
      <w:r w:rsidR="009C3270" w:rsidRPr="00745D22">
        <w:rPr>
          <w:rFonts w:asciiTheme="majorBidi" w:hAnsiTheme="majorBidi" w:cstheme="majorBidi"/>
          <w:noProof/>
        </w:rPr>
        <w:t xml:space="preserve"> per 1000 live births; </w:t>
      </w:r>
      <w:r w:rsidR="001C4A27" w:rsidRPr="00745D22">
        <w:rPr>
          <w:rFonts w:asciiTheme="majorBidi" w:hAnsiTheme="majorBidi" w:cstheme="majorBidi"/>
          <w:noProof/>
        </w:rPr>
        <w:t>12</w:t>
      </w:r>
      <w:r w:rsidR="009C3270" w:rsidRPr="00745D22">
        <w:rPr>
          <w:rFonts w:asciiTheme="majorBidi" w:hAnsiTheme="majorBidi" w:cstheme="majorBidi"/>
          <w:noProof/>
        </w:rPr>
        <w:t xml:space="preserve"> in the West Bank and </w:t>
      </w:r>
      <w:r w:rsidR="001C4A27" w:rsidRPr="00745D22">
        <w:rPr>
          <w:rFonts w:asciiTheme="majorBidi" w:hAnsiTheme="majorBidi" w:cstheme="majorBidi"/>
          <w:noProof/>
        </w:rPr>
        <w:t>13</w:t>
      </w:r>
      <w:r w:rsidR="009C3270" w:rsidRPr="00745D22">
        <w:rPr>
          <w:rFonts w:asciiTheme="majorBidi" w:hAnsiTheme="majorBidi" w:cstheme="majorBidi"/>
          <w:noProof/>
        </w:rPr>
        <w:t xml:space="preserve"> in </w:t>
      </w:r>
      <w:r w:rsidR="00312688">
        <w:rPr>
          <w:rFonts w:asciiTheme="majorBidi" w:hAnsiTheme="majorBidi" w:cstheme="majorBidi"/>
          <w:noProof/>
        </w:rPr>
        <w:t xml:space="preserve">the </w:t>
      </w:r>
      <w:r w:rsidR="009C3270" w:rsidRPr="00745D22">
        <w:rPr>
          <w:rFonts w:asciiTheme="majorBidi" w:hAnsiTheme="majorBidi" w:cstheme="majorBidi"/>
          <w:noProof/>
        </w:rPr>
        <w:t>Gaza Strip.</w:t>
      </w:r>
      <w:r w:rsidR="009674EE">
        <w:rPr>
          <w:rFonts w:asciiTheme="majorBidi" w:hAnsiTheme="majorBidi" w:cstheme="majorBidi"/>
          <w:noProof/>
        </w:rPr>
        <w:t xml:space="preserve"> </w:t>
      </w:r>
      <w:r w:rsidR="00C66A45">
        <w:rPr>
          <w:rFonts w:asciiTheme="majorBidi" w:hAnsiTheme="majorBidi" w:cstheme="majorBidi"/>
          <w:noProof/>
        </w:rPr>
        <w:t>Data also indicated a decline in the child mortality rate during the past ten years, where this percent</w:t>
      </w:r>
      <w:r w:rsidR="00A66D5A">
        <w:rPr>
          <w:rFonts w:asciiTheme="majorBidi" w:hAnsiTheme="majorBidi" w:cstheme="majorBidi"/>
          <w:noProof/>
        </w:rPr>
        <w:t>a</w:t>
      </w:r>
      <w:r w:rsidR="00C66A45">
        <w:rPr>
          <w:rFonts w:asciiTheme="majorBidi" w:hAnsiTheme="majorBidi" w:cstheme="majorBidi"/>
          <w:noProof/>
        </w:rPr>
        <w:t>ge reached 15 childern per 100</w:t>
      </w:r>
      <w:r w:rsidR="00ED266E">
        <w:rPr>
          <w:rFonts w:asciiTheme="majorBidi" w:hAnsiTheme="majorBidi" w:cstheme="majorBidi"/>
          <w:noProof/>
        </w:rPr>
        <w:t>0</w:t>
      </w:r>
      <w:r w:rsidR="00C66A45">
        <w:rPr>
          <w:rFonts w:asciiTheme="majorBidi" w:hAnsiTheme="majorBidi" w:cstheme="majorBidi"/>
          <w:noProof/>
        </w:rPr>
        <w:t xml:space="preserve"> live births.</w:t>
      </w:r>
    </w:p>
    <w:p w14:paraId="44756D0C" w14:textId="77777777" w:rsidR="00574873" w:rsidRPr="00745D22" w:rsidRDefault="00574873" w:rsidP="00F147B4">
      <w:pPr>
        <w:bidi w:val="0"/>
        <w:jc w:val="both"/>
        <w:rPr>
          <w:rFonts w:asciiTheme="majorBidi" w:hAnsiTheme="majorBidi" w:cstheme="majorBidi"/>
        </w:rPr>
      </w:pPr>
    </w:p>
    <w:p w14:paraId="67E54F28" w14:textId="77777777" w:rsidR="00326D2D" w:rsidRDefault="00574873" w:rsidP="00326D2D">
      <w:pPr>
        <w:bidi w:val="0"/>
        <w:jc w:val="both"/>
        <w:rPr>
          <w:rFonts w:asciiTheme="majorBidi" w:hAnsiTheme="majorBidi" w:cstheme="majorBidi"/>
          <w:b/>
          <w:bCs/>
        </w:rPr>
      </w:pPr>
      <w:r w:rsidRPr="00745D22">
        <w:rPr>
          <w:rFonts w:asciiTheme="majorBidi" w:hAnsiTheme="majorBidi" w:cstheme="majorBidi"/>
          <w:b/>
          <w:bCs/>
          <w:noProof/>
        </w:rPr>
        <w:t xml:space="preserve">Total </w:t>
      </w:r>
      <w:r w:rsidRPr="00745D22">
        <w:rPr>
          <w:rFonts w:asciiTheme="majorBidi" w:hAnsiTheme="majorBidi" w:cstheme="majorBidi"/>
          <w:b/>
          <w:bCs/>
        </w:rPr>
        <w:t>Fertility Rates</w:t>
      </w:r>
    </w:p>
    <w:p w14:paraId="631A9DA7" w14:textId="7DCED088" w:rsidR="00326D2D" w:rsidRDefault="009278C2" w:rsidP="00326D2D">
      <w:pPr>
        <w:bidi w:val="0"/>
        <w:jc w:val="both"/>
        <w:rPr>
          <w:rFonts w:asciiTheme="majorBidi" w:hAnsiTheme="majorBidi" w:cstheme="majorBidi"/>
          <w:b/>
          <w:bCs/>
          <w:noProof/>
        </w:rPr>
      </w:pPr>
      <w:r>
        <w:rPr>
          <w:rFonts w:asciiTheme="majorBidi" w:hAnsiTheme="majorBidi" w:cstheme="majorBidi"/>
          <w:noProof/>
        </w:rPr>
        <w:t>T</w:t>
      </w:r>
      <w:r w:rsidR="00574873" w:rsidRPr="00745D22">
        <w:rPr>
          <w:rFonts w:asciiTheme="majorBidi" w:hAnsiTheme="majorBidi" w:cstheme="majorBidi"/>
          <w:noProof/>
        </w:rPr>
        <w:t>otal fertility rate</w:t>
      </w:r>
      <w:r>
        <w:rPr>
          <w:rFonts w:asciiTheme="majorBidi" w:hAnsiTheme="majorBidi" w:cstheme="majorBidi"/>
          <w:noProof/>
        </w:rPr>
        <w:t>s</w:t>
      </w:r>
      <w:r w:rsidR="00574873" w:rsidRPr="00745D22">
        <w:rPr>
          <w:rFonts w:asciiTheme="majorBidi" w:hAnsiTheme="majorBidi" w:cstheme="majorBidi"/>
          <w:noProof/>
        </w:rPr>
        <w:t xml:space="preserve"> in Palestine </w:t>
      </w:r>
      <w:r>
        <w:rPr>
          <w:rFonts w:asciiTheme="majorBidi" w:hAnsiTheme="majorBidi" w:cstheme="majorBidi"/>
          <w:noProof/>
        </w:rPr>
        <w:t>reached</w:t>
      </w:r>
      <w:r w:rsidRPr="00745D22">
        <w:rPr>
          <w:rFonts w:asciiTheme="majorBidi" w:hAnsiTheme="majorBidi" w:cstheme="majorBidi"/>
          <w:noProof/>
        </w:rPr>
        <w:t xml:space="preserve"> </w:t>
      </w:r>
      <w:r w:rsidR="003244A2" w:rsidRPr="00745D22">
        <w:rPr>
          <w:rFonts w:asciiTheme="majorBidi" w:hAnsiTheme="majorBidi" w:cstheme="majorBidi"/>
          <w:noProof/>
        </w:rPr>
        <w:t>3.8</w:t>
      </w:r>
      <w:r w:rsidR="00574873" w:rsidRPr="00745D22">
        <w:rPr>
          <w:rFonts w:asciiTheme="majorBidi" w:hAnsiTheme="majorBidi" w:cstheme="majorBidi"/>
          <w:noProof/>
        </w:rPr>
        <w:t xml:space="preserve"> births per woman</w:t>
      </w:r>
      <w:r>
        <w:rPr>
          <w:rFonts w:asciiTheme="majorBidi" w:hAnsiTheme="majorBidi" w:cstheme="majorBidi"/>
          <w:noProof/>
        </w:rPr>
        <w:t>;</w:t>
      </w:r>
      <w:r w:rsidR="00ED266E">
        <w:rPr>
          <w:rFonts w:asciiTheme="majorBidi" w:hAnsiTheme="majorBidi" w:cstheme="majorBidi"/>
          <w:noProof/>
        </w:rPr>
        <w:t xml:space="preserve"> </w:t>
      </w:r>
      <w:r w:rsidR="00574873" w:rsidRPr="00745D22">
        <w:rPr>
          <w:rFonts w:asciiTheme="majorBidi" w:hAnsiTheme="majorBidi" w:cstheme="majorBidi"/>
          <w:noProof/>
        </w:rPr>
        <w:t>3.</w:t>
      </w:r>
      <w:r w:rsidR="003244A2" w:rsidRPr="00745D22">
        <w:rPr>
          <w:rFonts w:asciiTheme="majorBidi" w:hAnsiTheme="majorBidi" w:cstheme="majorBidi"/>
          <w:noProof/>
        </w:rPr>
        <w:t>8</w:t>
      </w:r>
      <w:r w:rsidR="00574873" w:rsidRPr="00745D22">
        <w:rPr>
          <w:rFonts w:asciiTheme="majorBidi" w:hAnsiTheme="majorBidi" w:cstheme="majorBidi"/>
          <w:noProof/>
        </w:rPr>
        <w:t xml:space="preserve"> births in the West Bank and </w:t>
      </w:r>
      <w:r w:rsidR="003244A2" w:rsidRPr="00745D22">
        <w:rPr>
          <w:rFonts w:asciiTheme="majorBidi" w:hAnsiTheme="majorBidi" w:cstheme="majorBidi"/>
          <w:noProof/>
        </w:rPr>
        <w:t>3.9</w:t>
      </w:r>
      <w:r w:rsidR="00326D2D">
        <w:rPr>
          <w:rFonts w:asciiTheme="majorBidi" w:hAnsiTheme="majorBidi" w:cstheme="majorBidi"/>
          <w:b/>
          <w:bCs/>
          <w:noProof/>
        </w:rPr>
        <w:t xml:space="preserve"> </w:t>
      </w:r>
      <w:r w:rsidR="00494161" w:rsidRPr="005C3880">
        <w:rPr>
          <w:rFonts w:asciiTheme="majorBidi" w:hAnsiTheme="majorBidi" w:cstheme="majorBidi"/>
          <w:noProof/>
        </w:rPr>
        <w:t xml:space="preserve">births in </w:t>
      </w:r>
      <w:r w:rsidR="00ED266E">
        <w:rPr>
          <w:rFonts w:asciiTheme="majorBidi" w:hAnsiTheme="majorBidi" w:cstheme="majorBidi"/>
          <w:noProof/>
        </w:rPr>
        <w:t xml:space="preserve">the </w:t>
      </w:r>
      <w:r w:rsidR="00494161" w:rsidRPr="005C3880">
        <w:rPr>
          <w:rFonts w:asciiTheme="majorBidi" w:hAnsiTheme="majorBidi" w:cstheme="majorBidi"/>
          <w:noProof/>
        </w:rPr>
        <w:t>Gaza Strip</w:t>
      </w:r>
      <w:r w:rsidR="00326D2D">
        <w:rPr>
          <w:rFonts w:asciiTheme="majorBidi" w:hAnsiTheme="majorBidi" w:cstheme="majorBidi"/>
          <w:b/>
          <w:bCs/>
          <w:noProof/>
        </w:rPr>
        <w:t xml:space="preserve">. </w:t>
      </w:r>
    </w:p>
    <w:p w14:paraId="0222E2C7" w14:textId="77777777" w:rsidR="00ED266E" w:rsidRDefault="00ED266E" w:rsidP="00ED266E">
      <w:pPr>
        <w:bidi w:val="0"/>
        <w:jc w:val="both"/>
        <w:rPr>
          <w:rFonts w:asciiTheme="majorBidi" w:hAnsiTheme="majorBidi" w:cstheme="majorBidi"/>
          <w:b/>
          <w:bCs/>
          <w:noProof/>
        </w:rPr>
      </w:pPr>
    </w:p>
    <w:p w14:paraId="308F0AC9" w14:textId="162B3C35" w:rsidR="00C66A45" w:rsidRPr="00745D22" w:rsidRDefault="00574873" w:rsidP="00C66A45">
      <w:pPr>
        <w:bidi w:val="0"/>
        <w:jc w:val="both"/>
        <w:rPr>
          <w:rFonts w:asciiTheme="majorBidi" w:hAnsiTheme="majorBidi" w:cstheme="majorBidi"/>
          <w:b/>
          <w:bCs/>
          <w:lang w:bidi="ar-JO"/>
        </w:rPr>
      </w:pPr>
      <w:r w:rsidRPr="00745D22">
        <w:rPr>
          <w:rFonts w:asciiTheme="majorBidi" w:hAnsiTheme="majorBidi" w:cstheme="majorBidi"/>
          <w:noProof/>
        </w:rPr>
        <w:t>The</w:t>
      </w:r>
      <w:r w:rsidRPr="00745D22">
        <w:rPr>
          <w:rStyle w:val="2H"/>
          <w:rFonts w:asciiTheme="majorBidi" w:hAnsiTheme="majorBidi" w:cstheme="majorBidi"/>
          <w:lang w:val="en-GB"/>
        </w:rPr>
        <w:t xml:space="preserve"> </w:t>
      </w:r>
      <w:r w:rsidRPr="00745D22">
        <w:rPr>
          <w:rFonts w:asciiTheme="majorBidi" w:hAnsiTheme="majorBidi" w:cstheme="majorBidi"/>
          <w:noProof/>
        </w:rPr>
        <w:t xml:space="preserve">adolescent </w:t>
      </w:r>
      <w:r w:rsidR="009278C2">
        <w:rPr>
          <w:rFonts w:asciiTheme="majorBidi" w:hAnsiTheme="majorBidi" w:cstheme="majorBidi"/>
          <w:noProof/>
        </w:rPr>
        <w:t>fert</w:t>
      </w:r>
      <w:r w:rsidR="00741FC0">
        <w:rPr>
          <w:rFonts w:asciiTheme="majorBidi" w:hAnsiTheme="majorBidi" w:cstheme="majorBidi"/>
          <w:noProof/>
        </w:rPr>
        <w:t>i</w:t>
      </w:r>
      <w:r w:rsidR="009278C2">
        <w:rPr>
          <w:rFonts w:asciiTheme="majorBidi" w:hAnsiTheme="majorBidi" w:cstheme="majorBidi"/>
          <w:noProof/>
        </w:rPr>
        <w:t>lity</w:t>
      </w:r>
      <w:r w:rsidR="009278C2" w:rsidRPr="00745D22">
        <w:rPr>
          <w:rFonts w:asciiTheme="majorBidi" w:hAnsiTheme="majorBidi" w:cstheme="majorBidi"/>
          <w:noProof/>
        </w:rPr>
        <w:t xml:space="preserve"> </w:t>
      </w:r>
      <w:r w:rsidRPr="00745D22">
        <w:rPr>
          <w:rFonts w:asciiTheme="majorBidi" w:hAnsiTheme="majorBidi" w:cstheme="majorBidi"/>
          <w:noProof/>
        </w:rPr>
        <w:t>rate (age 15-19</w:t>
      </w:r>
      <w:r w:rsidR="003244A2" w:rsidRPr="00745D22">
        <w:rPr>
          <w:rFonts w:asciiTheme="majorBidi" w:hAnsiTheme="majorBidi" w:cstheme="majorBidi"/>
          <w:noProof/>
        </w:rPr>
        <w:t xml:space="preserve"> years</w:t>
      </w:r>
      <w:r w:rsidRPr="00745D22">
        <w:rPr>
          <w:rFonts w:asciiTheme="majorBidi" w:hAnsiTheme="majorBidi" w:cstheme="majorBidi"/>
          <w:noProof/>
        </w:rPr>
        <w:t xml:space="preserve">) in Palestine </w:t>
      </w:r>
      <w:r w:rsidR="009278C2">
        <w:rPr>
          <w:rFonts w:asciiTheme="majorBidi" w:hAnsiTheme="majorBidi" w:cstheme="majorBidi"/>
          <w:noProof/>
        </w:rPr>
        <w:t>was</w:t>
      </w:r>
      <w:r w:rsidR="009278C2" w:rsidRPr="00745D22">
        <w:rPr>
          <w:rFonts w:asciiTheme="majorBidi" w:hAnsiTheme="majorBidi" w:cstheme="majorBidi"/>
          <w:noProof/>
        </w:rPr>
        <w:t xml:space="preserve"> </w:t>
      </w:r>
      <w:r w:rsidR="003244A2" w:rsidRPr="00745D22">
        <w:rPr>
          <w:rFonts w:asciiTheme="majorBidi" w:hAnsiTheme="majorBidi" w:cstheme="majorBidi"/>
          <w:noProof/>
        </w:rPr>
        <w:t>43</w:t>
      </w:r>
      <w:r w:rsidRPr="00745D22">
        <w:rPr>
          <w:rFonts w:asciiTheme="majorBidi" w:hAnsiTheme="majorBidi" w:cstheme="majorBidi"/>
          <w:noProof/>
        </w:rPr>
        <w:t xml:space="preserve"> births per 1000 women</w:t>
      </w:r>
      <w:r w:rsidR="009278C2">
        <w:rPr>
          <w:rFonts w:asciiTheme="majorBidi" w:hAnsiTheme="majorBidi" w:cstheme="majorBidi"/>
          <w:noProof/>
        </w:rPr>
        <w:t>.</w:t>
      </w:r>
      <w:r w:rsidR="009278C2" w:rsidRPr="00745D22">
        <w:rPr>
          <w:rFonts w:asciiTheme="majorBidi" w:hAnsiTheme="majorBidi" w:cstheme="majorBidi"/>
          <w:noProof/>
        </w:rPr>
        <w:t xml:space="preserve"> </w:t>
      </w:r>
      <w:r w:rsidR="009278C2">
        <w:rPr>
          <w:rFonts w:asciiTheme="majorBidi" w:hAnsiTheme="majorBidi" w:cstheme="majorBidi"/>
          <w:noProof/>
        </w:rPr>
        <w:t>T</w:t>
      </w:r>
      <w:r w:rsidR="009278C2" w:rsidRPr="00745D22">
        <w:rPr>
          <w:rFonts w:asciiTheme="majorBidi" w:hAnsiTheme="majorBidi" w:cstheme="majorBidi"/>
          <w:noProof/>
        </w:rPr>
        <w:t xml:space="preserve">his </w:t>
      </w:r>
      <w:r w:rsidR="00504F70">
        <w:rPr>
          <w:rFonts w:asciiTheme="majorBidi" w:hAnsiTheme="majorBidi" w:cstheme="majorBidi"/>
          <w:noProof/>
        </w:rPr>
        <w:t>rate</w:t>
      </w:r>
      <w:r w:rsidR="00504F70" w:rsidRPr="00745D22">
        <w:rPr>
          <w:rFonts w:asciiTheme="majorBidi" w:hAnsiTheme="majorBidi" w:cstheme="majorBidi"/>
          <w:noProof/>
        </w:rPr>
        <w:t xml:space="preserve"> </w:t>
      </w:r>
      <w:r w:rsidRPr="00745D22">
        <w:rPr>
          <w:rFonts w:asciiTheme="majorBidi" w:hAnsiTheme="majorBidi" w:cstheme="majorBidi"/>
          <w:noProof/>
        </w:rPr>
        <w:t xml:space="preserve">was higher in </w:t>
      </w:r>
      <w:r w:rsidR="00143662">
        <w:rPr>
          <w:rFonts w:asciiTheme="majorBidi" w:hAnsiTheme="majorBidi" w:cstheme="majorBidi"/>
          <w:noProof/>
        </w:rPr>
        <w:t xml:space="preserve">the </w:t>
      </w:r>
      <w:r w:rsidRPr="00745D22">
        <w:rPr>
          <w:rFonts w:asciiTheme="majorBidi" w:hAnsiTheme="majorBidi" w:cstheme="majorBidi"/>
          <w:noProof/>
        </w:rPr>
        <w:t xml:space="preserve">Gaza Strip </w:t>
      </w:r>
      <w:r w:rsidR="009278C2">
        <w:rPr>
          <w:rFonts w:asciiTheme="majorBidi" w:hAnsiTheme="majorBidi" w:cstheme="majorBidi"/>
          <w:noProof/>
        </w:rPr>
        <w:t>with</w:t>
      </w:r>
      <w:r w:rsidRPr="00745D22">
        <w:rPr>
          <w:rFonts w:asciiTheme="majorBidi" w:hAnsiTheme="majorBidi" w:cstheme="majorBidi"/>
          <w:noProof/>
        </w:rPr>
        <w:t xml:space="preserve"> </w:t>
      </w:r>
      <w:r w:rsidR="003244A2" w:rsidRPr="00745D22">
        <w:rPr>
          <w:rFonts w:asciiTheme="majorBidi" w:hAnsiTheme="majorBidi" w:cstheme="majorBidi"/>
          <w:noProof/>
        </w:rPr>
        <w:t>48</w:t>
      </w:r>
      <w:r w:rsidRPr="00745D22">
        <w:rPr>
          <w:rFonts w:asciiTheme="majorBidi" w:hAnsiTheme="majorBidi" w:cstheme="majorBidi"/>
          <w:noProof/>
        </w:rPr>
        <w:t xml:space="preserve"> births per 1000 women compared to </w:t>
      </w:r>
      <w:r w:rsidR="003244A2" w:rsidRPr="00745D22">
        <w:rPr>
          <w:rFonts w:asciiTheme="majorBidi" w:hAnsiTheme="majorBidi" w:cstheme="majorBidi"/>
          <w:noProof/>
        </w:rPr>
        <w:t>39</w:t>
      </w:r>
      <w:r w:rsidRPr="00745D22">
        <w:rPr>
          <w:rFonts w:asciiTheme="majorBidi" w:hAnsiTheme="majorBidi" w:cstheme="majorBidi"/>
          <w:noProof/>
        </w:rPr>
        <w:t xml:space="preserve"> births per 1000 women in the West Bank.</w:t>
      </w:r>
      <w:r w:rsidR="00067FF0">
        <w:rPr>
          <w:rFonts w:asciiTheme="majorBidi" w:hAnsiTheme="majorBidi" w:cstheme="majorBidi"/>
          <w:noProof/>
        </w:rPr>
        <w:t xml:space="preserve"> When comparing </w:t>
      </w:r>
      <w:r w:rsidR="00A66D5A">
        <w:rPr>
          <w:rFonts w:asciiTheme="majorBidi" w:hAnsiTheme="majorBidi" w:cstheme="majorBidi"/>
          <w:noProof/>
        </w:rPr>
        <w:t xml:space="preserve">the results </w:t>
      </w:r>
      <w:r w:rsidR="00067FF0">
        <w:rPr>
          <w:rFonts w:asciiTheme="majorBidi" w:hAnsiTheme="majorBidi" w:cstheme="majorBidi"/>
          <w:noProof/>
        </w:rPr>
        <w:t xml:space="preserve">with the data of the Palestinian Multiple Cluster Survey 2014, the total fertility rate among women in the age group of 15-49 years old in Palestine reached 4.1 births per woman. Also, the </w:t>
      </w:r>
      <w:r w:rsidR="00067FF0" w:rsidRPr="00745D22">
        <w:rPr>
          <w:rFonts w:asciiTheme="majorBidi" w:hAnsiTheme="majorBidi" w:cstheme="majorBidi"/>
          <w:noProof/>
        </w:rPr>
        <w:t xml:space="preserve">adolescent </w:t>
      </w:r>
      <w:r w:rsidR="00067FF0">
        <w:rPr>
          <w:rFonts w:asciiTheme="majorBidi" w:hAnsiTheme="majorBidi" w:cstheme="majorBidi"/>
          <w:noProof/>
        </w:rPr>
        <w:t>fert</w:t>
      </w:r>
      <w:r w:rsidR="00A66D5A">
        <w:rPr>
          <w:rFonts w:asciiTheme="majorBidi" w:hAnsiTheme="majorBidi" w:cstheme="majorBidi"/>
          <w:noProof/>
        </w:rPr>
        <w:t>i</w:t>
      </w:r>
      <w:r w:rsidR="00067FF0">
        <w:rPr>
          <w:rFonts w:asciiTheme="majorBidi" w:hAnsiTheme="majorBidi" w:cstheme="majorBidi"/>
          <w:noProof/>
        </w:rPr>
        <w:t>lity rate in the age group 15 – 19 years reached 48 births per 1000 women</w:t>
      </w:r>
      <w:r w:rsidR="001F6A5F">
        <w:rPr>
          <w:rFonts w:asciiTheme="majorBidi" w:hAnsiTheme="majorBidi" w:cstheme="majorBidi"/>
          <w:noProof/>
        </w:rPr>
        <w:t xml:space="preserve"> in 2014</w:t>
      </w:r>
      <w:r w:rsidR="00067FF0">
        <w:rPr>
          <w:rFonts w:asciiTheme="majorBidi" w:hAnsiTheme="majorBidi" w:cstheme="majorBidi"/>
          <w:noProof/>
        </w:rPr>
        <w:t>.</w:t>
      </w:r>
    </w:p>
    <w:p w14:paraId="7A9D9DED" w14:textId="77777777" w:rsidR="00574873" w:rsidRPr="00745D22" w:rsidRDefault="00574873" w:rsidP="00574873">
      <w:pPr>
        <w:bidi w:val="0"/>
        <w:jc w:val="both"/>
        <w:rPr>
          <w:rFonts w:asciiTheme="majorBidi" w:hAnsiTheme="majorBidi" w:cstheme="majorBidi"/>
          <w:b/>
        </w:rPr>
      </w:pPr>
    </w:p>
    <w:p w14:paraId="0BC0964B" w14:textId="4B29065D" w:rsidR="00574873" w:rsidRPr="00745D22" w:rsidRDefault="009278C2" w:rsidP="00574873">
      <w:pPr>
        <w:bidi w:val="0"/>
        <w:jc w:val="both"/>
        <w:rPr>
          <w:rFonts w:asciiTheme="majorBidi" w:hAnsiTheme="majorBidi" w:cstheme="majorBidi"/>
          <w:b/>
          <w:bCs/>
          <w:lang w:val="en-GB"/>
        </w:rPr>
      </w:pPr>
      <w:bookmarkStart w:id="1" w:name="_Toc361922332"/>
      <w:r>
        <w:rPr>
          <w:rFonts w:asciiTheme="majorBidi" w:hAnsiTheme="majorBidi" w:cstheme="majorBidi"/>
          <w:b/>
          <w:bCs/>
          <w:lang w:val="en-GB"/>
        </w:rPr>
        <w:t>Prevalence</w:t>
      </w:r>
      <w:r w:rsidRPr="00745D22">
        <w:rPr>
          <w:rFonts w:asciiTheme="majorBidi" w:hAnsiTheme="majorBidi" w:cstheme="majorBidi"/>
          <w:b/>
          <w:bCs/>
          <w:lang w:val="en-GB"/>
        </w:rPr>
        <w:t xml:space="preserve"> </w:t>
      </w:r>
      <w:r w:rsidR="00574873" w:rsidRPr="00745D22">
        <w:rPr>
          <w:rFonts w:asciiTheme="majorBidi" w:hAnsiTheme="majorBidi" w:cstheme="majorBidi"/>
          <w:b/>
          <w:bCs/>
          <w:lang w:val="en-GB"/>
        </w:rPr>
        <w:t>of family planning methods</w:t>
      </w:r>
      <w:bookmarkEnd w:id="1"/>
    </w:p>
    <w:p w14:paraId="76528533" w14:textId="75AE2B4D" w:rsidR="00574873" w:rsidRDefault="00574873" w:rsidP="0060038D">
      <w:pPr>
        <w:bidi w:val="0"/>
        <w:jc w:val="both"/>
        <w:rPr>
          <w:rFonts w:asciiTheme="majorBidi" w:hAnsiTheme="majorBidi" w:cstheme="majorBidi"/>
        </w:rPr>
      </w:pPr>
      <w:r w:rsidRPr="00745D22">
        <w:rPr>
          <w:rFonts w:asciiTheme="majorBidi" w:hAnsiTheme="majorBidi" w:cstheme="majorBidi"/>
        </w:rPr>
        <w:t xml:space="preserve">More than half of married women aged 15-49 years in Palestine </w:t>
      </w:r>
      <w:r w:rsidR="00504F70">
        <w:rPr>
          <w:rFonts w:asciiTheme="majorBidi" w:hAnsiTheme="majorBidi" w:cstheme="majorBidi"/>
        </w:rPr>
        <w:t xml:space="preserve">are currently using </w:t>
      </w:r>
      <w:r w:rsidRPr="00745D22">
        <w:rPr>
          <w:rFonts w:asciiTheme="majorBidi" w:hAnsiTheme="majorBidi" w:cstheme="majorBidi"/>
        </w:rPr>
        <w:t>a family planning method</w:t>
      </w:r>
      <w:r w:rsidR="00433737">
        <w:rPr>
          <w:rFonts w:asciiTheme="majorBidi" w:hAnsiTheme="majorBidi" w:cstheme="majorBidi"/>
        </w:rPr>
        <w:t>,</w:t>
      </w:r>
      <w:r w:rsidR="00504F70">
        <w:rPr>
          <w:rFonts w:asciiTheme="majorBidi" w:hAnsiTheme="majorBidi" w:cstheme="majorBidi"/>
        </w:rPr>
        <w:t xml:space="preserve"> </w:t>
      </w:r>
      <w:r w:rsidR="00504F70" w:rsidRPr="00ED63A8">
        <w:rPr>
          <w:rFonts w:asciiTheme="majorBidi" w:hAnsiTheme="majorBidi" w:cstheme="majorBidi"/>
        </w:rPr>
        <w:t xml:space="preserve">or </w:t>
      </w:r>
      <w:r w:rsidR="00433737" w:rsidRPr="00ED63A8">
        <w:rPr>
          <w:rFonts w:asciiTheme="majorBidi" w:hAnsiTheme="majorBidi" w:cstheme="majorBidi"/>
        </w:rPr>
        <w:t xml:space="preserve">their </w:t>
      </w:r>
      <w:r w:rsidR="009432B5">
        <w:rPr>
          <w:szCs w:val="22"/>
          <w:lang w:val="en-GB"/>
        </w:rPr>
        <w:t>husband</w:t>
      </w:r>
      <w:r w:rsidR="009432B5" w:rsidRPr="003A3062">
        <w:rPr>
          <w:szCs w:val="22"/>
          <w:lang w:val="en-GB"/>
        </w:rPr>
        <w:t xml:space="preserve"> </w:t>
      </w:r>
      <w:r w:rsidR="00504F70" w:rsidRPr="00ED63A8">
        <w:rPr>
          <w:rFonts w:asciiTheme="majorBidi" w:hAnsiTheme="majorBidi" w:cstheme="majorBidi"/>
        </w:rPr>
        <w:t>is using</w:t>
      </w:r>
      <w:r w:rsidR="00433737" w:rsidRPr="00ED63A8">
        <w:rPr>
          <w:rFonts w:asciiTheme="majorBidi" w:hAnsiTheme="majorBidi" w:cstheme="majorBidi"/>
        </w:rPr>
        <w:t xml:space="preserve"> one</w:t>
      </w:r>
      <w:r w:rsidRPr="00745D22">
        <w:rPr>
          <w:rFonts w:asciiTheme="majorBidi" w:hAnsiTheme="majorBidi" w:cstheme="majorBidi"/>
        </w:rPr>
        <w:t xml:space="preserve"> (57.</w:t>
      </w:r>
      <w:r w:rsidR="004F6664" w:rsidRPr="00745D22">
        <w:rPr>
          <w:rFonts w:asciiTheme="majorBidi" w:hAnsiTheme="majorBidi" w:cstheme="majorBidi"/>
        </w:rPr>
        <w:t>3</w:t>
      </w:r>
      <w:r w:rsidRPr="00745D22">
        <w:rPr>
          <w:rFonts w:asciiTheme="majorBidi" w:hAnsiTheme="majorBidi" w:cstheme="majorBidi"/>
        </w:rPr>
        <w:t>%)</w:t>
      </w:r>
      <w:r w:rsidR="009278C2">
        <w:rPr>
          <w:rFonts w:asciiTheme="majorBidi" w:hAnsiTheme="majorBidi" w:cstheme="majorBidi"/>
        </w:rPr>
        <w:t>;</w:t>
      </w:r>
      <w:r w:rsidR="00433737">
        <w:rPr>
          <w:rFonts w:asciiTheme="majorBidi" w:hAnsiTheme="majorBidi" w:cstheme="majorBidi"/>
        </w:rPr>
        <w:t xml:space="preserve"> </w:t>
      </w:r>
      <w:r w:rsidR="00276FB4" w:rsidRPr="003A3062">
        <w:t xml:space="preserve">about 56% </w:t>
      </w:r>
      <w:r w:rsidRPr="00745D22">
        <w:rPr>
          <w:rFonts w:asciiTheme="majorBidi" w:hAnsiTheme="majorBidi" w:cstheme="majorBidi"/>
        </w:rPr>
        <w:t xml:space="preserve">in </w:t>
      </w:r>
      <w:r w:rsidR="00433737">
        <w:rPr>
          <w:rFonts w:asciiTheme="majorBidi" w:hAnsiTheme="majorBidi" w:cstheme="majorBidi"/>
        </w:rPr>
        <w:t xml:space="preserve">the </w:t>
      </w:r>
      <w:r w:rsidRPr="00745D22">
        <w:rPr>
          <w:rFonts w:asciiTheme="majorBidi" w:hAnsiTheme="majorBidi" w:cstheme="majorBidi"/>
        </w:rPr>
        <w:t xml:space="preserve">West Bank and </w:t>
      </w:r>
      <w:r w:rsidR="00276FB4" w:rsidRPr="003A3062">
        <w:t xml:space="preserve">about 59% </w:t>
      </w:r>
      <w:r w:rsidR="00276FB4">
        <w:rPr>
          <w:rFonts w:asciiTheme="majorBidi" w:hAnsiTheme="majorBidi" w:cstheme="majorBidi"/>
        </w:rPr>
        <w:t xml:space="preserve"> </w:t>
      </w:r>
      <w:r w:rsidRPr="00745D22">
        <w:rPr>
          <w:rFonts w:asciiTheme="majorBidi" w:hAnsiTheme="majorBidi" w:cstheme="majorBidi"/>
        </w:rPr>
        <w:t xml:space="preserve">in </w:t>
      </w:r>
      <w:r w:rsidR="00433737">
        <w:rPr>
          <w:rFonts w:asciiTheme="majorBidi" w:hAnsiTheme="majorBidi" w:cstheme="majorBidi"/>
        </w:rPr>
        <w:t xml:space="preserve">the </w:t>
      </w:r>
      <w:r w:rsidRPr="00745D22">
        <w:rPr>
          <w:rFonts w:asciiTheme="majorBidi" w:hAnsiTheme="majorBidi" w:cstheme="majorBidi"/>
        </w:rPr>
        <w:t>Gaza Strip.</w:t>
      </w:r>
      <w:r w:rsidR="00D60671" w:rsidRPr="00745D22">
        <w:rPr>
          <w:rFonts w:asciiTheme="majorBidi" w:hAnsiTheme="majorBidi" w:cstheme="majorBidi"/>
        </w:rPr>
        <w:t xml:space="preserve"> </w:t>
      </w:r>
      <w:r w:rsidR="009278C2">
        <w:rPr>
          <w:rFonts w:asciiTheme="majorBidi" w:hAnsiTheme="majorBidi" w:cstheme="majorBidi"/>
        </w:rPr>
        <w:t>D</w:t>
      </w:r>
      <w:r w:rsidR="009278C2" w:rsidRPr="00745D22">
        <w:rPr>
          <w:rFonts w:asciiTheme="majorBidi" w:hAnsiTheme="majorBidi" w:cstheme="majorBidi"/>
        </w:rPr>
        <w:t xml:space="preserve">ata </w:t>
      </w:r>
      <w:r w:rsidR="00D60671" w:rsidRPr="00745D22">
        <w:rPr>
          <w:rFonts w:asciiTheme="majorBidi" w:hAnsiTheme="majorBidi" w:cstheme="majorBidi"/>
        </w:rPr>
        <w:t xml:space="preserve">also indicated that </w:t>
      </w:r>
      <w:r w:rsidR="0060038D">
        <w:t>about</w:t>
      </w:r>
      <w:r w:rsidR="0060038D" w:rsidRPr="003A3062">
        <w:t xml:space="preserve"> 43% </w:t>
      </w:r>
      <w:r w:rsidRPr="00745D22">
        <w:rPr>
          <w:rFonts w:asciiTheme="majorBidi" w:hAnsiTheme="majorBidi" w:cstheme="majorBidi"/>
        </w:rPr>
        <w:t xml:space="preserve">of women use </w:t>
      </w:r>
      <w:r w:rsidR="009278C2">
        <w:rPr>
          <w:rFonts w:asciiTheme="majorBidi" w:hAnsiTheme="majorBidi" w:cstheme="majorBidi"/>
        </w:rPr>
        <w:t>m</w:t>
      </w:r>
      <w:r w:rsidR="009278C2" w:rsidRPr="00745D22">
        <w:rPr>
          <w:rFonts w:asciiTheme="majorBidi" w:hAnsiTheme="majorBidi" w:cstheme="majorBidi"/>
        </w:rPr>
        <w:t>odern</w:t>
      </w:r>
      <w:r w:rsidR="009278C2">
        <w:rPr>
          <w:rFonts w:asciiTheme="majorBidi" w:hAnsiTheme="majorBidi" w:cstheme="majorBidi"/>
        </w:rPr>
        <w:t xml:space="preserve"> </w:t>
      </w:r>
      <w:r w:rsidRPr="00745D22">
        <w:rPr>
          <w:rFonts w:asciiTheme="majorBidi" w:hAnsiTheme="majorBidi" w:cstheme="majorBidi"/>
        </w:rPr>
        <w:t xml:space="preserve">methods, </w:t>
      </w:r>
      <w:r w:rsidR="009278C2">
        <w:rPr>
          <w:rFonts w:asciiTheme="majorBidi" w:hAnsiTheme="majorBidi" w:cstheme="majorBidi"/>
        </w:rPr>
        <w:t>whereas</w:t>
      </w:r>
      <w:r w:rsidR="009278C2" w:rsidRPr="00745D22">
        <w:rPr>
          <w:rFonts w:asciiTheme="majorBidi" w:hAnsiTheme="majorBidi" w:cstheme="majorBidi"/>
        </w:rPr>
        <w:t xml:space="preserve"> </w:t>
      </w:r>
      <w:r w:rsidR="0060038D">
        <w:t>about</w:t>
      </w:r>
      <w:r w:rsidR="0060038D" w:rsidRPr="003A3062">
        <w:t xml:space="preserve"> </w:t>
      </w:r>
      <w:r w:rsidR="0060038D">
        <w:t>15</w:t>
      </w:r>
      <w:r w:rsidRPr="00745D22">
        <w:rPr>
          <w:rFonts w:asciiTheme="majorBidi" w:hAnsiTheme="majorBidi" w:cstheme="majorBidi"/>
        </w:rPr>
        <w:t xml:space="preserve">% use </w:t>
      </w:r>
      <w:r w:rsidR="009278C2">
        <w:rPr>
          <w:rFonts w:asciiTheme="majorBidi" w:hAnsiTheme="majorBidi" w:cstheme="majorBidi"/>
        </w:rPr>
        <w:t>t</w:t>
      </w:r>
      <w:r w:rsidR="009278C2" w:rsidRPr="00745D22">
        <w:rPr>
          <w:rFonts w:asciiTheme="majorBidi" w:hAnsiTheme="majorBidi" w:cstheme="majorBidi"/>
        </w:rPr>
        <w:t xml:space="preserve">raditional </w:t>
      </w:r>
      <w:r w:rsidRPr="00745D22">
        <w:rPr>
          <w:rFonts w:asciiTheme="majorBidi" w:hAnsiTheme="majorBidi" w:cstheme="majorBidi"/>
        </w:rPr>
        <w:t xml:space="preserve">methods. </w:t>
      </w:r>
      <w:r w:rsidR="00067FF0">
        <w:rPr>
          <w:rFonts w:asciiTheme="majorBidi" w:hAnsiTheme="majorBidi" w:cstheme="majorBidi"/>
        </w:rPr>
        <w:t xml:space="preserve">It is worth mentioning that the percentage of women at the age group 15-49 years old who used family planning methods reached </w:t>
      </w:r>
      <w:r w:rsidR="0060038D">
        <w:t>about</w:t>
      </w:r>
      <w:r w:rsidR="0060038D" w:rsidRPr="003A3062">
        <w:t xml:space="preserve"> </w:t>
      </w:r>
      <w:r w:rsidR="0060038D">
        <w:rPr>
          <w:rFonts w:asciiTheme="majorBidi" w:hAnsiTheme="majorBidi" w:cstheme="majorBidi"/>
        </w:rPr>
        <w:t>57</w:t>
      </w:r>
      <w:r w:rsidR="00067FF0">
        <w:rPr>
          <w:rFonts w:asciiTheme="majorBidi" w:hAnsiTheme="majorBidi" w:cstheme="majorBidi"/>
        </w:rPr>
        <w:t xml:space="preserve">% according to </w:t>
      </w:r>
      <w:r w:rsidR="00A66D5A">
        <w:rPr>
          <w:rFonts w:asciiTheme="majorBidi" w:hAnsiTheme="majorBidi" w:cstheme="majorBidi"/>
        </w:rPr>
        <w:t xml:space="preserve">the </w:t>
      </w:r>
      <w:r w:rsidR="00067FF0">
        <w:rPr>
          <w:rFonts w:asciiTheme="majorBidi" w:hAnsiTheme="majorBidi" w:cstheme="majorBidi"/>
        </w:rPr>
        <w:t>data of 2014.</w:t>
      </w:r>
    </w:p>
    <w:p w14:paraId="56CCDA14" w14:textId="77777777" w:rsidR="00C66A45" w:rsidRDefault="00C66A45" w:rsidP="00C66A45">
      <w:pPr>
        <w:bidi w:val="0"/>
        <w:jc w:val="both"/>
        <w:rPr>
          <w:rFonts w:asciiTheme="majorBidi" w:hAnsiTheme="majorBidi" w:cstheme="majorBidi"/>
        </w:rPr>
      </w:pPr>
    </w:p>
    <w:p w14:paraId="6F860562" w14:textId="79FA5849" w:rsidR="00347DA5" w:rsidRPr="00745D22" w:rsidRDefault="00347DA5" w:rsidP="008C5E69">
      <w:pPr>
        <w:bidi w:val="0"/>
        <w:jc w:val="both"/>
        <w:rPr>
          <w:rFonts w:asciiTheme="majorBidi" w:hAnsiTheme="majorBidi" w:cstheme="majorBidi"/>
        </w:rPr>
      </w:pPr>
      <w:r w:rsidRPr="00745D22">
        <w:rPr>
          <w:rFonts w:asciiTheme="majorBidi" w:hAnsiTheme="majorBidi" w:cstheme="majorBidi"/>
        </w:rPr>
        <w:t xml:space="preserve">61% of married women in the age group </w:t>
      </w:r>
      <w:r w:rsidR="00B74053">
        <w:rPr>
          <w:rFonts w:asciiTheme="majorBidi" w:hAnsiTheme="majorBidi" w:cstheme="majorBidi"/>
        </w:rPr>
        <w:t xml:space="preserve">of </w:t>
      </w:r>
      <w:r w:rsidRPr="00745D22">
        <w:rPr>
          <w:rFonts w:asciiTheme="majorBidi" w:hAnsiTheme="majorBidi" w:cstheme="majorBidi"/>
        </w:rPr>
        <w:t xml:space="preserve">15-49 years had </w:t>
      </w:r>
      <w:r w:rsidR="006333B2" w:rsidRPr="00745D22">
        <w:rPr>
          <w:rFonts w:asciiTheme="majorBidi" w:hAnsiTheme="majorBidi" w:cstheme="majorBidi"/>
        </w:rPr>
        <w:t xml:space="preserve">met </w:t>
      </w:r>
      <w:r w:rsidRPr="00745D22">
        <w:rPr>
          <w:rFonts w:asciiTheme="majorBidi" w:hAnsiTheme="majorBidi" w:cstheme="majorBidi"/>
        </w:rPr>
        <w:t xml:space="preserve">their </w:t>
      </w:r>
      <w:r w:rsidR="008C5E69">
        <w:rPr>
          <w:rFonts w:asciiTheme="majorBidi" w:hAnsiTheme="majorBidi" w:cstheme="majorBidi"/>
        </w:rPr>
        <w:t>need</w:t>
      </w:r>
      <w:r w:rsidR="008C5E69" w:rsidRPr="00745D22">
        <w:rPr>
          <w:rFonts w:asciiTheme="majorBidi" w:hAnsiTheme="majorBidi" w:cstheme="majorBidi"/>
        </w:rPr>
        <w:t xml:space="preserve"> </w:t>
      </w:r>
      <w:r w:rsidRPr="00745D22">
        <w:rPr>
          <w:rFonts w:asciiTheme="majorBidi" w:hAnsiTheme="majorBidi" w:cstheme="majorBidi"/>
        </w:rPr>
        <w:t xml:space="preserve">for </w:t>
      </w:r>
      <w:r w:rsidR="00B74053" w:rsidRPr="00745D22">
        <w:rPr>
          <w:rFonts w:asciiTheme="majorBidi" w:hAnsiTheme="majorBidi" w:cstheme="majorBidi"/>
        </w:rPr>
        <w:t xml:space="preserve">modern </w:t>
      </w:r>
      <w:r w:rsidRPr="00745D22">
        <w:rPr>
          <w:rFonts w:asciiTheme="majorBidi" w:hAnsiTheme="majorBidi" w:cstheme="majorBidi"/>
        </w:rPr>
        <w:t>family planning methods</w:t>
      </w:r>
      <w:r w:rsidR="00B74053">
        <w:rPr>
          <w:rFonts w:asciiTheme="majorBidi" w:hAnsiTheme="majorBidi" w:cstheme="majorBidi"/>
        </w:rPr>
        <w:t>;</w:t>
      </w:r>
      <w:r w:rsidR="0060038D" w:rsidRPr="0060038D">
        <w:t xml:space="preserve"> </w:t>
      </w:r>
      <w:r w:rsidR="0060038D">
        <w:t>about</w:t>
      </w:r>
      <w:r w:rsidR="00AA78F9">
        <w:rPr>
          <w:rFonts w:asciiTheme="majorBidi" w:hAnsiTheme="majorBidi" w:cstheme="majorBidi"/>
        </w:rPr>
        <w:t xml:space="preserve"> </w:t>
      </w:r>
      <w:r w:rsidR="0060038D">
        <w:rPr>
          <w:rFonts w:asciiTheme="majorBidi" w:hAnsiTheme="majorBidi" w:cstheme="majorBidi"/>
        </w:rPr>
        <w:t>62</w:t>
      </w:r>
      <w:r w:rsidRPr="00745D22">
        <w:rPr>
          <w:rFonts w:asciiTheme="majorBidi" w:hAnsiTheme="majorBidi" w:cstheme="majorBidi"/>
        </w:rPr>
        <w:t xml:space="preserve">% in the West Bank and </w:t>
      </w:r>
      <w:r w:rsidR="0060038D">
        <w:t>about</w:t>
      </w:r>
      <w:r w:rsidR="0060038D" w:rsidRPr="003A3062">
        <w:t xml:space="preserve"> </w:t>
      </w:r>
      <w:r w:rsidR="0060038D">
        <w:rPr>
          <w:rFonts w:asciiTheme="majorBidi" w:hAnsiTheme="majorBidi" w:cstheme="majorBidi"/>
        </w:rPr>
        <w:t>60</w:t>
      </w:r>
      <w:r w:rsidRPr="00745D22">
        <w:rPr>
          <w:rFonts w:asciiTheme="majorBidi" w:hAnsiTheme="majorBidi" w:cstheme="majorBidi"/>
        </w:rPr>
        <w:t xml:space="preserve">% in </w:t>
      </w:r>
      <w:r w:rsidR="00433737">
        <w:rPr>
          <w:rFonts w:asciiTheme="majorBidi" w:hAnsiTheme="majorBidi" w:cstheme="majorBidi"/>
        </w:rPr>
        <w:t xml:space="preserve">the </w:t>
      </w:r>
      <w:r w:rsidRPr="00745D22">
        <w:rPr>
          <w:rFonts w:asciiTheme="majorBidi" w:hAnsiTheme="majorBidi" w:cstheme="majorBidi"/>
        </w:rPr>
        <w:t>Gaza Strip.</w:t>
      </w:r>
    </w:p>
    <w:p w14:paraId="03898454" w14:textId="77777777" w:rsidR="00574873" w:rsidRPr="00745D22" w:rsidRDefault="00574873" w:rsidP="00574873">
      <w:pPr>
        <w:bidi w:val="0"/>
        <w:jc w:val="both"/>
        <w:rPr>
          <w:rFonts w:asciiTheme="majorBidi" w:hAnsiTheme="majorBidi" w:cstheme="majorBidi"/>
          <w:b/>
          <w:bCs/>
          <w:noProof/>
        </w:rPr>
      </w:pPr>
    </w:p>
    <w:p w14:paraId="4DA64A94" w14:textId="6615D733" w:rsidR="00AD5B8D" w:rsidRPr="00745D22" w:rsidRDefault="00AD5B8D" w:rsidP="00AD5B8D">
      <w:pPr>
        <w:bidi w:val="0"/>
        <w:jc w:val="both"/>
        <w:rPr>
          <w:rFonts w:asciiTheme="majorBidi" w:hAnsiTheme="majorBidi" w:cstheme="majorBidi"/>
          <w:b/>
        </w:rPr>
      </w:pPr>
      <w:r w:rsidRPr="00745D22">
        <w:rPr>
          <w:rFonts w:asciiTheme="majorBidi" w:hAnsiTheme="majorBidi" w:cstheme="majorBidi"/>
          <w:b/>
          <w:lang w:val="en-GB"/>
        </w:rPr>
        <w:t>Reproductive Health</w:t>
      </w:r>
      <w:r w:rsidR="005E6AD3" w:rsidRPr="00745D22">
        <w:t xml:space="preserve"> </w:t>
      </w:r>
      <w:r w:rsidR="00B74053">
        <w:rPr>
          <w:rFonts w:asciiTheme="majorBidi" w:hAnsiTheme="majorBidi" w:cstheme="majorBidi"/>
          <w:b/>
        </w:rPr>
        <w:t xml:space="preserve">among </w:t>
      </w:r>
      <w:r w:rsidR="005E6AD3" w:rsidRPr="00745D22">
        <w:rPr>
          <w:rFonts w:asciiTheme="majorBidi" w:hAnsiTheme="majorBidi" w:cstheme="majorBidi"/>
          <w:b/>
        </w:rPr>
        <w:t xml:space="preserve">women in the age </w:t>
      </w:r>
      <w:r w:rsidR="00B74053">
        <w:rPr>
          <w:rFonts w:asciiTheme="majorBidi" w:hAnsiTheme="majorBidi" w:cstheme="majorBidi"/>
          <w:b/>
        </w:rPr>
        <w:t xml:space="preserve">group of </w:t>
      </w:r>
      <w:r w:rsidR="005E6AD3" w:rsidRPr="00745D22">
        <w:rPr>
          <w:rFonts w:asciiTheme="majorBidi" w:hAnsiTheme="majorBidi" w:cstheme="majorBidi"/>
          <w:b/>
        </w:rPr>
        <w:t>(15-49) years</w:t>
      </w:r>
    </w:p>
    <w:p w14:paraId="7F87F537" w14:textId="29D0331A" w:rsidR="00AD5B8D" w:rsidRDefault="002C0C04" w:rsidP="00777549">
      <w:pPr>
        <w:bidi w:val="0"/>
        <w:jc w:val="both"/>
        <w:rPr>
          <w:rFonts w:asciiTheme="majorBidi" w:hAnsiTheme="majorBidi" w:cstheme="majorBidi"/>
          <w:lang w:val="en-GB"/>
        </w:rPr>
      </w:pPr>
      <w:r>
        <w:t>About</w:t>
      </w:r>
      <w:r w:rsidRPr="003A3062">
        <w:t xml:space="preserve"> </w:t>
      </w:r>
      <w:r>
        <w:rPr>
          <w:rFonts w:asciiTheme="majorBidi" w:hAnsiTheme="majorBidi" w:cstheme="majorBidi"/>
          <w:lang w:val="en-GB"/>
        </w:rPr>
        <w:t>95</w:t>
      </w:r>
      <w:r w:rsidR="00AD5B8D" w:rsidRPr="00745D22">
        <w:rPr>
          <w:rFonts w:asciiTheme="majorBidi" w:hAnsiTheme="majorBidi" w:cstheme="majorBidi"/>
          <w:lang w:val="en-GB"/>
        </w:rPr>
        <w:t xml:space="preserve">% of women aged 15-49 years received </w:t>
      </w:r>
      <w:r w:rsidR="00C048DE">
        <w:rPr>
          <w:rFonts w:asciiTheme="majorBidi" w:hAnsiTheme="majorBidi" w:cstheme="majorBidi"/>
          <w:lang w:val="en-GB"/>
        </w:rPr>
        <w:t xml:space="preserve">antenatal </w:t>
      </w:r>
      <w:r w:rsidR="00AD5B8D" w:rsidRPr="00745D22">
        <w:rPr>
          <w:rFonts w:asciiTheme="majorBidi" w:hAnsiTheme="majorBidi" w:cstheme="majorBidi"/>
          <w:lang w:val="en-GB"/>
        </w:rPr>
        <w:t>health care</w:t>
      </w:r>
      <w:r w:rsidR="00680775">
        <w:rPr>
          <w:rFonts w:asciiTheme="majorBidi" w:hAnsiTheme="majorBidi" w:cstheme="majorBidi"/>
          <w:lang w:val="en-GB"/>
        </w:rPr>
        <w:t xml:space="preserve"> </w:t>
      </w:r>
      <w:r w:rsidR="00AD5B8D" w:rsidRPr="00745D22">
        <w:rPr>
          <w:rFonts w:asciiTheme="majorBidi" w:hAnsiTheme="majorBidi" w:cstheme="majorBidi"/>
          <w:lang w:val="en-GB"/>
        </w:rPr>
        <w:t xml:space="preserve">at least </w:t>
      </w:r>
      <w:r w:rsidR="00C40369">
        <w:rPr>
          <w:rFonts w:asciiTheme="majorBidi" w:hAnsiTheme="majorBidi" w:cstheme="majorBidi"/>
          <w:lang w:val="en-GB"/>
        </w:rPr>
        <w:t>four</w:t>
      </w:r>
      <w:r w:rsidR="00AD5B8D" w:rsidRPr="00745D22">
        <w:rPr>
          <w:rFonts w:asciiTheme="majorBidi" w:hAnsiTheme="majorBidi" w:cstheme="majorBidi"/>
          <w:lang w:val="en-GB"/>
        </w:rPr>
        <w:t xml:space="preserve"> times by a health care provider</w:t>
      </w:r>
      <w:r w:rsidR="007075A3" w:rsidRPr="007075A3">
        <w:rPr>
          <w:rFonts w:asciiTheme="majorBidi" w:hAnsiTheme="majorBidi" w:cstheme="majorBidi"/>
          <w:lang w:val="en-GB"/>
        </w:rPr>
        <w:t xml:space="preserve"> </w:t>
      </w:r>
      <w:r w:rsidR="007075A3" w:rsidRPr="00745D22">
        <w:rPr>
          <w:rFonts w:asciiTheme="majorBidi" w:hAnsiTheme="majorBidi" w:cstheme="majorBidi"/>
          <w:lang w:val="en-GB"/>
        </w:rPr>
        <w:t>during pregnancy</w:t>
      </w:r>
      <w:r w:rsidR="00AD5B8D" w:rsidRPr="00745D22">
        <w:rPr>
          <w:rFonts w:asciiTheme="majorBidi" w:hAnsiTheme="majorBidi" w:cstheme="majorBidi"/>
          <w:lang w:val="en-GB"/>
        </w:rPr>
        <w:t xml:space="preserve">; </w:t>
      </w:r>
      <w:r w:rsidR="00AA2790" w:rsidRPr="00745D22">
        <w:rPr>
          <w:rFonts w:asciiTheme="majorBidi" w:hAnsiTheme="majorBidi" w:cstheme="majorBidi"/>
          <w:lang w:val="en-GB"/>
        </w:rPr>
        <w:t xml:space="preserve">and </w:t>
      </w:r>
      <w:r>
        <w:t>about</w:t>
      </w:r>
      <w:r w:rsidRPr="003A3062">
        <w:t xml:space="preserve"> </w:t>
      </w:r>
      <w:r>
        <w:rPr>
          <w:rFonts w:asciiTheme="majorBidi" w:hAnsiTheme="majorBidi" w:cstheme="majorBidi"/>
          <w:lang w:val="en-GB"/>
        </w:rPr>
        <w:t>73</w:t>
      </w:r>
      <w:r w:rsidR="00AA2790" w:rsidRPr="00745D22">
        <w:rPr>
          <w:rFonts w:asciiTheme="majorBidi" w:hAnsiTheme="majorBidi" w:cstheme="majorBidi"/>
          <w:lang w:val="en-GB"/>
        </w:rPr>
        <w:t xml:space="preserve">% of women </w:t>
      </w:r>
      <w:r w:rsidR="00680775">
        <w:rPr>
          <w:rFonts w:asciiTheme="majorBidi" w:hAnsiTheme="majorBidi" w:cstheme="majorBidi"/>
          <w:lang w:val="en-GB"/>
        </w:rPr>
        <w:t>in</w:t>
      </w:r>
      <w:r w:rsidR="00680775" w:rsidRPr="00745D22">
        <w:rPr>
          <w:rFonts w:asciiTheme="majorBidi" w:hAnsiTheme="majorBidi" w:cstheme="majorBidi"/>
          <w:lang w:val="en-GB"/>
        </w:rPr>
        <w:t xml:space="preserve"> </w:t>
      </w:r>
      <w:r w:rsidR="00AA2790" w:rsidRPr="00745D22">
        <w:rPr>
          <w:rFonts w:asciiTheme="majorBidi" w:hAnsiTheme="majorBidi" w:cstheme="majorBidi"/>
          <w:lang w:val="en-GB"/>
        </w:rPr>
        <w:t xml:space="preserve">the same age received health care </w:t>
      </w:r>
      <w:r w:rsidR="00C40369">
        <w:rPr>
          <w:rFonts w:asciiTheme="majorBidi" w:hAnsiTheme="majorBidi" w:cstheme="majorBidi"/>
          <w:lang w:val="en-GB"/>
        </w:rPr>
        <w:t>eight</w:t>
      </w:r>
      <w:r w:rsidR="00AA2790" w:rsidRPr="00745D22">
        <w:rPr>
          <w:rFonts w:asciiTheme="majorBidi" w:hAnsiTheme="majorBidi" w:cstheme="majorBidi"/>
          <w:lang w:val="en-GB"/>
        </w:rPr>
        <w:t xml:space="preserve"> times or more during pregnancy.</w:t>
      </w:r>
      <w:r w:rsidR="00067FF0">
        <w:rPr>
          <w:rFonts w:asciiTheme="majorBidi" w:hAnsiTheme="majorBidi" w:cstheme="majorBidi"/>
          <w:lang w:val="en-GB"/>
        </w:rPr>
        <w:t xml:space="preserve"> </w:t>
      </w:r>
      <w:r w:rsidR="007075A3">
        <w:rPr>
          <w:rFonts w:asciiTheme="majorBidi" w:hAnsiTheme="majorBidi" w:cstheme="majorBidi"/>
          <w:lang w:val="en-GB"/>
        </w:rPr>
        <w:t>T</w:t>
      </w:r>
      <w:r w:rsidR="00067FF0">
        <w:rPr>
          <w:rFonts w:asciiTheme="majorBidi" w:hAnsiTheme="majorBidi" w:cstheme="majorBidi"/>
          <w:lang w:val="en-GB"/>
        </w:rPr>
        <w:t>his percentage reached</w:t>
      </w:r>
      <w:r w:rsidRPr="002C0C04">
        <w:t xml:space="preserve"> </w:t>
      </w:r>
      <w:r>
        <w:t>about</w:t>
      </w:r>
      <w:r>
        <w:rPr>
          <w:rFonts w:asciiTheme="majorBidi" w:hAnsiTheme="majorBidi" w:cstheme="majorBidi"/>
          <w:lang w:val="en-GB"/>
        </w:rPr>
        <w:t xml:space="preserve"> 96</w:t>
      </w:r>
      <w:r w:rsidR="00067FF0">
        <w:rPr>
          <w:rFonts w:asciiTheme="majorBidi" w:hAnsiTheme="majorBidi" w:cstheme="majorBidi"/>
          <w:lang w:val="en-GB"/>
        </w:rPr>
        <w:t xml:space="preserve">% in 2014 among women aged 15-49 years who received health care during pregnancy at least four times.  </w:t>
      </w:r>
      <w:r w:rsidR="007075A3">
        <w:rPr>
          <w:rFonts w:asciiTheme="majorBidi" w:hAnsiTheme="majorBidi" w:cstheme="majorBidi"/>
          <w:lang w:val="en-GB"/>
        </w:rPr>
        <w:t xml:space="preserve"> </w:t>
      </w:r>
    </w:p>
    <w:p w14:paraId="2690A5DE" w14:textId="77777777" w:rsidR="00433737" w:rsidRDefault="00433737" w:rsidP="00433737">
      <w:pPr>
        <w:bidi w:val="0"/>
        <w:jc w:val="both"/>
        <w:rPr>
          <w:rFonts w:asciiTheme="majorBidi" w:hAnsiTheme="majorBidi" w:cstheme="majorBidi"/>
          <w:lang w:val="en-GB"/>
        </w:rPr>
      </w:pPr>
    </w:p>
    <w:p w14:paraId="504E52ED" w14:textId="43E3C7EE" w:rsidR="00AD5B8D" w:rsidRPr="00745D22" w:rsidRDefault="00AD5B8D" w:rsidP="008601F7">
      <w:pPr>
        <w:bidi w:val="0"/>
        <w:jc w:val="both"/>
        <w:rPr>
          <w:rFonts w:asciiTheme="majorBidi" w:hAnsiTheme="majorBidi" w:cstheme="majorBidi"/>
          <w:lang w:val="en-GB"/>
        </w:rPr>
      </w:pPr>
      <w:r w:rsidRPr="00745D22">
        <w:rPr>
          <w:rFonts w:asciiTheme="majorBidi" w:hAnsiTheme="majorBidi" w:cstheme="majorBidi"/>
          <w:lang w:val="en-GB"/>
        </w:rPr>
        <w:t>Most births in Palestine occur in health institutions, where</w:t>
      </w:r>
      <w:r w:rsidR="002C0C04" w:rsidRPr="002C0C04">
        <w:t xml:space="preserve"> </w:t>
      </w:r>
      <w:r w:rsidR="002C0C04">
        <w:t>about</w:t>
      </w:r>
      <w:r w:rsidR="002C0C04">
        <w:rPr>
          <w:rFonts w:asciiTheme="majorBidi" w:hAnsiTheme="majorBidi" w:cstheme="majorBidi"/>
          <w:lang w:val="en-GB"/>
        </w:rPr>
        <w:t xml:space="preserve"> 99</w:t>
      </w:r>
      <w:r w:rsidRPr="00745D22">
        <w:rPr>
          <w:rFonts w:asciiTheme="majorBidi" w:hAnsiTheme="majorBidi" w:cstheme="majorBidi"/>
          <w:lang w:val="en-GB"/>
        </w:rPr>
        <w:t>% of births took place</w:t>
      </w:r>
      <w:r w:rsidR="00C57813">
        <w:rPr>
          <w:rFonts w:asciiTheme="majorBidi" w:hAnsiTheme="majorBidi" w:cstheme="majorBidi"/>
          <w:lang w:val="en-GB"/>
        </w:rPr>
        <w:t>.</w:t>
      </w:r>
      <w:r w:rsidR="008601F7" w:rsidRPr="00745D22">
        <w:rPr>
          <w:rFonts w:asciiTheme="majorBidi" w:hAnsiTheme="majorBidi" w:cstheme="majorBidi"/>
          <w:lang w:val="en-GB"/>
        </w:rPr>
        <w:t xml:space="preserve"> </w:t>
      </w:r>
      <w:r w:rsidR="00C57813">
        <w:rPr>
          <w:rFonts w:asciiTheme="majorBidi" w:hAnsiTheme="majorBidi" w:cstheme="majorBidi"/>
          <w:lang w:val="en-GB"/>
        </w:rPr>
        <w:t xml:space="preserve">Of all live births </w:t>
      </w:r>
      <w:r w:rsidR="002C0C04">
        <w:t>about</w:t>
      </w:r>
      <w:r w:rsidR="002C0C04" w:rsidRPr="003A3062">
        <w:t xml:space="preserve"> </w:t>
      </w:r>
      <w:r w:rsidR="002C0C04">
        <w:rPr>
          <w:rFonts w:asciiTheme="majorBidi" w:hAnsiTheme="majorBidi" w:cstheme="majorBidi"/>
          <w:lang w:val="en-GB"/>
        </w:rPr>
        <w:t>100</w:t>
      </w:r>
      <w:r w:rsidR="008601F7" w:rsidRPr="00745D22">
        <w:rPr>
          <w:rFonts w:asciiTheme="majorBidi" w:hAnsiTheme="majorBidi" w:cstheme="majorBidi"/>
          <w:lang w:val="en-GB"/>
        </w:rPr>
        <w:t xml:space="preserve">% were attended by skilled health </w:t>
      </w:r>
      <w:r w:rsidR="00680775">
        <w:rPr>
          <w:rFonts w:asciiTheme="majorBidi" w:hAnsiTheme="majorBidi" w:cstheme="majorBidi"/>
          <w:lang w:val="en-GB"/>
        </w:rPr>
        <w:t>staff</w:t>
      </w:r>
      <w:r w:rsidR="008601F7" w:rsidRPr="00745D22">
        <w:rPr>
          <w:rFonts w:asciiTheme="majorBidi" w:hAnsiTheme="majorBidi" w:cstheme="majorBidi"/>
          <w:lang w:val="en-GB"/>
        </w:rPr>
        <w:t xml:space="preserve">.  </w:t>
      </w:r>
      <w:r w:rsidRPr="00745D22">
        <w:rPr>
          <w:rFonts w:asciiTheme="majorBidi" w:hAnsiTheme="majorBidi" w:cstheme="majorBidi"/>
          <w:lang w:val="en-GB"/>
        </w:rPr>
        <w:t xml:space="preserve">Data </w:t>
      </w:r>
      <w:r w:rsidR="00680775">
        <w:rPr>
          <w:rFonts w:asciiTheme="majorBidi" w:hAnsiTheme="majorBidi" w:cstheme="majorBidi"/>
          <w:lang w:val="en-GB"/>
        </w:rPr>
        <w:t>also</w:t>
      </w:r>
      <w:r w:rsidR="00680775" w:rsidRPr="00745D22">
        <w:rPr>
          <w:rFonts w:asciiTheme="majorBidi" w:hAnsiTheme="majorBidi" w:cstheme="majorBidi"/>
          <w:lang w:val="en-GB"/>
        </w:rPr>
        <w:t xml:space="preserve"> </w:t>
      </w:r>
      <w:r w:rsidRPr="00745D22">
        <w:rPr>
          <w:rFonts w:asciiTheme="majorBidi" w:hAnsiTheme="majorBidi" w:cstheme="majorBidi"/>
          <w:lang w:val="en-GB"/>
        </w:rPr>
        <w:t xml:space="preserve">indicated that </w:t>
      </w:r>
      <w:r w:rsidR="002C0C04">
        <w:t>about</w:t>
      </w:r>
      <w:r w:rsidR="002C0C04" w:rsidRPr="003A3062">
        <w:t xml:space="preserve"> </w:t>
      </w:r>
      <w:r w:rsidR="002C0C04">
        <w:rPr>
          <w:rFonts w:asciiTheme="majorBidi" w:hAnsiTheme="majorBidi" w:cstheme="majorBidi"/>
          <w:lang w:val="en-GB"/>
        </w:rPr>
        <w:t>26</w:t>
      </w:r>
      <w:r w:rsidRPr="00745D22">
        <w:rPr>
          <w:rFonts w:asciiTheme="majorBidi" w:hAnsiTheme="majorBidi" w:cstheme="majorBidi"/>
          <w:lang w:val="en-GB"/>
        </w:rPr>
        <w:t>% of births</w:t>
      </w:r>
      <w:r w:rsidR="00680775">
        <w:rPr>
          <w:rFonts w:asciiTheme="majorBidi" w:hAnsiTheme="majorBidi" w:cstheme="majorBidi"/>
          <w:lang w:val="en-GB"/>
        </w:rPr>
        <w:t xml:space="preserve"> underwent</w:t>
      </w:r>
      <w:r w:rsidRPr="00745D22">
        <w:rPr>
          <w:rFonts w:asciiTheme="majorBidi" w:hAnsiTheme="majorBidi" w:cstheme="majorBidi"/>
          <w:lang w:val="en-GB"/>
        </w:rPr>
        <w:t xml:space="preserve"> </w:t>
      </w:r>
      <w:r w:rsidR="008601F7" w:rsidRPr="00745D22">
        <w:rPr>
          <w:rFonts w:asciiTheme="majorBidi" w:hAnsiTheme="majorBidi" w:cstheme="majorBidi"/>
          <w:lang w:val="en-GB"/>
        </w:rPr>
        <w:t>Caesarean section.</w:t>
      </w:r>
      <w:r w:rsidR="00495B89" w:rsidRPr="00495B89">
        <w:rPr>
          <w:rFonts w:asciiTheme="majorBidi" w:hAnsiTheme="majorBidi" w:cstheme="majorBidi"/>
          <w:bCs/>
        </w:rPr>
        <w:t xml:space="preserve"> </w:t>
      </w:r>
      <w:r w:rsidR="00495B89">
        <w:rPr>
          <w:rFonts w:asciiTheme="majorBidi" w:hAnsiTheme="majorBidi" w:cstheme="majorBidi"/>
          <w:bCs/>
        </w:rPr>
        <w:t xml:space="preserve">This percentage is no different from the percentage in 2014, as the percentage of births carried out in health institutions reached </w:t>
      </w:r>
      <w:r w:rsidR="00495B89" w:rsidRPr="003A3062">
        <w:rPr>
          <w:bCs/>
        </w:rPr>
        <w:t xml:space="preserve">about </w:t>
      </w:r>
      <w:r w:rsidR="00495B89">
        <w:rPr>
          <w:rFonts w:asciiTheme="majorBidi" w:hAnsiTheme="majorBidi" w:cstheme="majorBidi"/>
          <w:bCs/>
        </w:rPr>
        <w:t xml:space="preserve">99%, whereas the percentage of births carried out under the supervision of qualified medical staff reached </w:t>
      </w:r>
      <w:r w:rsidR="00495B89" w:rsidRPr="003A3062">
        <w:rPr>
          <w:bCs/>
        </w:rPr>
        <w:t xml:space="preserve">about </w:t>
      </w:r>
      <w:r w:rsidR="00495B89">
        <w:rPr>
          <w:rFonts w:asciiTheme="majorBidi" w:hAnsiTheme="majorBidi" w:cstheme="majorBidi"/>
          <w:bCs/>
        </w:rPr>
        <w:t>100%.</w:t>
      </w:r>
    </w:p>
    <w:p w14:paraId="67D03353" w14:textId="77777777" w:rsidR="00AD5B8D" w:rsidRPr="00745D22" w:rsidRDefault="00AD5B8D" w:rsidP="00AD5B8D">
      <w:pPr>
        <w:bidi w:val="0"/>
        <w:jc w:val="both"/>
        <w:rPr>
          <w:rFonts w:asciiTheme="majorBidi" w:hAnsiTheme="majorBidi" w:cstheme="majorBidi"/>
          <w:lang w:val="en-GB"/>
        </w:rPr>
      </w:pPr>
    </w:p>
    <w:p w14:paraId="394DE034" w14:textId="54C1E5F5" w:rsidR="007B7F22" w:rsidRDefault="00C40369" w:rsidP="00495B89">
      <w:pPr>
        <w:bidi w:val="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Some </w:t>
      </w:r>
      <w:r w:rsidR="002F4B6B">
        <w:rPr>
          <w:rFonts w:asciiTheme="majorBidi" w:hAnsiTheme="majorBidi" w:cstheme="majorBidi"/>
          <w:bCs/>
        </w:rPr>
        <w:t>89</w:t>
      </w:r>
      <w:r w:rsidR="00AD5B8D" w:rsidRPr="00745D22">
        <w:rPr>
          <w:rFonts w:asciiTheme="majorBidi" w:hAnsiTheme="majorBidi" w:cstheme="majorBidi"/>
          <w:bCs/>
        </w:rPr>
        <w:t>% of women 15-49 years received health care after birth</w:t>
      </w:r>
      <w:r w:rsidR="00406E1F">
        <w:rPr>
          <w:rFonts w:asciiTheme="majorBidi" w:hAnsiTheme="majorBidi" w:cstheme="majorBidi"/>
          <w:bCs/>
        </w:rPr>
        <w:t xml:space="preserve"> (</w:t>
      </w:r>
      <w:r w:rsidR="006333B2">
        <w:rPr>
          <w:rFonts w:asciiTheme="majorBidi" w:hAnsiTheme="majorBidi" w:cstheme="majorBidi"/>
          <w:bCs/>
        </w:rPr>
        <w:t>postnatal care</w:t>
      </w:r>
      <w:r w:rsidR="00406E1F">
        <w:rPr>
          <w:rFonts w:asciiTheme="majorBidi" w:hAnsiTheme="majorBidi" w:cstheme="majorBidi"/>
          <w:bCs/>
        </w:rPr>
        <w:t xml:space="preserve">) </w:t>
      </w:r>
      <w:r w:rsidR="00AD5B8D" w:rsidRPr="00745D22">
        <w:rPr>
          <w:rFonts w:asciiTheme="majorBidi" w:hAnsiTheme="majorBidi" w:cstheme="majorBidi"/>
          <w:bCs/>
        </w:rPr>
        <w:t>during their stay in the health institutions</w:t>
      </w:r>
      <w:r w:rsidR="00406E1F">
        <w:rPr>
          <w:rFonts w:asciiTheme="majorBidi" w:hAnsiTheme="majorBidi" w:cstheme="majorBidi"/>
          <w:bCs/>
        </w:rPr>
        <w:t>.</w:t>
      </w:r>
      <w:r w:rsidR="00406E1F" w:rsidRPr="00745D22">
        <w:rPr>
          <w:rFonts w:asciiTheme="majorBidi" w:hAnsiTheme="majorBidi" w:cstheme="majorBidi"/>
          <w:bCs/>
        </w:rPr>
        <w:t xml:space="preserve"> </w:t>
      </w:r>
      <w:r w:rsidR="00406E1F">
        <w:rPr>
          <w:rFonts w:asciiTheme="majorBidi" w:hAnsiTheme="majorBidi" w:cstheme="majorBidi"/>
          <w:bCs/>
        </w:rPr>
        <w:t>D</w:t>
      </w:r>
      <w:r w:rsidR="00406E1F" w:rsidRPr="00745D22">
        <w:rPr>
          <w:rFonts w:asciiTheme="majorBidi" w:hAnsiTheme="majorBidi" w:cstheme="majorBidi"/>
          <w:bCs/>
        </w:rPr>
        <w:t xml:space="preserve">ata </w:t>
      </w:r>
      <w:r w:rsidR="00AD5B8D" w:rsidRPr="00745D22">
        <w:rPr>
          <w:rFonts w:asciiTheme="majorBidi" w:hAnsiTheme="majorBidi" w:cstheme="majorBidi"/>
          <w:bCs/>
        </w:rPr>
        <w:t xml:space="preserve">also showed that </w:t>
      </w:r>
      <w:r w:rsidR="002F4B6B" w:rsidRPr="003A3062">
        <w:rPr>
          <w:bCs/>
        </w:rPr>
        <w:t xml:space="preserve">about 92% </w:t>
      </w:r>
      <w:r w:rsidR="00AD5B8D" w:rsidRPr="00745D22">
        <w:rPr>
          <w:rFonts w:asciiTheme="majorBidi" w:hAnsiTheme="majorBidi" w:cstheme="majorBidi"/>
          <w:bCs/>
        </w:rPr>
        <w:t xml:space="preserve">of </w:t>
      </w:r>
      <w:r w:rsidR="00ED6C1C">
        <w:rPr>
          <w:rFonts w:asciiTheme="majorBidi" w:hAnsiTheme="majorBidi" w:cstheme="majorBidi"/>
          <w:bCs/>
        </w:rPr>
        <w:t>newborn</w:t>
      </w:r>
      <w:r w:rsidR="00406E1F">
        <w:rPr>
          <w:rFonts w:asciiTheme="majorBidi" w:hAnsiTheme="majorBidi" w:cstheme="majorBidi"/>
          <w:bCs/>
        </w:rPr>
        <w:t>s</w:t>
      </w:r>
      <w:r w:rsidR="00AD5B8D" w:rsidRPr="00745D22">
        <w:rPr>
          <w:rFonts w:asciiTheme="majorBidi" w:hAnsiTheme="majorBidi" w:cstheme="majorBidi"/>
          <w:bCs/>
        </w:rPr>
        <w:t xml:space="preserve"> received health </w:t>
      </w:r>
      <w:r w:rsidR="00406E1F">
        <w:rPr>
          <w:rFonts w:asciiTheme="majorBidi" w:hAnsiTheme="majorBidi" w:cstheme="majorBidi"/>
          <w:bCs/>
        </w:rPr>
        <w:t>care</w:t>
      </w:r>
      <w:r w:rsidR="00AD5B8D" w:rsidRPr="00745D22">
        <w:rPr>
          <w:rFonts w:asciiTheme="majorBidi" w:hAnsiTheme="majorBidi" w:cstheme="majorBidi"/>
          <w:bCs/>
        </w:rPr>
        <w:t xml:space="preserve">, either while in the health facility, at home after birth, or received health care within two days </w:t>
      </w:r>
      <w:r w:rsidR="00B1278F" w:rsidRPr="00745D22">
        <w:rPr>
          <w:rFonts w:asciiTheme="majorBidi" w:hAnsiTheme="majorBidi" w:cstheme="majorBidi"/>
          <w:bCs/>
        </w:rPr>
        <w:t>after childbirth</w:t>
      </w:r>
      <w:r w:rsidR="00495B89">
        <w:rPr>
          <w:rFonts w:asciiTheme="majorBidi" w:hAnsiTheme="majorBidi" w:cstheme="majorBidi"/>
          <w:bCs/>
        </w:rPr>
        <w:t>.</w:t>
      </w:r>
    </w:p>
    <w:p w14:paraId="5F6E4D8F" w14:textId="77777777" w:rsidR="002C3873" w:rsidRDefault="002C3873" w:rsidP="002C3873">
      <w:pPr>
        <w:bidi w:val="0"/>
        <w:jc w:val="both"/>
        <w:rPr>
          <w:rFonts w:asciiTheme="majorBidi" w:hAnsiTheme="majorBidi" w:cstheme="majorBidi"/>
          <w:bCs/>
        </w:rPr>
      </w:pPr>
    </w:p>
    <w:p w14:paraId="392D79B7" w14:textId="77777777" w:rsidR="002C3873" w:rsidRDefault="002C3873" w:rsidP="002C3873">
      <w:pPr>
        <w:bidi w:val="0"/>
        <w:rPr>
          <w:rFonts w:asciiTheme="majorBidi" w:hAnsiTheme="majorBidi" w:cstheme="majorBidi"/>
          <w:bCs/>
        </w:rPr>
      </w:pPr>
    </w:p>
    <w:p w14:paraId="23CB6A30" w14:textId="5B85DAF3" w:rsidR="002C3873" w:rsidRPr="00353C89" w:rsidRDefault="002C3873" w:rsidP="002C3873">
      <w:pPr>
        <w:bidi w:val="0"/>
        <w:rPr>
          <w:rFonts w:asciiTheme="majorBidi" w:hAnsiTheme="majorBidi" w:cstheme="majorBidi"/>
          <w:b/>
        </w:rPr>
      </w:pPr>
      <w:r w:rsidRPr="00353C89">
        <w:rPr>
          <w:rFonts w:asciiTheme="majorBidi" w:hAnsiTheme="majorBidi" w:cstheme="majorBidi"/>
          <w:b/>
          <w:lang w:val="en-GB"/>
        </w:rPr>
        <w:lastRenderedPageBreak/>
        <w:t xml:space="preserve">Continuum of Reproductive and Maternal </w:t>
      </w:r>
      <w:r>
        <w:rPr>
          <w:rFonts w:asciiTheme="majorBidi" w:hAnsiTheme="majorBidi" w:cstheme="majorBidi"/>
          <w:b/>
          <w:lang w:val="en-GB"/>
        </w:rPr>
        <w:t xml:space="preserve">and new-born </w:t>
      </w:r>
      <w:r w:rsidRPr="00353C89">
        <w:rPr>
          <w:rFonts w:asciiTheme="majorBidi" w:hAnsiTheme="majorBidi" w:cstheme="majorBidi"/>
          <w:b/>
          <w:lang w:val="en-GB"/>
        </w:rPr>
        <w:t>health Interventions</w:t>
      </w:r>
      <w:r w:rsidRPr="00353C89">
        <w:rPr>
          <w:rFonts w:asciiTheme="majorBidi" w:hAnsiTheme="majorBidi" w:cstheme="majorBidi"/>
          <w:b/>
        </w:rPr>
        <w:t xml:space="preserve"> by Region</w:t>
      </w:r>
    </w:p>
    <w:p w14:paraId="3F786F1E" w14:textId="77777777" w:rsidR="006F1360" w:rsidRPr="006F1360" w:rsidRDefault="006F1360" w:rsidP="006F1360">
      <w:pPr>
        <w:bidi w:val="0"/>
        <w:jc w:val="center"/>
        <w:rPr>
          <w:rFonts w:asciiTheme="majorBidi" w:hAnsiTheme="majorBidi" w:cstheme="majorBidi"/>
          <w:b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3"/>
      </w:tblGrid>
      <w:tr w:rsidR="005843E8" w:rsidRPr="005843E8" w14:paraId="039C062A" w14:textId="77777777" w:rsidTr="005843E8">
        <w:trPr>
          <w:jc w:val="center"/>
        </w:trPr>
        <w:tc>
          <w:tcPr>
            <w:tcW w:w="9063" w:type="dxa"/>
          </w:tcPr>
          <w:p w14:paraId="683CE7F8" w14:textId="77777777" w:rsidR="005843E8" w:rsidRPr="005843E8" w:rsidRDefault="005843E8" w:rsidP="005843E8">
            <w:pPr>
              <w:bidi w:val="0"/>
              <w:jc w:val="center"/>
              <w:rPr>
                <w:rFonts w:asciiTheme="majorBidi" w:hAnsiTheme="majorBidi" w:cstheme="majorBidi"/>
                <w:bCs/>
                <w:color w:val="FF0000"/>
              </w:rPr>
            </w:pPr>
            <w:r>
              <w:rPr>
                <w:rFonts w:asciiTheme="majorBidi" w:hAnsiTheme="majorBidi" w:cstheme="majorBidi"/>
                <w:bCs/>
                <w:noProof/>
                <w:color w:val="FF0000"/>
                <w:lang w:eastAsia="en-US"/>
              </w:rPr>
              <w:drawing>
                <wp:inline distT="0" distB="0" distL="0" distR="0" wp14:anchorId="6EA3540E" wp14:editId="0ADC8C35">
                  <wp:extent cx="5486400" cy="203835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13A53068" w14:textId="77777777" w:rsidR="00406E1F" w:rsidRDefault="00406E1F" w:rsidP="00B82A6E">
      <w:pPr>
        <w:bidi w:val="0"/>
        <w:jc w:val="both"/>
        <w:rPr>
          <w:rFonts w:asciiTheme="majorBidi" w:hAnsiTheme="majorBidi" w:cstheme="majorBidi"/>
          <w:b/>
        </w:rPr>
      </w:pPr>
    </w:p>
    <w:p w14:paraId="433ED3A2" w14:textId="403037A1" w:rsidR="000213D9" w:rsidRPr="00745D22" w:rsidRDefault="00406E1F" w:rsidP="00406E1F">
      <w:pPr>
        <w:bidi w:val="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Safe</w:t>
      </w:r>
      <w:r w:rsidRPr="00745D22">
        <w:rPr>
          <w:rFonts w:asciiTheme="majorBidi" w:hAnsiTheme="majorBidi" w:cstheme="majorBidi"/>
          <w:b/>
        </w:rPr>
        <w:t xml:space="preserve"> </w:t>
      </w:r>
      <w:r w:rsidR="00C728D7" w:rsidRPr="00745D22">
        <w:rPr>
          <w:rFonts w:asciiTheme="majorBidi" w:hAnsiTheme="majorBidi" w:cstheme="majorBidi"/>
          <w:b/>
        </w:rPr>
        <w:t>Water S</w:t>
      </w:r>
      <w:r w:rsidR="000213D9" w:rsidRPr="00745D22">
        <w:rPr>
          <w:rFonts w:asciiTheme="majorBidi" w:hAnsiTheme="majorBidi" w:cstheme="majorBidi"/>
          <w:b/>
        </w:rPr>
        <w:t>ources</w:t>
      </w:r>
    </w:p>
    <w:p w14:paraId="5C49BD20" w14:textId="7AA1B9F1" w:rsidR="000213D9" w:rsidRPr="00745D22" w:rsidRDefault="002A2D22" w:rsidP="00F75D04">
      <w:pPr>
        <w:bidi w:val="0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Some </w:t>
      </w:r>
      <w:r w:rsidR="00F75D04">
        <w:rPr>
          <w:rFonts w:asciiTheme="majorBidi" w:hAnsiTheme="majorBidi" w:cstheme="majorBidi"/>
          <w:noProof/>
        </w:rPr>
        <w:t>99</w:t>
      </w:r>
      <w:r w:rsidR="000213D9" w:rsidRPr="00745D22">
        <w:rPr>
          <w:rFonts w:asciiTheme="majorBidi" w:hAnsiTheme="majorBidi" w:cstheme="majorBidi"/>
          <w:noProof/>
        </w:rPr>
        <w:t>% of household members in Palestine use basic drinking water services</w:t>
      </w:r>
      <w:r w:rsidR="00B55DCD" w:rsidRPr="00745D22">
        <w:rPr>
          <w:rStyle w:val="FootnoteReference"/>
          <w:rFonts w:asciiTheme="majorBidi" w:hAnsiTheme="majorBidi" w:cstheme="majorBidi"/>
          <w:noProof/>
        </w:rPr>
        <w:footnoteReference w:id="1"/>
      </w:r>
      <w:r w:rsidR="00406E1F">
        <w:rPr>
          <w:rFonts w:asciiTheme="majorBidi" w:hAnsiTheme="majorBidi" w:cstheme="majorBidi"/>
          <w:noProof/>
        </w:rPr>
        <w:t xml:space="preserve">, where this </w:t>
      </w:r>
      <w:r w:rsidR="000213D9" w:rsidRPr="00745D22">
        <w:rPr>
          <w:rFonts w:asciiTheme="majorBidi" w:hAnsiTheme="majorBidi" w:cstheme="majorBidi"/>
          <w:noProof/>
        </w:rPr>
        <w:t xml:space="preserve">percentage was </w:t>
      </w:r>
      <w:r w:rsidR="00F75D04">
        <w:rPr>
          <w:rFonts w:asciiTheme="majorBidi" w:hAnsiTheme="majorBidi" w:cstheme="majorBidi"/>
          <w:noProof/>
        </w:rPr>
        <w:t>about 100</w:t>
      </w:r>
      <w:r w:rsidR="000213D9" w:rsidRPr="00745D22">
        <w:rPr>
          <w:rFonts w:asciiTheme="majorBidi" w:hAnsiTheme="majorBidi" w:cstheme="majorBidi"/>
          <w:noProof/>
        </w:rPr>
        <w:t xml:space="preserve">% </w:t>
      </w:r>
      <w:r w:rsidR="00406E1F" w:rsidRPr="00745D22">
        <w:rPr>
          <w:rFonts w:asciiTheme="majorBidi" w:hAnsiTheme="majorBidi" w:cstheme="majorBidi"/>
          <w:noProof/>
        </w:rPr>
        <w:t xml:space="preserve">in the West Bank </w:t>
      </w:r>
      <w:r w:rsidR="00406E1F">
        <w:rPr>
          <w:rFonts w:asciiTheme="majorBidi" w:hAnsiTheme="majorBidi" w:cstheme="majorBidi"/>
          <w:noProof/>
        </w:rPr>
        <w:t>compared to</w:t>
      </w:r>
      <w:r w:rsidR="000213D9" w:rsidRPr="00745D22">
        <w:rPr>
          <w:rFonts w:asciiTheme="majorBidi" w:hAnsiTheme="majorBidi" w:cstheme="majorBidi"/>
          <w:noProof/>
        </w:rPr>
        <w:t xml:space="preserve"> </w:t>
      </w:r>
      <w:r w:rsidR="00F75D04">
        <w:rPr>
          <w:rFonts w:asciiTheme="majorBidi" w:hAnsiTheme="majorBidi" w:cstheme="majorBidi"/>
          <w:noProof/>
        </w:rPr>
        <w:t>about 99</w:t>
      </w:r>
      <w:r w:rsidR="000213D9" w:rsidRPr="00745D22">
        <w:rPr>
          <w:rFonts w:asciiTheme="majorBidi" w:hAnsiTheme="majorBidi" w:cstheme="majorBidi"/>
          <w:noProof/>
        </w:rPr>
        <w:t>% in</w:t>
      </w:r>
      <w:r w:rsidR="00856186">
        <w:rPr>
          <w:rFonts w:asciiTheme="majorBidi" w:hAnsiTheme="majorBidi" w:cstheme="majorBidi"/>
          <w:noProof/>
        </w:rPr>
        <w:t xml:space="preserve"> the</w:t>
      </w:r>
      <w:r w:rsidR="000213D9" w:rsidRPr="00745D22">
        <w:rPr>
          <w:rFonts w:asciiTheme="majorBidi" w:hAnsiTheme="majorBidi" w:cstheme="majorBidi"/>
          <w:noProof/>
        </w:rPr>
        <w:t xml:space="preserve"> Gaza Strip. On the other hand, the percentage of household members who use safely managed water sources</w:t>
      </w:r>
      <w:r w:rsidR="00B55DCD" w:rsidRPr="00745D22">
        <w:rPr>
          <w:rStyle w:val="FootnoteReference"/>
          <w:rFonts w:asciiTheme="majorBidi" w:hAnsiTheme="majorBidi" w:cstheme="majorBidi"/>
          <w:noProof/>
        </w:rPr>
        <w:footnoteReference w:id="2"/>
      </w:r>
      <w:r w:rsidR="000213D9" w:rsidRPr="00745D22">
        <w:rPr>
          <w:rFonts w:asciiTheme="majorBidi" w:hAnsiTheme="majorBidi" w:cstheme="majorBidi"/>
          <w:noProof/>
        </w:rPr>
        <w:t xml:space="preserve"> was</w:t>
      </w:r>
      <w:r w:rsidR="00F75D04" w:rsidRPr="00F75D04">
        <w:rPr>
          <w:rFonts w:asciiTheme="majorBidi" w:hAnsiTheme="majorBidi" w:cstheme="majorBidi"/>
          <w:noProof/>
        </w:rPr>
        <w:t xml:space="preserve"> </w:t>
      </w:r>
      <w:r w:rsidR="00F75D04">
        <w:rPr>
          <w:rFonts w:asciiTheme="majorBidi" w:hAnsiTheme="majorBidi" w:cstheme="majorBidi"/>
          <w:noProof/>
        </w:rPr>
        <w:t>about 40</w:t>
      </w:r>
      <w:r w:rsidR="000213D9" w:rsidRPr="00745D22">
        <w:rPr>
          <w:rFonts w:asciiTheme="majorBidi" w:hAnsiTheme="majorBidi" w:cstheme="majorBidi"/>
          <w:noProof/>
        </w:rPr>
        <w:t xml:space="preserve">% in Palestine, with a marked difference between </w:t>
      </w:r>
      <w:r w:rsidR="00F77021">
        <w:rPr>
          <w:rFonts w:asciiTheme="majorBidi" w:hAnsiTheme="majorBidi" w:cstheme="majorBidi"/>
          <w:noProof/>
        </w:rPr>
        <w:t xml:space="preserve">the </w:t>
      </w:r>
      <w:r w:rsidR="000213D9" w:rsidRPr="00745D22">
        <w:rPr>
          <w:rFonts w:asciiTheme="majorBidi" w:hAnsiTheme="majorBidi" w:cstheme="majorBidi"/>
          <w:noProof/>
        </w:rPr>
        <w:t xml:space="preserve">West Bank and </w:t>
      </w:r>
      <w:r w:rsidR="00F77021">
        <w:rPr>
          <w:rFonts w:asciiTheme="majorBidi" w:hAnsiTheme="majorBidi" w:cstheme="majorBidi"/>
          <w:noProof/>
        </w:rPr>
        <w:t xml:space="preserve">the </w:t>
      </w:r>
      <w:r w:rsidR="000213D9" w:rsidRPr="00745D22">
        <w:rPr>
          <w:rFonts w:asciiTheme="majorBidi" w:hAnsiTheme="majorBidi" w:cstheme="majorBidi"/>
          <w:noProof/>
        </w:rPr>
        <w:t>Gaza Strip. The percentage was</w:t>
      </w:r>
      <w:r w:rsidR="00F75D04" w:rsidRPr="00F75D04">
        <w:rPr>
          <w:rFonts w:asciiTheme="majorBidi" w:hAnsiTheme="majorBidi" w:cstheme="majorBidi"/>
          <w:noProof/>
        </w:rPr>
        <w:t xml:space="preserve"> </w:t>
      </w:r>
      <w:r w:rsidR="00F75D04">
        <w:rPr>
          <w:rFonts w:asciiTheme="majorBidi" w:hAnsiTheme="majorBidi" w:cstheme="majorBidi"/>
          <w:noProof/>
        </w:rPr>
        <w:t>about 66</w:t>
      </w:r>
      <w:r w:rsidR="000213D9" w:rsidRPr="00745D22">
        <w:rPr>
          <w:rFonts w:asciiTheme="majorBidi" w:hAnsiTheme="majorBidi" w:cstheme="majorBidi"/>
          <w:noProof/>
        </w:rPr>
        <w:t xml:space="preserve">% of household members </w:t>
      </w:r>
      <w:r w:rsidR="00406E1F">
        <w:rPr>
          <w:rFonts w:asciiTheme="majorBidi" w:hAnsiTheme="majorBidi" w:cstheme="majorBidi"/>
          <w:noProof/>
        </w:rPr>
        <w:t>who use</w:t>
      </w:r>
      <w:r w:rsidR="00406E1F" w:rsidRPr="00745D22">
        <w:rPr>
          <w:rFonts w:asciiTheme="majorBidi" w:hAnsiTheme="majorBidi" w:cstheme="majorBidi"/>
          <w:noProof/>
        </w:rPr>
        <w:t xml:space="preserve"> safely managed water sources </w:t>
      </w:r>
      <w:r w:rsidR="000213D9" w:rsidRPr="00745D22">
        <w:rPr>
          <w:rFonts w:asciiTheme="majorBidi" w:hAnsiTheme="majorBidi" w:cstheme="majorBidi"/>
          <w:noProof/>
        </w:rPr>
        <w:t xml:space="preserve">in the West Bank, and </w:t>
      </w:r>
      <w:r w:rsidR="00F75D04">
        <w:rPr>
          <w:rFonts w:asciiTheme="majorBidi" w:hAnsiTheme="majorBidi" w:cstheme="majorBidi"/>
          <w:noProof/>
        </w:rPr>
        <w:t>about 4</w:t>
      </w:r>
      <w:r w:rsidR="000213D9" w:rsidRPr="00745D22">
        <w:rPr>
          <w:rFonts w:asciiTheme="majorBidi" w:hAnsiTheme="majorBidi" w:cstheme="majorBidi"/>
          <w:noProof/>
        </w:rPr>
        <w:t xml:space="preserve">% </w:t>
      </w:r>
      <w:r w:rsidR="00406E1F">
        <w:rPr>
          <w:rFonts w:asciiTheme="majorBidi" w:hAnsiTheme="majorBidi" w:cstheme="majorBidi"/>
          <w:noProof/>
        </w:rPr>
        <w:t>o</w:t>
      </w:r>
      <w:r w:rsidR="000213D9" w:rsidRPr="00745D22">
        <w:rPr>
          <w:rFonts w:asciiTheme="majorBidi" w:hAnsiTheme="majorBidi" w:cstheme="majorBidi"/>
          <w:noProof/>
        </w:rPr>
        <w:t xml:space="preserve">f households </w:t>
      </w:r>
      <w:r w:rsidR="00406E1F" w:rsidRPr="00745D22">
        <w:rPr>
          <w:rFonts w:asciiTheme="majorBidi" w:hAnsiTheme="majorBidi" w:cstheme="majorBidi"/>
          <w:noProof/>
        </w:rPr>
        <w:t>use safely managed water sources</w:t>
      </w:r>
      <w:r w:rsidR="00406E1F">
        <w:rPr>
          <w:rFonts w:asciiTheme="majorBidi" w:hAnsiTheme="majorBidi" w:cstheme="majorBidi"/>
          <w:noProof/>
        </w:rPr>
        <w:t xml:space="preserve"> </w:t>
      </w:r>
      <w:r w:rsidR="000213D9" w:rsidRPr="00745D22">
        <w:rPr>
          <w:rFonts w:asciiTheme="majorBidi" w:hAnsiTheme="majorBidi" w:cstheme="majorBidi"/>
          <w:noProof/>
        </w:rPr>
        <w:t xml:space="preserve">in </w:t>
      </w:r>
      <w:r w:rsidR="00F77021">
        <w:rPr>
          <w:rFonts w:asciiTheme="majorBidi" w:hAnsiTheme="majorBidi" w:cstheme="majorBidi"/>
          <w:noProof/>
        </w:rPr>
        <w:t xml:space="preserve">the </w:t>
      </w:r>
      <w:r w:rsidR="000213D9" w:rsidRPr="00745D22">
        <w:rPr>
          <w:rFonts w:asciiTheme="majorBidi" w:hAnsiTheme="majorBidi" w:cstheme="majorBidi"/>
          <w:noProof/>
        </w:rPr>
        <w:t>Gaza Strip</w:t>
      </w:r>
      <w:r w:rsidR="00406E1F">
        <w:rPr>
          <w:rFonts w:asciiTheme="majorBidi" w:hAnsiTheme="majorBidi" w:cstheme="majorBidi"/>
          <w:noProof/>
        </w:rPr>
        <w:t>.</w:t>
      </w:r>
      <w:r w:rsidR="000213D9" w:rsidRPr="00745D22">
        <w:rPr>
          <w:rFonts w:asciiTheme="majorBidi" w:hAnsiTheme="majorBidi" w:cstheme="majorBidi"/>
          <w:noProof/>
        </w:rPr>
        <w:t xml:space="preserve"> </w:t>
      </w:r>
    </w:p>
    <w:p w14:paraId="13E95536" w14:textId="77777777" w:rsidR="005855B5" w:rsidRPr="00745D22" w:rsidRDefault="005855B5" w:rsidP="005855B5">
      <w:pPr>
        <w:bidi w:val="0"/>
        <w:jc w:val="both"/>
        <w:rPr>
          <w:rFonts w:asciiTheme="majorBidi" w:hAnsiTheme="majorBidi" w:cstheme="majorBidi"/>
          <w:noProof/>
        </w:rPr>
      </w:pPr>
    </w:p>
    <w:p w14:paraId="7976B143" w14:textId="2136C893" w:rsidR="005855B5" w:rsidRPr="00745D22" w:rsidRDefault="00C728D7" w:rsidP="00777549">
      <w:pPr>
        <w:bidi w:val="0"/>
        <w:jc w:val="both"/>
        <w:rPr>
          <w:rFonts w:asciiTheme="majorBidi" w:hAnsiTheme="majorBidi" w:cstheme="majorBidi"/>
          <w:b/>
        </w:rPr>
      </w:pPr>
      <w:r w:rsidRPr="00745D22">
        <w:rPr>
          <w:rFonts w:asciiTheme="majorBidi" w:hAnsiTheme="majorBidi" w:cstheme="majorBidi"/>
          <w:b/>
        </w:rPr>
        <w:t>Use of S</w:t>
      </w:r>
      <w:r w:rsidR="005855B5" w:rsidRPr="00745D22">
        <w:rPr>
          <w:rFonts w:asciiTheme="majorBidi" w:hAnsiTheme="majorBidi" w:cstheme="majorBidi"/>
          <w:b/>
        </w:rPr>
        <w:t>anitation</w:t>
      </w:r>
    </w:p>
    <w:p w14:paraId="597B3D77" w14:textId="0D57E576" w:rsidR="005855B5" w:rsidRPr="00745D22" w:rsidRDefault="002A2D22" w:rsidP="005855B5">
      <w:pPr>
        <w:bidi w:val="0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Some </w:t>
      </w:r>
      <w:r w:rsidR="00694F84">
        <w:rPr>
          <w:rFonts w:asciiTheme="majorBidi" w:hAnsiTheme="majorBidi" w:cstheme="majorBidi"/>
          <w:noProof/>
        </w:rPr>
        <w:t>98</w:t>
      </w:r>
      <w:r w:rsidR="005855B5" w:rsidRPr="00745D22">
        <w:rPr>
          <w:rFonts w:asciiTheme="majorBidi" w:hAnsiTheme="majorBidi" w:cstheme="majorBidi"/>
          <w:noProof/>
        </w:rPr>
        <w:t xml:space="preserve">% of household members in Palestine use improved sanitation facilities that are not shared with other </w:t>
      </w:r>
      <w:r w:rsidR="00406E1F">
        <w:rPr>
          <w:rFonts w:asciiTheme="majorBidi" w:hAnsiTheme="majorBidi" w:cstheme="majorBidi"/>
          <w:noProof/>
        </w:rPr>
        <w:t>households</w:t>
      </w:r>
      <w:r w:rsidR="005855B5" w:rsidRPr="00745D22">
        <w:rPr>
          <w:rFonts w:asciiTheme="majorBidi" w:hAnsiTheme="majorBidi" w:cstheme="majorBidi"/>
          <w:noProof/>
        </w:rPr>
        <w:t xml:space="preserve">. This percentage reached </w:t>
      </w:r>
      <w:r w:rsidR="00694F84">
        <w:rPr>
          <w:rFonts w:asciiTheme="majorBidi" w:hAnsiTheme="majorBidi" w:cstheme="majorBidi"/>
          <w:noProof/>
        </w:rPr>
        <w:t>about 98</w:t>
      </w:r>
      <w:r w:rsidR="005855B5" w:rsidRPr="00745D22">
        <w:rPr>
          <w:rFonts w:asciiTheme="majorBidi" w:hAnsiTheme="majorBidi" w:cstheme="majorBidi"/>
          <w:noProof/>
        </w:rPr>
        <w:t>% in the West Bank while it reached</w:t>
      </w:r>
      <w:r w:rsidR="00694F84" w:rsidRPr="00694F84">
        <w:rPr>
          <w:rFonts w:asciiTheme="majorBidi" w:hAnsiTheme="majorBidi" w:cstheme="majorBidi"/>
          <w:noProof/>
        </w:rPr>
        <w:t xml:space="preserve"> </w:t>
      </w:r>
      <w:r w:rsidR="00694F84">
        <w:rPr>
          <w:rFonts w:asciiTheme="majorBidi" w:hAnsiTheme="majorBidi" w:cstheme="majorBidi"/>
          <w:noProof/>
        </w:rPr>
        <w:t>about 97</w:t>
      </w:r>
      <w:r w:rsidR="005855B5" w:rsidRPr="00745D22">
        <w:rPr>
          <w:rFonts w:asciiTheme="majorBidi" w:hAnsiTheme="majorBidi" w:cstheme="majorBidi"/>
          <w:noProof/>
        </w:rPr>
        <w:t xml:space="preserve">% in </w:t>
      </w:r>
      <w:r w:rsidR="002C34B8">
        <w:rPr>
          <w:rFonts w:asciiTheme="majorBidi" w:hAnsiTheme="majorBidi" w:cstheme="majorBidi"/>
          <w:noProof/>
        </w:rPr>
        <w:t xml:space="preserve">the </w:t>
      </w:r>
      <w:r w:rsidR="005855B5" w:rsidRPr="00745D22">
        <w:rPr>
          <w:rFonts w:asciiTheme="majorBidi" w:hAnsiTheme="majorBidi" w:cstheme="majorBidi"/>
          <w:noProof/>
        </w:rPr>
        <w:t>Gaza Strip.</w:t>
      </w:r>
    </w:p>
    <w:p w14:paraId="67F1EE3F" w14:textId="77777777" w:rsidR="005855B5" w:rsidRPr="00745D22" w:rsidRDefault="005855B5" w:rsidP="005855B5">
      <w:pPr>
        <w:bidi w:val="0"/>
        <w:jc w:val="both"/>
        <w:rPr>
          <w:rFonts w:asciiTheme="majorBidi" w:hAnsiTheme="majorBidi" w:cstheme="majorBidi"/>
          <w:noProof/>
        </w:rPr>
      </w:pPr>
    </w:p>
    <w:p w14:paraId="474DD5EE" w14:textId="1C559E0E" w:rsidR="005855B5" w:rsidRPr="00745D22" w:rsidRDefault="005855B5" w:rsidP="005855B5">
      <w:pPr>
        <w:bidi w:val="0"/>
        <w:jc w:val="both"/>
        <w:rPr>
          <w:rFonts w:asciiTheme="majorBidi" w:hAnsiTheme="majorBidi" w:cstheme="majorBidi"/>
          <w:b/>
          <w:bCs/>
          <w:noProof/>
        </w:rPr>
      </w:pPr>
      <w:r w:rsidRPr="00745D22">
        <w:rPr>
          <w:rFonts w:asciiTheme="majorBidi" w:hAnsiTheme="majorBidi" w:cstheme="majorBidi"/>
          <w:b/>
          <w:bCs/>
          <w:noProof/>
        </w:rPr>
        <w:t xml:space="preserve">Hand </w:t>
      </w:r>
      <w:r w:rsidR="002C34B8">
        <w:rPr>
          <w:rFonts w:asciiTheme="majorBidi" w:hAnsiTheme="majorBidi" w:cstheme="majorBidi"/>
          <w:b/>
          <w:bCs/>
          <w:noProof/>
        </w:rPr>
        <w:t>W</w:t>
      </w:r>
      <w:r w:rsidRPr="00745D22">
        <w:rPr>
          <w:rFonts w:asciiTheme="majorBidi" w:hAnsiTheme="majorBidi" w:cstheme="majorBidi"/>
          <w:b/>
          <w:bCs/>
          <w:noProof/>
        </w:rPr>
        <w:t>ashing</w:t>
      </w:r>
    </w:p>
    <w:p w14:paraId="1014ECA5" w14:textId="144E289F" w:rsidR="005855B5" w:rsidRPr="00745D22" w:rsidRDefault="005855B5" w:rsidP="00484990">
      <w:pPr>
        <w:bidi w:val="0"/>
        <w:jc w:val="both"/>
        <w:rPr>
          <w:rFonts w:asciiTheme="majorBidi" w:hAnsiTheme="majorBidi" w:cstheme="majorBidi"/>
          <w:noProof/>
        </w:rPr>
      </w:pPr>
      <w:r w:rsidRPr="00745D22">
        <w:rPr>
          <w:rFonts w:asciiTheme="majorBidi" w:hAnsiTheme="majorBidi" w:cstheme="majorBidi"/>
          <w:noProof/>
        </w:rPr>
        <w:t xml:space="preserve">The percentage of household members who have a hand-washing facility that contains water and soap </w:t>
      </w:r>
      <w:r w:rsidR="00DA3E41" w:rsidRPr="00745D22">
        <w:rPr>
          <w:rFonts w:asciiTheme="majorBidi" w:hAnsiTheme="majorBidi" w:cstheme="majorBidi"/>
          <w:noProof/>
        </w:rPr>
        <w:t>was</w:t>
      </w:r>
      <w:r w:rsidRPr="00745D22">
        <w:rPr>
          <w:rFonts w:asciiTheme="majorBidi" w:hAnsiTheme="majorBidi" w:cstheme="majorBidi"/>
          <w:noProof/>
        </w:rPr>
        <w:t xml:space="preserve"> </w:t>
      </w:r>
      <w:r w:rsidR="00484990">
        <w:rPr>
          <w:rFonts w:asciiTheme="majorBidi" w:hAnsiTheme="majorBidi" w:cstheme="majorBidi"/>
          <w:noProof/>
        </w:rPr>
        <w:t>about 95</w:t>
      </w:r>
      <w:r w:rsidR="00BC5D90" w:rsidRPr="00745D22">
        <w:rPr>
          <w:rFonts w:asciiTheme="majorBidi" w:hAnsiTheme="majorBidi" w:cstheme="majorBidi"/>
          <w:noProof/>
        </w:rPr>
        <w:t>%</w:t>
      </w:r>
      <w:r w:rsidR="00BC5D90">
        <w:rPr>
          <w:rFonts w:asciiTheme="majorBidi" w:hAnsiTheme="majorBidi" w:cstheme="majorBidi"/>
          <w:noProof/>
        </w:rPr>
        <w:t xml:space="preserve">; </w:t>
      </w:r>
      <w:r w:rsidR="00484990">
        <w:rPr>
          <w:rFonts w:asciiTheme="majorBidi" w:hAnsiTheme="majorBidi" w:cstheme="majorBidi"/>
          <w:noProof/>
        </w:rPr>
        <w:t>with about 96</w:t>
      </w:r>
      <w:r w:rsidR="00484990" w:rsidRPr="00745D22">
        <w:rPr>
          <w:rFonts w:asciiTheme="majorBidi" w:hAnsiTheme="majorBidi" w:cstheme="majorBidi"/>
          <w:noProof/>
        </w:rPr>
        <w:t xml:space="preserve">% </w:t>
      </w:r>
      <w:r w:rsidRPr="00745D22">
        <w:rPr>
          <w:rFonts w:asciiTheme="majorBidi" w:hAnsiTheme="majorBidi" w:cstheme="majorBidi"/>
          <w:noProof/>
        </w:rPr>
        <w:t xml:space="preserve">in the West Bank and </w:t>
      </w:r>
      <w:r w:rsidR="00484990">
        <w:rPr>
          <w:rFonts w:asciiTheme="majorBidi" w:hAnsiTheme="majorBidi" w:cstheme="majorBidi"/>
          <w:noProof/>
        </w:rPr>
        <w:t>95</w:t>
      </w:r>
      <w:r w:rsidR="00777549" w:rsidRPr="00745D22">
        <w:rPr>
          <w:rFonts w:asciiTheme="majorBidi" w:hAnsiTheme="majorBidi" w:cstheme="majorBidi"/>
          <w:noProof/>
        </w:rPr>
        <w:t>%</w:t>
      </w:r>
      <w:r w:rsidR="00777549">
        <w:rPr>
          <w:rFonts w:asciiTheme="majorBidi" w:hAnsiTheme="majorBidi" w:cstheme="majorBidi"/>
          <w:noProof/>
        </w:rPr>
        <w:t xml:space="preserve"> </w:t>
      </w:r>
      <w:r w:rsidRPr="00745D22">
        <w:rPr>
          <w:rFonts w:asciiTheme="majorBidi" w:hAnsiTheme="majorBidi" w:cstheme="majorBidi"/>
          <w:noProof/>
        </w:rPr>
        <w:t xml:space="preserve">in </w:t>
      </w:r>
      <w:r w:rsidR="002C34B8">
        <w:rPr>
          <w:rFonts w:asciiTheme="majorBidi" w:hAnsiTheme="majorBidi" w:cstheme="majorBidi"/>
          <w:noProof/>
        </w:rPr>
        <w:t xml:space="preserve">the </w:t>
      </w:r>
      <w:r w:rsidRPr="00745D22">
        <w:rPr>
          <w:rFonts w:asciiTheme="majorBidi" w:hAnsiTheme="majorBidi" w:cstheme="majorBidi"/>
          <w:noProof/>
        </w:rPr>
        <w:t>Gaza Strip.</w:t>
      </w:r>
    </w:p>
    <w:p w14:paraId="0DC73FF9" w14:textId="77777777" w:rsidR="000213D9" w:rsidRPr="00A8340C" w:rsidRDefault="000213D9" w:rsidP="000213D9">
      <w:pPr>
        <w:bidi w:val="0"/>
        <w:jc w:val="both"/>
        <w:rPr>
          <w:rFonts w:asciiTheme="majorBidi" w:hAnsiTheme="majorBidi" w:cstheme="majorBidi"/>
          <w:b/>
          <w:bCs/>
          <w:noProof/>
          <w:color w:val="FF0000"/>
        </w:rPr>
      </w:pPr>
    </w:p>
    <w:p w14:paraId="2FEDF89E" w14:textId="55BA361F" w:rsidR="009C3270" w:rsidRPr="00F147B4" w:rsidRDefault="009C3270" w:rsidP="00574873">
      <w:pPr>
        <w:bidi w:val="0"/>
        <w:jc w:val="both"/>
        <w:rPr>
          <w:rFonts w:asciiTheme="majorBidi" w:hAnsiTheme="majorBidi" w:cstheme="majorBidi"/>
          <w:b/>
          <w:bCs/>
        </w:rPr>
      </w:pPr>
      <w:r w:rsidRPr="00F147B4">
        <w:rPr>
          <w:rFonts w:asciiTheme="majorBidi" w:hAnsiTheme="majorBidi" w:cstheme="majorBidi"/>
          <w:b/>
          <w:bCs/>
          <w:noProof/>
          <w:lang w:val="en-GB"/>
        </w:rPr>
        <w:t>Malnutrition</w:t>
      </w:r>
      <w:r w:rsidRPr="00F147B4">
        <w:rPr>
          <w:rFonts w:asciiTheme="majorBidi" w:hAnsiTheme="majorBidi" w:cstheme="majorBidi"/>
          <w:b/>
          <w:bCs/>
        </w:rPr>
        <w:t xml:space="preserve"> </w:t>
      </w:r>
      <w:r w:rsidR="00764007">
        <w:rPr>
          <w:rFonts w:asciiTheme="majorBidi" w:hAnsiTheme="majorBidi" w:cstheme="majorBidi"/>
          <w:b/>
          <w:bCs/>
        </w:rPr>
        <w:t>among</w:t>
      </w:r>
      <w:r w:rsidR="00764007" w:rsidRPr="00F147B4">
        <w:rPr>
          <w:rFonts w:asciiTheme="majorBidi" w:hAnsiTheme="majorBidi" w:cstheme="majorBidi"/>
          <w:b/>
          <w:bCs/>
        </w:rPr>
        <w:t xml:space="preserve"> </w:t>
      </w:r>
      <w:r w:rsidRPr="00F147B4">
        <w:rPr>
          <w:rFonts w:asciiTheme="majorBidi" w:hAnsiTheme="majorBidi" w:cstheme="majorBidi"/>
          <w:b/>
          <w:bCs/>
        </w:rPr>
        <w:t xml:space="preserve">Children Under Five Years </w:t>
      </w:r>
    </w:p>
    <w:p w14:paraId="576791F9" w14:textId="39177771" w:rsidR="00F21E09" w:rsidRDefault="006A78D1" w:rsidP="009674EE">
      <w:pPr>
        <w:bidi w:val="0"/>
        <w:jc w:val="both"/>
        <w:rPr>
          <w:rFonts w:asciiTheme="majorBidi" w:hAnsiTheme="majorBidi" w:cstheme="majorBidi"/>
          <w:b/>
          <w:bCs/>
        </w:rPr>
      </w:pPr>
      <w:r w:rsidRPr="006B3F33">
        <w:rPr>
          <w:rFonts w:asciiTheme="majorBidi" w:hAnsiTheme="majorBidi" w:cstheme="majorBidi"/>
          <w:u w:val="single"/>
        </w:rPr>
        <w:t>Stunting prevalence</w:t>
      </w:r>
      <w:r>
        <w:rPr>
          <w:rFonts w:asciiTheme="majorBidi" w:hAnsiTheme="majorBidi" w:cstheme="majorBidi"/>
        </w:rPr>
        <w:t xml:space="preserve">: </w:t>
      </w:r>
      <w:r w:rsidR="000D660E">
        <w:rPr>
          <w:rFonts w:asciiTheme="majorBidi" w:hAnsiTheme="majorBidi" w:cstheme="majorBidi"/>
        </w:rPr>
        <w:t>8.7</w:t>
      </w:r>
      <w:r w:rsidR="009C3270" w:rsidRPr="00F147B4">
        <w:rPr>
          <w:rFonts w:asciiTheme="majorBidi" w:hAnsiTheme="majorBidi" w:cstheme="majorBidi"/>
        </w:rPr>
        <w:t xml:space="preserve">% of children under the age of five </w:t>
      </w:r>
      <w:r w:rsidR="00764007">
        <w:rPr>
          <w:rFonts w:asciiTheme="majorBidi" w:hAnsiTheme="majorBidi" w:cstheme="majorBidi"/>
        </w:rPr>
        <w:t xml:space="preserve">years </w:t>
      </w:r>
      <w:r w:rsidR="009C3270" w:rsidRPr="00F147B4">
        <w:rPr>
          <w:rFonts w:asciiTheme="majorBidi" w:hAnsiTheme="majorBidi" w:cstheme="majorBidi"/>
        </w:rPr>
        <w:t>in Palestine suffer</w:t>
      </w:r>
      <w:r w:rsidR="009C3270" w:rsidRPr="00F147B4">
        <w:rPr>
          <w:rFonts w:asciiTheme="majorBidi" w:hAnsiTheme="majorBidi" w:cstheme="majorBidi"/>
          <w:b/>
          <w:bCs/>
        </w:rPr>
        <w:t xml:space="preserve"> </w:t>
      </w:r>
      <w:r w:rsidR="009C3270" w:rsidRPr="00F147B4">
        <w:rPr>
          <w:rFonts w:asciiTheme="majorBidi" w:hAnsiTheme="majorBidi" w:cstheme="majorBidi"/>
        </w:rPr>
        <w:t>from moderate and severe stunting.</w:t>
      </w:r>
      <w:r w:rsidR="009C3270" w:rsidRPr="00F147B4">
        <w:rPr>
          <w:rFonts w:asciiTheme="majorBidi" w:hAnsiTheme="majorBidi" w:cstheme="majorBidi"/>
          <w:b/>
          <w:bCs/>
        </w:rPr>
        <w:t xml:space="preserve"> </w:t>
      </w:r>
      <w:r w:rsidR="00493F00" w:rsidRPr="00F147B4">
        <w:rPr>
          <w:rFonts w:asciiTheme="majorBidi" w:hAnsiTheme="majorBidi" w:cstheme="majorBidi"/>
        </w:rPr>
        <w:t xml:space="preserve">The percentage was </w:t>
      </w:r>
      <w:r w:rsidR="000D660E">
        <w:rPr>
          <w:rFonts w:asciiTheme="majorBidi" w:hAnsiTheme="majorBidi" w:cstheme="majorBidi"/>
        </w:rPr>
        <w:t>8.5</w:t>
      </w:r>
      <w:r w:rsidR="00493F00" w:rsidRPr="00F147B4">
        <w:rPr>
          <w:rFonts w:asciiTheme="majorBidi" w:hAnsiTheme="majorBidi" w:cstheme="majorBidi"/>
        </w:rPr>
        <w:t xml:space="preserve">% in the West Bank and </w:t>
      </w:r>
      <w:r w:rsidR="000D660E">
        <w:rPr>
          <w:rFonts w:asciiTheme="majorBidi" w:hAnsiTheme="majorBidi" w:cstheme="majorBidi"/>
        </w:rPr>
        <w:t>9.0</w:t>
      </w:r>
      <w:r w:rsidR="00493F00" w:rsidRPr="00F147B4">
        <w:rPr>
          <w:rFonts w:asciiTheme="majorBidi" w:hAnsiTheme="majorBidi" w:cstheme="majorBidi"/>
        </w:rPr>
        <w:t xml:space="preserve">% in </w:t>
      </w:r>
      <w:r w:rsidR="00DF0B0E">
        <w:rPr>
          <w:rFonts w:asciiTheme="majorBidi" w:hAnsiTheme="majorBidi" w:cstheme="majorBidi"/>
        </w:rPr>
        <w:t xml:space="preserve">the </w:t>
      </w:r>
      <w:r w:rsidR="00493F00" w:rsidRPr="00F147B4">
        <w:rPr>
          <w:rFonts w:asciiTheme="majorBidi" w:hAnsiTheme="majorBidi" w:cstheme="majorBidi"/>
        </w:rPr>
        <w:t>Gaza Strip</w:t>
      </w:r>
      <w:r w:rsidR="00493F00" w:rsidRPr="00ED63A8">
        <w:rPr>
          <w:rFonts w:asciiTheme="majorBidi" w:hAnsiTheme="majorBidi" w:cstheme="majorBidi"/>
        </w:rPr>
        <w:t>.</w:t>
      </w:r>
      <w:r w:rsidR="009674EE">
        <w:rPr>
          <w:rFonts w:asciiTheme="majorBidi" w:hAnsiTheme="majorBidi" w:cstheme="majorBidi"/>
          <w:b/>
          <w:bCs/>
        </w:rPr>
        <w:t xml:space="preserve"> </w:t>
      </w:r>
      <w:r w:rsidR="009674EE">
        <w:rPr>
          <w:rFonts w:asciiTheme="majorBidi" w:hAnsiTheme="majorBidi" w:cstheme="majorBidi"/>
        </w:rPr>
        <w:t xml:space="preserve">When comparing </w:t>
      </w:r>
      <w:r w:rsidR="008C5E69">
        <w:rPr>
          <w:rFonts w:asciiTheme="majorBidi" w:hAnsiTheme="majorBidi" w:cstheme="majorBidi"/>
        </w:rPr>
        <w:t xml:space="preserve">the results </w:t>
      </w:r>
      <w:r w:rsidR="009674EE">
        <w:rPr>
          <w:rFonts w:asciiTheme="majorBidi" w:hAnsiTheme="majorBidi" w:cstheme="majorBidi"/>
        </w:rPr>
        <w:t>with data of 2014, th</w:t>
      </w:r>
      <w:r w:rsidR="00CB3A79">
        <w:rPr>
          <w:rFonts w:asciiTheme="majorBidi" w:hAnsiTheme="majorBidi" w:cstheme="majorBidi"/>
        </w:rPr>
        <w:t>e 2019</w:t>
      </w:r>
      <w:r w:rsidR="009674EE">
        <w:rPr>
          <w:rFonts w:asciiTheme="majorBidi" w:hAnsiTheme="majorBidi" w:cstheme="majorBidi"/>
        </w:rPr>
        <w:t xml:space="preserve"> percentage </w:t>
      </w:r>
      <w:r w:rsidR="00CB3A79">
        <w:rPr>
          <w:rFonts w:asciiTheme="majorBidi" w:hAnsiTheme="majorBidi" w:cstheme="majorBidi"/>
        </w:rPr>
        <w:t>has increased</w:t>
      </w:r>
      <w:r w:rsidR="009674EE">
        <w:rPr>
          <w:rFonts w:asciiTheme="majorBidi" w:hAnsiTheme="majorBidi" w:cstheme="majorBidi"/>
        </w:rPr>
        <w:t xml:space="preserve">,  </w:t>
      </w:r>
      <w:r w:rsidR="00CB3A79">
        <w:rPr>
          <w:rFonts w:asciiTheme="majorBidi" w:hAnsiTheme="majorBidi" w:cstheme="majorBidi"/>
        </w:rPr>
        <w:t xml:space="preserve">as </w:t>
      </w:r>
      <w:r w:rsidR="009674EE">
        <w:rPr>
          <w:rFonts w:asciiTheme="majorBidi" w:hAnsiTheme="majorBidi" w:cstheme="majorBidi"/>
        </w:rPr>
        <w:t xml:space="preserve">it </w:t>
      </w:r>
      <w:r w:rsidR="00CB3A79">
        <w:rPr>
          <w:rFonts w:asciiTheme="majorBidi" w:hAnsiTheme="majorBidi" w:cstheme="majorBidi"/>
        </w:rPr>
        <w:t xml:space="preserve">was </w:t>
      </w:r>
      <w:r w:rsidR="009674EE">
        <w:rPr>
          <w:rFonts w:asciiTheme="majorBidi" w:hAnsiTheme="majorBidi" w:cstheme="majorBidi"/>
        </w:rPr>
        <w:t xml:space="preserve">7.4% </w:t>
      </w:r>
      <w:r w:rsidR="00E62F31">
        <w:rPr>
          <w:rFonts w:asciiTheme="majorBidi" w:hAnsiTheme="majorBidi" w:cstheme="majorBidi"/>
        </w:rPr>
        <w:t>in 2014.</w:t>
      </w:r>
      <w:r w:rsidR="009674EE">
        <w:rPr>
          <w:rFonts w:asciiTheme="majorBidi" w:hAnsiTheme="majorBidi" w:cstheme="majorBidi"/>
        </w:rPr>
        <w:t xml:space="preserve"> </w:t>
      </w:r>
    </w:p>
    <w:p w14:paraId="3B57EFB9" w14:textId="77777777" w:rsidR="009674EE" w:rsidRPr="00F147B4" w:rsidRDefault="009674EE" w:rsidP="009674EE">
      <w:pPr>
        <w:bidi w:val="0"/>
        <w:jc w:val="both"/>
        <w:rPr>
          <w:rFonts w:asciiTheme="majorBidi" w:hAnsiTheme="majorBidi" w:cstheme="majorBidi"/>
          <w:b/>
          <w:bCs/>
        </w:rPr>
      </w:pPr>
    </w:p>
    <w:p w14:paraId="3794661F" w14:textId="544DEA7D" w:rsidR="00F21E09" w:rsidRPr="005C3880" w:rsidRDefault="006A78D1" w:rsidP="009674EE">
      <w:pPr>
        <w:bidi w:val="0"/>
        <w:jc w:val="both"/>
        <w:rPr>
          <w:rFonts w:asciiTheme="majorBidi" w:hAnsiTheme="majorBidi" w:cstheme="majorBidi"/>
        </w:rPr>
      </w:pPr>
      <w:r w:rsidRPr="006B3F33">
        <w:rPr>
          <w:rFonts w:asciiTheme="majorBidi" w:hAnsiTheme="majorBidi" w:cstheme="majorBidi"/>
          <w:u w:val="single"/>
        </w:rPr>
        <w:t>Underweight prevalence</w:t>
      </w:r>
      <w:r>
        <w:rPr>
          <w:rFonts w:asciiTheme="majorBidi" w:hAnsiTheme="majorBidi" w:cstheme="majorBidi"/>
        </w:rPr>
        <w:t xml:space="preserve">: </w:t>
      </w:r>
      <w:r w:rsidR="000D660E">
        <w:rPr>
          <w:rFonts w:asciiTheme="majorBidi" w:hAnsiTheme="majorBidi" w:cstheme="majorBidi"/>
        </w:rPr>
        <w:t>2.1</w:t>
      </w:r>
      <w:r w:rsidR="00F21E09" w:rsidRPr="00F147B4">
        <w:rPr>
          <w:rFonts w:asciiTheme="majorBidi" w:hAnsiTheme="majorBidi" w:cstheme="majorBidi"/>
        </w:rPr>
        <w:t xml:space="preserve">% of children under the age of five </w:t>
      </w:r>
      <w:r w:rsidR="00764007">
        <w:rPr>
          <w:rFonts w:asciiTheme="majorBidi" w:hAnsiTheme="majorBidi" w:cstheme="majorBidi"/>
        </w:rPr>
        <w:t xml:space="preserve">years </w:t>
      </w:r>
      <w:r w:rsidR="00F21E09" w:rsidRPr="00F147B4">
        <w:rPr>
          <w:rFonts w:asciiTheme="majorBidi" w:hAnsiTheme="majorBidi" w:cstheme="majorBidi"/>
        </w:rPr>
        <w:t>in Palestine suffer</w:t>
      </w:r>
      <w:r w:rsidR="00F21E09" w:rsidRPr="00F147B4">
        <w:rPr>
          <w:rFonts w:asciiTheme="majorBidi" w:hAnsiTheme="majorBidi" w:cstheme="majorBidi"/>
          <w:b/>
          <w:bCs/>
        </w:rPr>
        <w:t xml:space="preserve"> </w:t>
      </w:r>
      <w:r w:rsidR="000D660E">
        <w:rPr>
          <w:rFonts w:asciiTheme="majorBidi" w:hAnsiTheme="majorBidi" w:cstheme="majorBidi"/>
        </w:rPr>
        <w:t xml:space="preserve">from </w:t>
      </w:r>
      <w:r w:rsidR="00E62F31">
        <w:rPr>
          <w:rFonts w:asciiTheme="majorBidi" w:hAnsiTheme="majorBidi" w:cstheme="majorBidi"/>
        </w:rPr>
        <w:t xml:space="preserve">being </w:t>
      </w:r>
      <w:r w:rsidR="00F21E09" w:rsidRPr="00F147B4">
        <w:rPr>
          <w:rFonts w:asciiTheme="majorBidi" w:hAnsiTheme="majorBidi" w:cstheme="majorBidi"/>
        </w:rPr>
        <w:t>underweight.</w:t>
      </w:r>
      <w:r w:rsidR="00F21E09" w:rsidRPr="00F147B4">
        <w:rPr>
          <w:rFonts w:asciiTheme="majorBidi" w:hAnsiTheme="majorBidi" w:cstheme="majorBidi"/>
          <w:b/>
          <w:bCs/>
        </w:rPr>
        <w:t xml:space="preserve"> </w:t>
      </w:r>
      <w:r w:rsidR="009F7A54" w:rsidRPr="009F7A54">
        <w:rPr>
          <w:rFonts w:asciiTheme="majorBidi" w:hAnsiTheme="majorBidi" w:cstheme="majorBidi"/>
        </w:rPr>
        <w:t>This percentage was equal in both the West Bank and</w:t>
      </w:r>
      <w:r w:rsidR="00E62F31">
        <w:rPr>
          <w:rFonts w:asciiTheme="majorBidi" w:hAnsiTheme="majorBidi" w:cstheme="majorBidi"/>
        </w:rPr>
        <w:t xml:space="preserve"> the</w:t>
      </w:r>
      <w:r w:rsidR="009F7A54" w:rsidRPr="009F7A54">
        <w:rPr>
          <w:rFonts w:asciiTheme="majorBidi" w:hAnsiTheme="majorBidi" w:cstheme="majorBidi"/>
        </w:rPr>
        <w:t xml:space="preserve"> Gaza Strip</w:t>
      </w:r>
      <w:r w:rsidR="009F7A54">
        <w:rPr>
          <w:rFonts w:asciiTheme="majorBidi" w:hAnsiTheme="majorBidi" w:cstheme="majorBidi"/>
          <w:b/>
          <w:bCs/>
        </w:rPr>
        <w:t xml:space="preserve"> </w:t>
      </w:r>
      <w:r w:rsidR="009F7A54" w:rsidRPr="009F7A54">
        <w:rPr>
          <w:rFonts w:asciiTheme="majorBidi" w:hAnsiTheme="majorBidi" w:cstheme="majorBidi"/>
        </w:rPr>
        <w:t>(2.1%).</w:t>
      </w:r>
      <w:r w:rsidR="009674EE">
        <w:rPr>
          <w:rFonts w:asciiTheme="majorBidi" w:hAnsiTheme="majorBidi" w:cstheme="majorBidi"/>
          <w:b/>
          <w:bCs/>
        </w:rPr>
        <w:t xml:space="preserve"> </w:t>
      </w:r>
      <w:r w:rsidR="009674EE">
        <w:rPr>
          <w:rFonts w:asciiTheme="majorBidi" w:hAnsiTheme="majorBidi" w:cstheme="majorBidi"/>
        </w:rPr>
        <w:t>Available data indicate</w:t>
      </w:r>
      <w:r w:rsidR="001F5C4E">
        <w:rPr>
          <w:rFonts w:asciiTheme="majorBidi" w:hAnsiTheme="majorBidi" w:cstheme="majorBidi"/>
        </w:rPr>
        <w:t>s</w:t>
      </w:r>
      <w:r w:rsidR="009674EE">
        <w:rPr>
          <w:rFonts w:asciiTheme="majorBidi" w:hAnsiTheme="majorBidi" w:cstheme="majorBidi"/>
        </w:rPr>
        <w:t xml:space="preserve"> an increase in the percentage of children under five years who suffer from </w:t>
      </w:r>
      <w:r w:rsidR="00685B3F">
        <w:rPr>
          <w:rFonts w:asciiTheme="majorBidi" w:hAnsiTheme="majorBidi" w:cstheme="majorBidi"/>
        </w:rPr>
        <w:t xml:space="preserve">being </w:t>
      </w:r>
      <w:r w:rsidR="009674EE">
        <w:rPr>
          <w:rFonts w:asciiTheme="majorBidi" w:hAnsiTheme="majorBidi" w:cstheme="majorBidi"/>
        </w:rPr>
        <w:t>underweight, where it reached 1.4% in 2014.</w:t>
      </w:r>
    </w:p>
    <w:p w14:paraId="457C6BD7" w14:textId="77777777" w:rsidR="00E824B1" w:rsidRDefault="00E824B1" w:rsidP="009674EE">
      <w:pPr>
        <w:bidi w:val="0"/>
        <w:jc w:val="both"/>
        <w:rPr>
          <w:rFonts w:asciiTheme="majorBidi" w:hAnsiTheme="majorBidi" w:cstheme="majorBidi"/>
          <w:u w:val="single"/>
        </w:rPr>
      </w:pPr>
    </w:p>
    <w:p w14:paraId="55E9F22F" w14:textId="5F1905D3" w:rsidR="00F21E09" w:rsidRPr="005C3880" w:rsidRDefault="006A78D1" w:rsidP="00E824B1">
      <w:pPr>
        <w:bidi w:val="0"/>
        <w:jc w:val="both"/>
        <w:rPr>
          <w:rFonts w:asciiTheme="majorBidi" w:hAnsiTheme="majorBidi" w:cstheme="majorBidi"/>
        </w:rPr>
      </w:pPr>
      <w:r w:rsidRPr="006B3F33">
        <w:rPr>
          <w:rFonts w:asciiTheme="majorBidi" w:hAnsiTheme="majorBidi" w:cstheme="majorBidi"/>
          <w:u w:val="single"/>
        </w:rPr>
        <w:t>Wasting prevalence</w:t>
      </w:r>
      <w:r w:rsidRPr="00764007">
        <w:rPr>
          <w:rFonts w:asciiTheme="majorBidi" w:hAnsiTheme="majorBidi" w:cstheme="majorBidi"/>
        </w:rPr>
        <w:t xml:space="preserve">: </w:t>
      </w:r>
      <w:r w:rsidR="00F21E09" w:rsidRPr="00764007">
        <w:rPr>
          <w:rFonts w:asciiTheme="majorBidi" w:hAnsiTheme="majorBidi" w:cstheme="majorBidi"/>
        </w:rPr>
        <w:t>1.</w:t>
      </w:r>
      <w:r w:rsidR="00012141" w:rsidRPr="00764007">
        <w:rPr>
          <w:rFonts w:asciiTheme="majorBidi" w:hAnsiTheme="majorBidi" w:cstheme="majorBidi"/>
        </w:rPr>
        <w:t>3</w:t>
      </w:r>
      <w:r w:rsidR="00F21E09" w:rsidRPr="00764007">
        <w:rPr>
          <w:rFonts w:asciiTheme="majorBidi" w:hAnsiTheme="majorBidi" w:cstheme="majorBidi"/>
        </w:rPr>
        <w:t xml:space="preserve">% of children under the age of five </w:t>
      </w:r>
      <w:r w:rsidR="00764007">
        <w:rPr>
          <w:rFonts w:asciiTheme="majorBidi" w:hAnsiTheme="majorBidi" w:cstheme="majorBidi"/>
        </w:rPr>
        <w:t xml:space="preserve">years </w:t>
      </w:r>
      <w:r w:rsidR="00F21E09" w:rsidRPr="00764007">
        <w:rPr>
          <w:rFonts w:asciiTheme="majorBidi" w:hAnsiTheme="majorBidi" w:cstheme="majorBidi"/>
        </w:rPr>
        <w:t>in Palestine suffer</w:t>
      </w:r>
      <w:r w:rsidR="00494161" w:rsidRPr="005C3880">
        <w:rPr>
          <w:rFonts w:asciiTheme="majorBidi" w:hAnsiTheme="majorBidi" w:cstheme="majorBidi"/>
        </w:rPr>
        <w:t xml:space="preserve"> </w:t>
      </w:r>
      <w:r w:rsidR="00F21E09" w:rsidRPr="00764007">
        <w:rPr>
          <w:rFonts w:asciiTheme="majorBidi" w:hAnsiTheme="majorBidi" w:cstheme="majorBidi"/>
        </w:rPr>
        <w:t>from wasting.</w:t>
      </w:r>
      <w:r w:rsidR="00494161" w:rsidRPr="005C3880">
        <w:rPr>
          <w:rFonts w:asciiTheme="majorBidi" w:hAnsiTheme="majorBidi" w:cstheme="majorBidi"/>
        </w:rPr>
        <w:t xml:space="preserve"> </w:t>
      </w:r>
      <w:r w:rsidR="00F21E09" w:rsidRPr="00764007">
        <w:rPr>
          <w:rFonts w:asciiTheme="majorBidi" w:hAnsiTheme="majorBidi" w:cstheme="majorBidi"/>
        </w:rPr>
        <w:t>The</w:t>
      </w:r>
      <w:r w:rsidR="00F21E09" w:rsidRPr="00F147B4">
        <w:rPr>
          <w:rFonts w:asciiTheme="majorBidi" w:hAnsiTheme="majorBidi" w:cstheme="majorBidi"/>
        </w:rPr>
        <w:t xml:space="preserve"> percentage was 1.7% in the West Bank and 0.</w:t>
      </w:r>
      <w:r w:rsidR="004F694C">
        <w:rPr>
          <w:rFonts w:asciiTheme="majorBidi" w:hAnsiTheme="majorBidi" w:cstheme="majorBidi"/>
        </w:rPr>
        <w:t>8</w:t>
      </w:r>
      <w:r w:rsidR="00F21E09" w:rsidRPr="00F147B4">
        <w:rPr>
          <w:rFonts w:asciiTheme="majorBidi" w:hAnsiTheme="majorBidi" w:cstheme="majorBidi"/>
        </w:rPr>
        <w:t xml:space="preserve">% in </w:t>
      </w:r>
      <w:r w:rsidR="00685B3F">
        <w:rPr>
          <w:rFonts w:asciiTheme="majorBidi" w:hAnsiTheme="majorBidi" w:cstheme="majorBidi"/>
        </w:rPr>
        <w:t xml:space="preserve">the </w:t>
      </w:r>
      <w:r w:rsidR="00F21E09" w:rsidRPr="00F147B4">
        <w:rPr>
          <w:rFonts w:asciiTheme="majorBidi" w:hAnsiTheme="majorBidi" w:cstheme="majorBidi"/>
        </w:rPr>
        <w:t>Gaza Strip</w:t>
      </w:r>
      <w:r w:rsidR="00F21E09" w:rsidRPr="00ED63A8">
        <w:rPr>
          <w:rFonts w:asciiTheme="majorBidi" w:hAnsiTheme="majorBidi" w:cstheme="majorBidi"/>
        </w:rPr>
        <w:t>.</w:t>
      </w:r>
      <w:r w:rsidR="00F21E09" w:rsidRPr="00F147B4">
        <w:rPr>
          <w:rFonts w:asciiTheme="majorBidi" w:hAnsiTheme="majorBidi" w:cstheme="majorBidi"/>
        </w:rPr>
        <w:t xml:space="preserve"> </w:t>
      </w:r>
      <w:r w:rsidR="00685B3F">
        <w:rPr>
          <w:rFonts w:asciiTheme="majorBidi" w:hAnsiTheme="majorBidi" w:cstheme="majorBidi"/>
        </w:rPr>
        <w:t>T</w:t>
      </w:r>
      <w:r w:rsidR="000D37FE">
        <w:rPr>
          <w:rFonts w:asciiTheme="majorBidi" w:hAnsiTheme="majorBidi" w:cstheme="majorBidi"/>
        </w:rPr>
        <w:t xml:space="preserve">his percentage </w:t>
      </w:r>
      <w:r w:rsidR="00685B3F">
        <w:rPr>
          <w:rFonts w:asciiTheme="majorBidi" w:hAnsiTheme="majorBidi" w:cstheme="majorBidi"/>
        </w:rPr>
        <w:t xml:space="preserve">has remained </w:t>
      </w:r>
      <w:r w:rsidR="009674EE">
        <w:rPr>
          <w:rFonts w:asciiTheme="majorBidi" w:hAnsiTheme="majorBidi" w:cstheme="majorBidi"/>
        </w:rPr>
        <w:t xml:space="preserve">steady </w:t>
      </w:r>
      <w:r w:rsidR="00685B3F">
        <w:rPr>
          <w:rFonts w:asciiTheme="majorBidi" w:hAnsiTheme="majorBidi" w:cstheme="majorBidi"/>
        </w:rPr>
        <w:t xml:space="preserve">as </w:t>
      </w:r>
      <w:r w:rsidR="009674EE">
        <w:rPr>
          <w:rFonts w:asciiTheme="majorBidi" w:hAnsiTheme="majorBidi" w:cstheme="majorBidi"/>
        </w:rPr>
        <w:t>compared to 2014, whe</w:t>
      </w:r>
      <w:r w:rsidR="00685B3F">
        <w:rPr>
          <w:rFonts w:asciiTheme="majorBidi" w:hAnsiTheme="majorBidi" w:cstheme="majorBidi"/>
        </w:rPr>
        <w:t>n</w:t>
      </w:r>
      <w:r w:rsidR="009674EE">
        <w:rPr>
          <w:rFonts w:asciiTheme="majorBidi" w:hAnsiTheme="majorBidi" w:cstheme="majorBidi"/>
        </w:rPr>
        <w:t xml:space="preserve"> it reached</w:t>
      </w:r>
      <w:r w:rsidR="008C5E69">
        <w:rPr>
          <w:rFonts w:asciiTheme="majorBidi" w:hAnsiTheme="majorBidi" w:cstheme="majorBidi"/>
        </w:rPr>
        <w:t xml:space="preserve"> </w:t>
      </w:r>
      <w:r w:rsidR="009674EE">
        <w:rPr>
          <w:rFonts w:asciiTheme="majorBidi" w:hAnsiTheme="majorBidi" w:cstheme="majorBidi"/>
        </w:rPr>
        <w:t>1.2%.</w:t>
      </w:r>
    </w:p>
    <w:p w14:paraId="0FFA284D" w14:textId="77777777" w:rsidR="008A370A" w:rsidRDefault="008A370A" w:rsidP="006125CF">
      <w:pPr>
        <w:bidi w:val="0"/>
        <w:jc w:val="center"/>
        <w:rPr>
          <w:rFonts w:asciiTheme="majorBidi" w:hAnsiTheme="majorBidi" w:cstheme="majorBidi"/>
          <w:b/>
          <w:bCs/>
        </w:rPr>
      </w:pPr>
      <w:bookmarkStart w:id="2" w:name="_Toc142800363"/>
    </w:p>
    <w:p w14:paraId="51533879" w14:textId="77777777" w:rsidR="008A370A" w:rsidRDefault="008A370A" w:rsidP="008A370A">
      <w:pPr>
        <w:bidi w:val="0"/>
        <w:jc w:val="center"/>
        <w:rPr>
          <w:rFonts w:asciiTheme="majorBidi" w:hAnsiTheme="majorBidi" w:cstheme="majorBidi"/>
          <w:b/>
          <w:bCs/>
        </w:rPr>
      </w:pPr>
    </w:p>
    <w:p w14:paraId="7D3D8104" w14:textId="0D74B512" w:rsidR="004F694C" w:rsidRDefault="004F694C" w:rsidP="008A370A">
      <w:pPr>
        <w:bidi w:val="0"/>
        <w:jc w:val="center"/>
        <w:rPr>
          <w:rFonts w:asciiTheme="majorBidi" w:hAnsiTheme="majorBidi" w:cstheme="majorBidi"/>
          <w:b/>
          <w:bCs/>
        </w:rPr>
      </w:pPr>
      <w:r w:rsidRPr="004F694C">
        <w:rPr>
          <w:rFonts w:asciiTheme="majorBidi" w:hAnsiTheme="majorBidi" w:cstheme="majorBidi"/>
          <w:b/>
          <w:bCs/>
        </w:rPr>
        <w:lastRenderedPageBreak/>
        <w:t xml:space="preserve">The </w:t>
      </w:r>
      <w:r>
        <w:rPr>
          <w:rFonts w:asciiTheme="majorBidi" w:hAnsiTheme="majorBidi" w:cstheme="majorBidi"/>
          <w:b/>
          <w:bCs/>
        </w:rPr>
        <w:t>percentage</w:t>
      </w:r>
      <w:r w:rsidRPr="004F694C">
        <w:rPr>
          <w:rFonts w:asciiTheme="majorBidi" w:hAnsiTheme="majorBidi" w:cstheme="majorBidi"/>
          <w:b/>
          <w:bCs/>
        </w:rPr>
        <w:t xml:space="preserve"> of children under five years </w:t>
      </w:r>
      <w:r>
        <w:rPr>
          <w:rFonts w:asciiTheme="majorBidi" w:hAnsiTheme="majorBidi" w:cstheme="majorBidi"/>
          <w:b/>
          <w:bCs/>
        </w:rPr>
        <w:t>by</w:t>
      </w:r>
      <w:r w:rsidRPr="004F694C">
        <w:rPr>
          <w:rFonts w:asciiTheme="majorBidi" w:hAnsiTheme="majorBidi" w:cstheme="majorBidi"/>
          <w:b/>
          <w:bCs/>
        </w:rPr>
        <w:t xml:space="preserve"> nutritional status and </w:t>
      </w:r>
      <w:r>
        <w:rPr>
          <w:rFonts w:asciiTheme="majorBidi" w:hAnsiTheme="majorBidi" w:cstheme="majorBidi"/>
          <w:b/>
          <w:bCs/>
        </w:rPr>
        <w:t>sex</w:t>
      </w:r>
    </w:p>
    <w:p w14:paraId="3B8B7F93" w14:textId="77777777" w:rsidR="00EF4FEE" w:rsidRPr="00EF4FEE" w:rsidRDefault="00EF4FEE" w:rsidP="006125CF">
      <w:pPr>
        <w:bidi w:val="0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45"/>
        <w:gridCol w:w="1671"/>
        <w:gridCol w:w="2822"/>
      </w:tblGrid>
      <w:tr w:rsidR="000B4775" w:rsidRPr="00665004" w14:paraId="5E5042E9" w14:textId="77777777" w:rsidTr="00A52DC4">
        <w:trPr>
          <w:trHeight w:hRule="exact" w:val="463"/>
          <w:jc w:val="center"/>
        </w:trPr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71A9ED76" w14:textId="77777777" w:rsidR="000B4775" w:rsidRPr="00474C0D" w:rsidRDefault="000B4775" w:rsidP="000B4775">
            <w:pPr>
              <w:bidi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474C0D">
              <w:rPr>
                <w:b/>
                <w:bCs/>
                <w:sz w:val="20"/>
                <w:szCs w:val="20"/>
                <w:shd w:val="clear" w:color="auto" w:fill="FFFFFF"/>
              </w:rPr>
              <w:t>Female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1F07B783" w14:textId="77777777" w:rsidR="000B4775" w:rsidRPr="00474C0D" w:rsidRDefault="000B4775" w:rsidP="000B4775">
            <w:pPr>
              <w:bidi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474C0D">
              <w:rPr>
                <w:b/>
                <w:bCs/>
                <w:sz w:val="20"/>
                <w:szCs w:val="20"/>
                <w:shd w:val="clear" w:color="auto" w:fill="FFFFFF"/>
              </w:rPr>
              <w:t>Male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14:paraId="0617E8F2" w14:textId="77777777" w:rsidR="000B4775" w:rsidRPr="00474C0D" w:rsidRDefault="000B4775" w:rsidP="000B4775">
            <w:pPr>
              <w:bidi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474C0D">
              <w:rPr>
                <w:b/>
                <w:bCs/>
                <w:noProof/>
                <w:sz w:val="20"/>
                <w:szCs w:val="20"/>
                <w:lang w:val="en-GB"/>
              </w:rPr>
              <w:t>Malnutrition</w:t>
            </w:r>
            <w:r w:rsidRPr="00474C0D">
              <w:rPr>
                <w:b/>
                <w:bCs/>
                <w:noProof/>
                <w:sz w:val="20"/>
                <w:szCs w:val="20"/>
              </w:rPr>
              <w:t xml:space="preserve"> Indicators</w:t>
            </w:r>
          </w:p>
        </w:tc>
      </w:tr>
      <w:tr w:rsidR="000B4775" w:rsidRPr="00665004" w14:paraId="1F60D5AF" w14:textId="77777777" w:rsidTr="00A52DC4">
        <w:trPr>
          <w:trHeight w:hRule="exact" w:val="340"/>
          <w:jc w:val="center"/>
        </w:trPr>
        <w:tc>
          <w:tcPr>
            <w:tcW w:w="2345" w:type="dxa"/>
            <w:tcBorders>
              <w:bottom w:val="nil"/>
            </w:tcBorders>
            <w:vAlign w:val="center"/>
          </w:tcPr>
          <w:p w14:paraId="4823CAEC" w14:textId="77777777" w:rsidR="000B4775" w:rsidRPr="00665004" w:rsidRDefault="000B4775" w:rsidP="000B4775">
            <w:pPr>
              <w:bidi w:val="0"/>
              <w:rPr>
                <w:rFonts w:ascii="Arial" w:hAnsi="Arial" w:cs="Arial"/>
                <w:sz w:val="18"/>
                <w:szCs w:val="18"/>
                <w:shd w:val="clear" w:color="auto" w:fill="FFFFFF"/>
                <w:rtl/>
              </w:rPr>
            </w:pPr>
            <w:r w:rsidRPr="00665004">
              <w:rPr>
                <w:rFonts w:ascii="Arial" w:hAnsi="Arial" w:cs="Arial"/>
                <w:sz w:val="18"/>
                <w:szCs w:val="18"/>
                <w:shd w:val="clear" w:color="auto" w:fill="FFFFFF"/>
                <w:rtl/>
              </w:rPr>
              <w:t>8.8</w:t>
            </w:r>
          </w:p>
        </w:tc>
        <w:tc>
          <w:tcPr>
            <w:tcW w:w="1671" w:type="dxa"/>
            <w:tcBorders>
              <w:bottom w:val="nil"/>
            </w:tcBorders>
            <w:vAlign w:val="center"/>
          </w:tcPr>
          <w:p w14:paraId="202C9741" w14:textId="77777777" w:rsidR="000B4775" w:rsidRPr="00665004" w:rsidRDefault="000B4775" w:rsidP="000B4775">
            <w:pPr>
              <w:bidi w:val="0"/>
              <w:rPr>
                <w:rFonts w:ascii="Arial" w:hAnsi="Arial" w:cs="Arial"/>
                <w:sz w:val="18"/>
                <w:szCs w:val="18"/>
                <w:shd w:val="clear" w:color="auto" w:fill="FFFFFF"/>
                <w:rtl/>
              </w:rPr>
            </w:pPr>
            <w:r w:rsidRPr="00665004">
              <w:rPr>
                <w:rFonts w:ascii="Arial" w:hAnsi="Arial" w:cs="Arial"/>
                <w:sz w:val="18"/>
                <w:szCs w:val="18"/>
                <w:shd w:val="clear" w:color="auto" w:fill="FFFFFF"/>
                <w:rtl/>
              </w:rPr>
              <w:t>8.6</w:t>
            </w:r>
          </w:p>
        </w:tc>
        <w:tc>
          <w:tcPr>
            <w:tcW w:w="2822" w:type="dxa"/>
            <w:tcBorders>
              <w:bottom w:val="nil"/>
            </w:tcBorders>
            <w:vAlign w:val="center"/>
          </w:tcPr>
          <w:p w14:paraId="69B35215" w14:textId="77777777" w:rsidR="000B4775" w:rsidRPr="00F869B6" w:rsidRDefault="000B4775" w:rsidP="000B4775">
            <w:pPr>
              <w:bidi w:val="0"/>
              <w:rPr>
                <w:rFonts w:ascii="Arial" w:hAnsi="Arial" w:cs="Arial"/>
                <w:sz w:val="20"/>
                <w:szCs w:val="20"/>
                <w:shd w:val="clear" w:color="auto" w:fill="FFFFFF"/>
                <w:rtl/>
              </w:rPr>
            </w:pPr>
            <w:r w:rsidRPr="00F869B6">
              <w:rPr>
                <w:rFonts w:asciiTheme="majorBidi" w:hAnsiTheme="majorBidi" w:cstheme="majorBidi"/>
                <w:sz w:val="20"/>
                <w:szCs w:val="20"/>
              </w:rPr>
              <w:t>Stunting</w:t>
            </w:r>
          </w:p>
        </w:tc>
      </w:tr>
      <w:tr w:rsidR="000B4775" w:rsidRPr="00665004" w14:paraId="12D132D1" w14:textId="77777777" w:rsidTr="00A52DC4">
        <w:trPr>
          <w:trHeight w:hRule="exact" w:val="340"/>
          <w:jc w:val="center"/>
        </w:trPr>
        <w:tc>
          <w:tcPr>
            <w:tcW w:w="2345" w:type="dxa"/>
            <w:tcBorders>
              <w:top w:val="nil"/>
              <w:bottom w:val="nil"/>
            </w:tcBorders>
            <w:vAlign w:val="center"/>
          </w:tcPr>
          <w:p w14:paraId="60F25D2F" w14:textId="77777777" w:rsidR="000B4775" w:rsidRPr="00665004" w:rsidRDefault="000B4775" w:rsidP="000B4775">
            <w:pPr>
              <w:bidi w:val="0"/>
              <w:rPr>
                <w:rFonts w:ascii="Arial" w:hAnsi="Arial" w:cs="Arial"/>
                <w:sz w:val="18"/>
                <w:szCs w:val="18"/>
                <w:shd w:val="clear" w:color="auto" w:fill="FFFFFF"/>
                <w:rtl/>
              </w:rPr>
            </w:pPr>
            <w:r w:rsidRPr="00665004">
              <w:rPr>
                <w:rFonts w:ascii="Arial" w:hAnsi="Arial" w:cs="Arial"/>
                <w:sz w:val="18"/>
                <w:szCs w:val="18"/>
                <w:shd w:val="clear" w:color="auto" w:fill="FFFFFF"/>
                <w:rtl/>
              </w:rPr>
              <w:t>1.6</w:t>
            </w:r>
          </w:p>
        </w:tc>
        <w:tc>
          <w:tcPr>
            <w:tcW w:w="1671" w:type="dxa"/>
            <w:tcBorders>
              <w:top w:val="nil"/>
              <w:bottom w:val="nil"/>
            </w:tcBorders>
            <w:vAlign w:val="center"/>
          </w:tcPr>
          <w:p w14:paraId="4CEDC045" w14:textId="77777777" w:rsidR="000B4775" w:rsidRPr="00665004" w:rsidRDefault="000B4775" w:rsidP="000B4775">
            <w:pPr>
              <w:bidi w:val="0"/>
              <w:rPr>
                <w:rFonts w:ascii="Arial" w:hAnsi="Arial" w:cs="Arial"/>
                <w:sz w:val="18"/>
                <w:szCs w:val="18"/>
                <w:shd w:val="clear" w:color="auto" w:fill="FFFFFF"/>
                <w:rtl/>
              </w:rPr>
            </w:pPr>
            <w:r w:rsidRPr="00665004">
              <w:rPr>
                <w:rFonts w:ascii="Arial" w:hAnsi="Arial" w:cs="Arial"/>
                <w:sz w:val="18"/>
                <w:szCs w:val="18"/>
                <w:shd w:val="clear" w:color="auto" w:fill="FFFFFF"/>
                <w:rtl/>
              </w:rPr>
              <w:t>2.6</w:t>
            </w:r>
          </w:p>
        </w:tc>
        <w:tc>
          <w:tcPr>
            <w:tcW w:w="2822" w:type="dxa"/>
            <w:tcBorders>
              <w:top w:val="nil"/>
              <w:bottom w:val="nil"/>
            </w:tcBorders>
            <w:vAlign w:val="center"/>
          </w:tcPr>
          <w:p w14:paraId="57F5FBFE" w14:textId="77777777" w:rsidR="000B4775" w:rsidRPr="00F869B6" w:rsidRDefault="000B4775" w:rsidP="000B4775">
            <w:pPr>
              <w:bidi w:val="0"/>
              <w:rPr>
                <w:rFonts w:ascii="Arial" w:hAnsi="Arial" w:cs="Arial"/>
                <w:sz w:val="20"/>
                <w:szCs w:val="20"/>
                <w:shd w:val="clear" w:color="auto" w:fill="FFFFFF"/>
                <w:rtl/>
              </w:rPr>
            </w:pPr>
            <w:r w:rsidRPr="00F869B6">
              <w:rPr>
                <w:rFonts w:asciiTheme="majorBidi" w:hAnsiTheme="majorBidi" w:cstheme="majorBidi"/>
                <w:sz w:val="20"/>
                <w:szCs w:val="20"/>
              </w:rPr>
              <w:t>Underweight</w:t>
            </w:r>
          </w:p>
        </w:tc>
      </w:tr>
      <w:tr w:rsidR="000B4775" w:rsidRPr="00665004" w14:paraId="69C509F0" w14:textId="77777777" w:rsidTr="00A52DC4">
        <w:trPr>
          <w:trHeight w:hRule="exact" w:val="340"/>
          <w:jc w:val="center"/>
        </w:trPr>
        <w:tc>
          <w:tcPr>
            <w:tcW w:w="2345" w:type="dxa"/>
            <w:tcBorders>
              <w:top w:val="nil"/>
            </w:tcBorders>
            <w:vAlign w:val="center"/>
          </w:tcPr>
          <w:p w14:paraId="7E9732D8" w14:textId="77777777" w:rsidR="000B4775" w:rsidRPr="00665004" w:rsidRDefault="000B4775" w:rsidP="000B4775">
            <w:pPr>
              <w:bidi w:val="0"/>
              <w:rPr>
                <w:rFonts w:ascii="Arial" w:hAnsi="Arial" w:cs="Arial"/>
                <w:sz w:val="18"/>
                <w:szCs w:val="18"/>
                <w:shd w:val="clear" w:color="auto" w:fill="FFFFFF"/>
                <w:rtl/>
              </w:rPr>
            </w:pPr>
            <w:r w:rsidRPr="00665004">
              <w:rPr>
                <w:rFonts w:ascii="Arial" w:hAnsi="Arial" w:cs="Arial"/>
                <w:sz w:val="18"/>
                <w:szCs w:val="18"/>
                <w:shd w:val="clear" w:color="auto" w:fill="FFFFFF"/>
                <w:rtl/>
              </w:rPr>
              <w:t>1.3</w:t>
            </w:r>
          </w:p>
        </w:tc>
        <w:tc>
          <w:tcPr>
            <w:tcW w:w="1671" w:type="dxa"/>
            <w:tcBorders>
              <w:top w:val="nil"/>
            </w:tcBorders>
            <w:vAlign w:val="center"/>
          </w:tcPr>
          <w:p w14:paraId="09868E25" w14:textId="77777777" w:rsidR="000B4775" w:rsidRPr="00665004" w:rsidRDefault="000B4775" w:rsidP="000B4775">
            <w:pPr>
              <w:bidi w:val="0"/>
              <w:rPr>
                <w:rFonts w:ascii="Arial" w:hAnsi="Arial" w:cs="Arial"/>
                <w:sz w:val="18"/>
                <w:szCs w:val="18"/>
                <w:shd w:val="clear" w:color="auto" w:fill="FFFFFF"/>
                <w:rtl/>
              </w:rPr>
            </w:pPr>
            <w:r w:rsidRPr="00665004">
              <w:rPr>
                <w:rFonts w:ascii="Arial" w:hAnsi="Arial" w:cs="Arial"/>
                <w:sz w:val="18"/>
                <w:szCs w:val="18"/>
                <w:shd w:val="clear" w:color="auto" w:fill="FFFFFF"/>
                <w:rtl/>
              </w:rPr>
              <w:t>1.3</w:t>
            </w:r>
          </w:p>
        </w:tc>
        <w:tc>
          <w:tcPr>
            <w:tcW w:w="2822" w:type="dxa"/>
            <w:tcBorders>
              <w:top w:val="nil"/>
            </w:tcBorders>
            <w:vAlign w:val="center"/>
          </w:tcPr>
          <w:p w14:paraId="0A07D6B8" w14:textId="77777777" w:rsidR="000B4775" w:rsidRPr="00F869B6" w:rsidRDefault="000B4775" w:rsidP="000B4775">
            <w:pPr>
              <w:bidi w:val="0"/>
              <w:rPr>
                <w:rFonts w:ascii="Arial" w:hAnsi="Arial" w:cs="Arial"/>
                <w:sz w:val="20"/>
                <w:szCs w:val="20"/>
                <w:shd w:val="clear" w:color="auto" w:fill="FFFFFF"/>
                <w:rtl/>
              </w:rPr>
            </w:pPr>
            <w:r w:rsidRPr="00F869B6">
              <w:rPr>
                <w:rFonts w:asciiTheme="majorBidi" w:hAnsiTheme="majorBidi" w:cstheme="majorBidi"/>
                <w:sz w:val="20"/>
                <w:szCs w:val="20"/>
              </w:rPr>
              <w:t>Wasting</w:t>
            </w:r>
          </w:p>
        </w:tc>
      </w:tr>
      <w:bookmarkEnd w:id="2"/>
    </w:tbl>
    <w:p w14:paraId="471B25C3" w14:textId="77777777" w:rsidR="00474C0D" w:rsidRDefault="00474C0D" w:rsidP="00601921">
      <w:pPr>
        <w:bidi w:val="0"/>
        <w:jc w:val="both"/>
        <w:rPr>
          <w:rFonts w:asciiTheme="majorBidi" w:hAnsiTheme="majorBidi" w:cstheme="majorBidi"/>
          <w:b/>
          <w:bCs/>
        </w:rPr>
      </w:pPr>
    </w:p>
    <w:p w14:paraId="7784810E" w14:textId="77777777" w:rsidR="00601921" w:rsidRPr="00601921" w:rsidRDefault="00C728D7" w:rsidP="00474C0D">
      <w:pPr>
        <w:bidi w:val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Functional Capabilities of C</w:t>
      </w:r>
      <w:r w:rsidR="00601921" w:rsidRPr="00601921">
        <w:rPr>
          <w:rFonts w:asciiTheme="majorBidi" w:hAnsiTheme="majorBidi" w:cstheme="majorBidi"/>
          <w:b/>
          <w:bCs/>
        </w:rPr>
        <w:t>hildren</w:t>
      </w:r>
    </w:p>
    <w:p w14:paraId="3157E069" w14:textId="1F2F9126" w:rsidR="00601921" w:rsidRPr="00601921" w:rsidRDefault="00156DBE" w:rsidP="003B2200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Some </w:t>
      </w:r>
      <w:r w:rsidR="003B2200">
        <w:rPr>
          <w:rFonts w:asciiTheme="majorBidi" w:hAnsiTheme="majorBidi" w:cstheme="majorBidi"/>
        </w:rPr>
        <w:t>2</w:t>
      </w:r>
      <w:r w:rsidR="00601921" w:rsidRPr="00601921">
        <w:rPr>
          <w:rFonts w:asciiTheme="majorBidi" w:hAnsiTheme="majorBidi" w:cstheme="majorBidi"/>
        </w:rPr>
        <w:t>% of children in the age group 2-4 years have at least one disability, with a</w:t>
      </w:r>
      <w:r>
        <w:rPr>
          <w:rFonts w:asciiTheme="majorBidi" w:hAnsiTheme="majorBidi" w:cstheme="majorBidi"/>
        </w:rPr>
        <w:t xml:space="preserve"> </w:t>
      </w:r>
      <w:r w:rsidR="005B7510">
        <w:rPr>
          <w:rFonts w:asciiTheme="majorBidi" w:hAnsiTheme="majorBidi" w:cstheme="majorBidi"/>
        </w:rPr>
        <w:t>higher rate</w:t>
      </w:r>
      <w:r w:rsidR="00601921" w:rsidRPr="00601921">
        <w:rPr>
          <w:rFonts w:asciiTheme="majorBidi" w:hAnsiTheme="majorBidi" w:cstheme="majorBidi"/>
        </w:rPr>
        <w:t xml:space="preserve"> in </w:t>
      </w:r>
      <w:r w:rsidR="005B7510">
        <w:rPr>
          <w:rFonts w:asciiTheme="majorBidi" w:hAnsiTheme="majorBidi" w:cstheme="majorBidi"/>
        </w:rPr>
        <w:t xml:space="preserve">the </w:t>
      </w:r>
      <w:r w:rsidR="00601921" w:rsidRPr="00601921">
        <w:rPr>
          <w:rFonts w:asciiTheme="majorBidi" w:hAnsiTheme="majorBidi" w:cstheme="majorBidi"/>
        </w:rPr>
        <w:t xml:space="preserve">Gaza Strip </w:t>
      </w:r>
      <w:r w:rsidR="005B7510">
        <w:rPr>
          <w:rFonts w:asciiTheme="majorBidi" w:hAnsiTheme="majorBidi" w:cstheme="majorBidi"/>
        </w:rPr>
        <w:t xml:space="preserve">as </w:t>
      </w:r>
      <w:r w:rsidR="00601921" w:rsidRPr="00601921">
        <w:rPr>
          <w:rFonts w:asciiTheme="majorBidi" w:hAnsiTheme="majorBidi" w:cstheme="majorBidi"/>
        </w:rPr>
        <w:t>compared to the West Bank, reaching</w:t>
      </w:r>
      <w:r w:rsidR="003B2200">
        <w:rPr>
          <w:rFonts w:asciiTheme="majorBidi" w:hAnsiTheme="majorBidi" w:cstheme="majorBidi"/>
          <w:noProof/>
        </w:rPr>
        <w:t xml:space="preserve"> about </w:t>
      </w:r>
      <w:r w:rsidR="003B2200">
        <w:rPr>
          <w:rFonts w:asciiTheme="majorBidi" w:hAnsiTheme="majorBidi" w:cstheme="majorBidi"/>
        </w:rPr>
        <w:t>3% and 2</w:t>
      </w:r>
      <w:r w:rsidR="00601921" w:rsidRPr="00601921">
        <w:rPr>
          <w:rFonts w:asciiTheme="majorBidi" w:hAnsiTheme="majorBidi" w:cstheme="majorBidi"/>
        </w:rPr>
        <w:t xml:space="preserve">%, respectively. </w:t>
      </w:r>
      <w:r w:rsidR="005B7510">
        <w:rPr>
          <w:rFonts w:asciiTheme="majorBidi" w:hAnsiTheme="majorBidi" w:cstheme="majorBidi"/>
        </w:rPr>
        <w:t>T</w:t>
      </w:r>
      <w:r w:rsidR="00601921" w:rsidRPr="00601921">
        <w:rPr>
          <w:rFonts w:asciiTheme="majorBidi" w:hAnsiTheme="majorBidi" w:cstheme="majorBidi"/>
        </w:rPr>
        <w:t>he disability rate was</w:t>
      </w:r>
      <w:r w:rsidR="000D5C3B" w:rsidRPr="000D5C3B">
        <w:rPr>
          <w:rFonts w:asciiTheme="majorBidi" w:hAnsiTheme="majorBidi" w:cstheme="majorBidi"/>
          <w:noProof/>
        </w:rPr>
        <w:t xml:space="preserve"> </w:t>
      </w:r>
      <w:r w:rsidR="000D5C3B">
        <w:rPr>
          <w:rFonts w:asciiTheme="majorBidi" w:hAnsiTheme="majorBidi" w:cstheme="majorBidi"/>
          <w:noProof/>
        </w:rPr>
        <w:t>about</w:t>
      </w:r>
      <w:r w:rsidR="000D5C3B">
        <w:rPr>
          <w:rFonts w:asciiTheme="majorBidi" w:hAnsiTheme="majorBidi" w:cstheme="majorBidi"/>
        </w:rPr>
        <w:t xml:space="preserve"> 15</w:t>
      </w:r>
      <w:r w:rsidR="00601921" w:rsidRPr="00601921">
        <w:rPr>
          <w:rFonts w:asciiTheme="majorBidi" w:hAnsiTheme="majorBidi" w:cstheme="majorBidi"/>
        </w:rPr>
        <w:t>% among children age</w:t>
      </w:r>
      <w:r w:rsidR="00436FAB">
        <w:rPr>
          <w:rFonts w:asciiTheme="majorBidi" w:hAnsiTheme="majorBidi" w:cstheme="majorBidi"/>
        </w:rPr>
        <w:t>d</w:t>
      </w:r>
      <w:r w:rsidR="00601921" w:rsidRPr="00601921">
        <w:rPr>
          <w:rFonts w:asciiTheme="majorBidi" w:hAnsiTheme="majorBidi" w:cstheme="majorBidi"/>
        </w:rPr>
        <w:t xml:space="preserve"> 5-17 years</w:t>
      </w:r>
      <w:r w:rsidR="000825CF">
        <w:rPr>
          <w:rFonts w:asciiTheme="majorBidi" w:hAnsiTheme="majorBidi" w:cstheme="majorBidi"/>
        </w:rPr>
        <w:t>;</w:t>
      </w:r>
      <w:r w:rsidR="00AA78F9">
        <w:rPr>
          <w:rFonts w:asciiTheme="majorBidi" w:hAnsiTheme="majorBidi" w:cstheme="majorBidi"/>
        </w:rPr>
        <w:t xml:space="preserve"> </w:t>
      </w:r>
      <w:r w:rsidR="000D5C3B">
        <w:rPr>
          <w:rFonts w:asciiTheme="majorBidi" w:hAnsiTheme="majorBidi" w:cstheme="majorBidi"/>
          <w:noProof/>
        </w:rPr>
        <w:t xml:space="preserve">about </w:t>
      </w:r>
      <w:r w:rsidR="000D5C3B">
        <w:rPr>
          <w:rFonts w:asciiTheme="majorBidi" w:hAnsiTheme="majorBidi" w:cstheme="majorBidi"/>
        </w:rPr>
        <w:t>17</w:t>
      </w:r>
      <w:r w:rsidR="00601921" w:rsidRPr="00601921">
        <w:rPr>
          <w:rFonts w:asciiTheme="majorBidi" w:hAnsiTheme="majorBidi" w:cstheme="majorBidi"/>
        </w:rPr>
        <w:t xml:space="preserve">% in the West Bank compared to </w:t>
      </w:r>
      <w:r w:rsidR="000D5C3B">
        <w:rPr>
          <w:rFonts w:asciiTheme="majorBidi" w:hAnsiTheme="majorBidi" w:cstheme="majorBidi"/>
          <w:noProof/>
        </w:rPr>
        <w:t xml:space="preserve">about </w:t>
      </w:r>
      <w:r w:rsidR="000D5C3B">
        <w:rPr>
          <w:rFonts w:asciiTheme="majorBidi" w:hAnsiTheme="majorBidi" w:cstheme="majorBidi"/>
        </w:rPr>
        <w:t>13</w:t>
      </w:r>
      <w:r w:rsidR="00601921" w:rsidRPr="00601921">
        <w:rPr>
          <w:rFonts w:asciiTheme="majorBidi" w:hAnsiTheme="majorBidi" w:cstheme="majorBidi"/>
        </w:rPr>
        <w:t xml:space="preserve">% in </w:t>
      </w:r>
      <w:r w:rsidR="00436FAB">
        <w:rPr>
          <w:rFonts w:asciiTheme="majorBidi" w:hAnsiTheme="majorBidi" w:cstheme="majorBidi"/>
        </w:rPr>
        <w:t xml:space="preserve">the </w:t>
      </w:r>
      <w:r w:rsidR="00601921" w:rsidRPr="00601921">
        <w:rPr>
          <w:rFonts w:asciiTheme="majorBidi" w:hAnsiTheme="majorBidi" w:cstheme="majorBidi"/>
        </w:rPr>
        <w:t>Gaza Strip.</w:t>
      </w:r>
    </w:p>
    <w:p w14:paraId="1348EC65" w14:textId="77777777" w:rsidR="00601921" w:rsidRPr="00601921" w:rsidRDefault="00601921" w:rsidP="00601921">
      <w:pPr>
        <w:bidi w:val="0"/>
        <w:jc w:val="both"/>
        <w:rPr>
          <w:rFonts w:asciiTheme="majorBidi" w:hAnsiTheme="majorBidi" w:cstheme="majorBidi"/>
          <w:b/>
          <w:bCs/>
          <w:rtl/>
        </w:rPr>
      </w:pPr>
    </w:p>
    <w:p w14:paraId="6FA1A6C5" w14:textId="77777777" w:rsidR="00601921" w:rsidRPr="00601921" w:rsidRDefault="00601921" w:rsidP="00601921">
      <w:pPr>
        <w:bidi w:val="0"/>
        <w:jc w:val="both"/>
        <w:rPr>
          <w:rFonts w:asciiTheme="majorBidi" w:hAnsiTheme="majorBidi" w:cstheme="majorBidi"/>
          <w:b/>
          <w:bCs/>
        </w:rPr>
      </w:pPr>
      <w:r w:rsidRPr="00601921">
        <w:rPr>
          <w:rFonts w:asciiTheme="majorBidi" w:hAnsiTheme="majorBidi" w:cstheme="majorBidi"/>
          <w:b/>
          <w:bCs/>
        </w:rPr>
        <w:t>Early Childhood Development Index</w:t>
      </w:r>
    </w:p>
    <w:p w14:paraId="3E6D33A9" w14:textId="292E2312" w:rsidR="00452F43" w:rsidRDefault="00436FAB" w:rsidP="00DE3D6A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r w:rsidR="00601921" w:rsidRPr="00601921">
        <w:rPr>
          <w:rFonts w:asciiTheme="majorBidi" w:hAnsiTheme="majorBidi" w:cstheme="majorBidi"/>
        </w:rPr>
        <w:t xml:space="preserve">child development index reached </w:t>
      </w:r>
      <w:r w:rsidR="00DE3D6A">
        <w:rPr>
          <w:rFonts w:asciiTheme="majorBidi" w:hAnsiTheme="majorBidi" w:cstheme="majorBidi"/>
          <w:noProof/>
        </w:rPr>
        <w:t xml:space="preserve">about </w:t>
      </w:r>
      <w:r w:rsidR="00DE3D6A">
        <w:rPr>
          <w:rFonts w:asciiTheme="majorBidi" w:hAnsiTheme="majorBidi" w:cstheme="majorBidi"/>
        </w:rPr>
        <w:t>84</w:t>
      </w:r>
      <w:r w:rsidR="00601921" w:rsidRPr="00601921">
        <w:rPr>
          <w:rFonts w:asciiTheme="majorBidi" w:hAnsiTheme="majorBidi" w:cstheme="majorBidi"/>
        </w:rPr>
        <w:t>% for children age</w:t>
      </w:r>
      <w:r>
        <w:rPr>
          <w:rFonts w:asciiTheme="majorBidi" w:hAnsiTheme="majorBidi" w:cstheme="majorBidi"/>
        </w:rPr>
        <w:t>d</w:t>
      </w:r>
      <w:r w:rsidR="00601921" w:rsidRPr="00601921">
        <w:rPr>
          <w:rFonts w:asciiTheme="majorBidi" w:hAnsiTheme="majorBidi" w:cstheme="majorBidi"/>
        </w:rPr>
        <w:t xml:space="preserve"> 3-4 years who follow the correct development path in at least three of the following four areas</w:t>
      </w:r>
      <w:r w:rsidR="00DE3D6A">
        <w:rPr>
          <w:rFonts w:asciiTheme="majorBidi" w:hAnsiTheme="majorBidi" w:cstheme="majorBidi"/>
        </w:rPr>
        <w:t>: literacy and numeracy (38</w:t>
      </w:r>
      <w:r w:rsidR="00601921" w:rsidRPr="00601921">
        <w:rPr>
          <w:rFonts w:asciiTheme="majorBidi" w:hAnsiTheme="majorBidi" w:cstheme="majorBidi"/>
        </w:rPr>
        <w:t>%)</w:t>
      </w:r>
      <w:r>
        <w:rPr>
          <w:rFonts w:asciiTheme="majorBidi" w:hAnsiTheme="majorBidi" w:cstheme="majorBidi"/>
        </w:rPr>
        <w:t>;</w:t>
      </w:r>
      <w:r w:rsidR="00DE3D6A">
        <w:rPr>
          <w:rFonts w:asciiTheme="majorBidi" w:hAnsiTheme="majorBidi" w:cstheme="majorBidi"/>
        </w:rPr>
        <w:t xml:space="preserve"> physical development (99</w:t>
      </w:r>
      <w:r w:rsidR="00601921" w:rsidRPr="00601921">
        <w:rPr>
          <w:rFonts w:asciiTheme="majorBidi" w:hAnsiTheme="majorBidi" w:cstheme="majorBidi"/>
        </w:rPr>
        <w:t>%)</w:t>
      </w:r>
      <w:r>
        <w:rPr>
          <w:rFonts w:asciiTheme="majorBidi" w:hAnsiTheme="majorBidi" w:cstheme="majorBidi"/>
        </w:rPr>
        <w:t>;</w:t>
      </w:r>
      <w:r w:rsidR="00601921" w:rsidRPr="00601921">
        <w:rPr>
          <w:rFonts w:asciiTheme="majorBidi" w:hAnsiTheme="majorBidi" w:cstheme="majorBidi"/>
        </w:rPr>
        <w:t xml:space="preserve"> </w:t>
      </w:r>
      <w:r w:rsidR="00AB369E">
        <w:rPr>
          <w:rFonts w:asciiTheme="majorBidi" w:hAnsiTheme="majorBidi" w:cstheme="majorBidi"/>
        </w:rPr>
        <w:t>s</w:t>
      </w:r>
      <w:r w:rsidR="00AB369E" w:rsidRPr="00601921">
        <w:rPr>
          <w:rFonts w:asciiTheme="majorBidi" w:hAnsiTheme="majorBidi" w:cstheme="majorBidi"/>
        </w:rPr>
        <w:t>ocial</w:t>
      </w:r>
      <w:r w:rsidR="00DE3D6A">
        <w:rPr>
          <w:rFonts w:asciiTheme="majorBidi" w:hAnsiTheme="majorBidi" w:cstheme="majorBidi"/>
        </w:rPr>
        <w:t>-emotional development (82</w:t>
      </w:r>
      <w:r w:rsidR="00601921" w:rsidRPr="00601921">
        <w:rPr>
          <w:rFonts w:asciiTheme="majorBidi" w:hAnsiTheme="majorBidi" w:cstheme="majorBidi"/>
        </w:rPr>
        <w:t>%)</w:t>
      </w:r>
      <w:r>
        <w:rPr>
          <w:rFonts w:asciiTheme="majorBidi" w:hAnsiTheme="majorBidi" w:cstheme="majorBidi"/>
        </w:rPr>
        <w:t>;</w:t>
      </w:r>
      <w:r w:rsidR="00DE3D6A">
        <w:rPr>
          <w:rFonts w:asciiTheme="majorBidi" w:hAnsiTheme="majorBidi" w:cstheme="majorBidi"/>
        </w:rPr>
        <w:t xml:space="preserve"> and learning (93</w:t>
      </w:r>
      <w:r w:rsidR="00601921" w:rsidRPr="00601921">
        <w:rPr>
          <w:rFonts w:asciiTheme="majorBidi" w:hAnsiTheme="majorBidi" w:cstheme="majorBidi"/>
        </w:rPr>
        <w:t>%)</w:t>
      </w:r>
      <w:r w:rsidR="00601921">
        <w:rPr>
          <w:rFonts w:asciiTheme="majorBidi" w:hAnsiTheme="majorBidi" w:cstheme="majorBidi"/>
        </w:rPr>
        <w:t>.</w:t>
      </w:r>
      <w:bookmarkStart w:id="3" w:name="_Toc142800384"/>
    </w:p>
    <w:p w14:paraId="6A042734" w14:textId="77777777" w:rsidR="00DE3D6A" w:rsidRPr="00DE3D6A" w:rsidRDefault="00DE3D6A" w:rsidP="00DE3D6A">
      <w:pPr>
        <w:bidi w:val="0"/>
        <w:jc w:val="both"/>
        <w:rPr>
          <w:rFonts w:asciiTheme="majorBidi" w:hAnsiTheme="majorBidi" w:cstheme="majorBidi"/>
        </w:rPr>
      </w:pPr>
    </w:p>
    <w:p w14:paraId="34F9B52B" w14:textId="32DA7694" w:rsidR="00C11A08" w:rsidRDefault="00452F43" w:rsidP="00C11A08">
      <w:pPr>
        <w:bidi w:val="0"/>
        <w:jc w:val="both"/>
        <w:rPr>
          <w:rFonts w:asciiTheme="majorBidi" w:hAnsiTheme="majorBidi" w:cstheme="majorBidi"/>
        </w:rPr>
      </w:pPr>
      <w:r w:rsidRPr="00ED63A8">
        <w:rPr>
          <w:rFonts w:asciiTheme="majorBidi" w:hAnsiTheme="majorBidi" w:cstheme="majorBidi"/>
        </w:rPr>
        <w:t>The</w:t>
      </w:r>
      <w:r w:rsidR="000D37FE" w:rsidRPr="00ED63A8">
        <w:rPr>
          <w:rFonts w:asciiTheme="majorBidi" w:hAnsiTheme="majorBidi" w:cstheme="majorBidi"/>
        </w:rPr>
        <w:t xml:space="preserve"> data shows that </w:t>
      </w:r>
      <w:r w:rsidRPr="00ED63A8">
        <w:rPr>
          <w:rFonts w:asciiTheme="majorBidi" w:hAnsiTheme="majorBidi" w:cstheme="majorBidi"/>
        </w:rPr>
        <w:t xml:space="preserve">children’s </w:t>
      </w:r>
      <w:r w:rsidR="000D37FE" w:rsidRPr="00ED63A8">
        <w:rPr>
          <w:rFonts w:asciiTheme="majorBidi" w:hAnsiTheme="majorBidi" w:cstheme="majorBidi"/>
        </w:rPr>
        <w:t>early childhood development has i</w:t>
      </w:r>
      <w:r w:rsidRPr="00ED63A8">
        <w:rPr>
          <w:rFonts w:asciiTheme="majorBidi" w:hAnsiTheme="majorBidi" w:cstheme="majorBidi"/>
        </w:rPr>
        <w:t xml:space="preserve">mproved from </w:t>
      </w:r>
      <w:r w:rsidR="00FA31E4" w:rsidRPr="00ED63A8">
        <w:rPr>
          <w:rFonts w:asciiTheme="majorBidi" w:hAnsiTheme="majorBidi" w:cstheme="majorBidi"/>
        </w:rPr>
        <w:t xml:space="preserve">the rate of </w:t>
      </w:r>
      <w:r w:rsidR="00DE3D6A">
        <w:rPr>
          <w:rFonts w:asciiTheme="majorBidi" w:hAnsiTheme="majorBidi" w:cstheme="majorBidi"/>
        </w:rPr>
        <w:t>72</w:t>
      </w:r>
      <w:r w:rsidR="000D37FE" w:rsidRPr="00ED63A8">
        <w:rPr>
          <w:rFonts w:asciiTheme="majorBidi" w:hAnsiTheme="majorBidi" w:cstheme="majorBidi"/>
        </w:rPr>
        <w:t>% in 2014.</w:t>
      </w:r>
    </w:p>
    <w:p w14:paraId="6AA80A49" w14:textId="77777777" w:rsidR="00F61123" w:rsidRDefault="00F61123" w:rsidP="00F61123">
      <w:pPr>
        <w:bidi w:val="0"/>
        <w:jc w:val="both"/>
        <w:rPr>
          <w:rFonts w:asciiTheme="majorBidi" w:hAnsiTheme="majorBidi" w:cstheme="majorBidi"/>
        </w:rPr>
      </w:pPr>
    </w:p>
    <w:p w14:paraId="4B9F804A" w14:textId="45B1BBED" w:rsidR="00EC5541" w:rsidRPr="00D57A20" w:rsidRDefault="00EC5541" w:rsidP="00D57A20">
      <w:pPr>
        <w:bidi w:val="0"/>
        <w:jc w:val="both"/>
        <w:rPr>
          <w:rStyle w:val="2H"/>
          <w:rFonts w:asciiTheme="majorBidi" w:hAnsiTheme="majorBidi" w:cstheme="majorBidi"/>
          <w:b w:val="0"/>
        </w:rPr>
      </w:pPr>
      <w:r w:rsidRPr="00F147B4">
        <w:rPr>
          <w:rStyle w:val="2H"/>
          <w:rFonts w:asciiTheme="majorBidi" w:hAnsiTheme="majorBidi" w:cstheme="majorBidi"/>
          <w:lang w:val="en-GB"/>
        </w:rPr>
        <w:t>Child Discipline</w:t>
      </w:r>
      <w:bookmarkEnd w:id="3"/>
    </w:p>
    <w:p w14:paraId="410974B1" w14:textId="61BF667E" w:rsidR="00D57A20" w:rsidRDefault="005303A8" w:rsidP="00DE3D6A">
      <w:pPr>
        <w:bidi w:val="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lang w:val="en-GB"/>
        </w:rPr>
        <w:t xml:space="preserve">Some </w:t>
      </w:r>
      <w:r w:rsidR="00DE3D6A">
        <w:rPr>
          <w:rFonts w:asciiTheme="majorBidi" w:hAnsiTheme="majorBidi" w:cstheme="majorBidi"/>
          <w:lang w:val="en-GB"/>
        </w:rPr>
        <w:t>90</w:t>
      </w:r>
      <w:r w:rsidR="00B1768B">
        <w:rPr>
          <w:rFonts w:asciiTheme="majorBidi" w:hAnsiTheme="majorBidi" w:cstheme="majorBidi"/>
          <w:lang w:val="en-GB"/>
        </w:rPr>
        <w:t>%</w:t>
      </w:r>
      <w:r w:rsidR="00F702E0" w:rsidRPr="00F147B4">
        <w:rPr>
          <w:rFonts w:asciiTheme="majorBidi" w:hAnsiTheme="majorBidi" w:cstheme="majorBidi"/>
          <w:lang w:val="en-GB"/>
        </w:rPr>
        <w:t xml:space="preserve"> of children </w:t>
      </w:r>
      <w:r w:rsidR="00D57A20" w:rsidRPr="00601921">
        <w:rPr>
          <w:rFonts w:asciiTheme="majorBidi" w:hAnsiTheme="majorBidi" w:cstheme="majorBidi"/>
        </w:rPr>
        <w:t>age</w:t>
      </w:r>
      <w:r w:rsidR="00FA31E4">
        <w:rPr>
          <w:rFonts w:asciiTheme="majorBidi" w:hAnsiTheme="majorBidi" w:cstheme="majorBidi"/>
        </w:rPr>
        <w:t>d</w:t>
      </w:r>
      <w:r w:rsidR="00D57A20" w:rsidRPr="00601921">
        <w:rPr>
          <w:rFonts w:asciiTheme="majorBidi" w:hAnsiTheme="majorBidi" w:cstheme="majorBidi"/>
        </w:rPr>
        <w:t xml:space="preserve"> </w:t>
      </w:r>
      <w:r w:rsidR="00F702E0" w:rsidRPr="00F147B4">
        <w:rPr>
          <w:rFonts w:asciiTheme="majorBidi" w:hAnsiTheme="majorBidi" w:cstheme="majorBidi"/>
          <w:lang w:val="en-GB"/>
        </w:rPr>
        <w:t>1-14 years were subjected to at least one form of psychological or physical punishment by household members during the month</w:t>
      </w:r>
      <w:r w:rsidR="00AB369E">
        <w:rPr>
          <w:rFonts w:asciiTheme="majorBidi" w:hAnsiTheme="majorBidi" w:cstheme="majorBidi"/>
          <w:lang w:val="en-GB"/>
        </w:rPr>
        <w:t xml:space="preserve"> preceding </w:t>
      </w:r>
      <w:r w:rsidR="006333B2" w:rsidRPr="00D57A20">
        <w:rPr>
          <w:rFonts w:asciiTheme="majorBidi" w:hAnsiTheme="majorBidi" w:cstheme="majorBidi"/>
          <w:bCs/>
        </w:rPr>
        <w:t xml:space="preserve">the day of </w:t>
      </w:r>
      <w:r w:rsidR="00AB369E">
        <w:rPr>
          <w:rFonts w:asciiTheme="majorBidi" w:hAnsiTheme="majorBidi" w:cstheme="majorBidi"/>
          <w:lang w:val="en-GB"/>
        </w:rPr>
        <w:t>the interview;</w:t>
      </w:r>
      <w:r w:rsidR="00AB369E" w:rsidRPr="00F147B4">
        <w:rPr>
          <w:rFonts w:asciiTheme="majorBidi" w:hAnsiTheme="majorBidi" w:cstheme="majorBidi"/>
          <w:bCs/>
        </w:rPr>
        <w:t xml:space="preserve"> </w:t>
      </w:r>
      <w:r w:rsidR="00DE3D6A" w:rsidRPr="00DE3D6A">
        <w:rPr>
          <w:rFonts w:asciiTheme="majorBidi" w:hAnsiTheme="majorBidi" w:cstheme="majorBidi"/>
          <w:bCs/>
        </w:rPr>
        <w:t xml:space="preserve">about </w:t>
      </w:r>
      <w:r w:rsidR="00DE3D6A">
        <w:rPr>
          <w:rFonts w:asciiTheme="majorBidi" w:hAnsiTheme="majorBidi" w:cstheme="majorBidi"/>
          <w:bCs/>
        </w:rPr>
        <w:t>88</w:t>
      </w:r>
      <w:r w:rsidR="00F702E0" w:rsidRPr="00F147B4">
        <w:rPr>
          <w:rFonts w:asciiTheme="majorBidi" w:hAnsiTheme="majorBidi" w:cstheme="majorBidi"/>
          <w:bCs/>
        </w:rPr>
        <w:t xml:space="preserve">% in the West Bank compared </w:t>
      </w:r>
      <w:r w:rsidR="00AB369E">
        <w:rPr>
          <w:rFonts w:asciiTheme="majorBidi" w:hAnsiTheme="majorBidi" w:cstheme="majorBidi"/>
          <w:bCs/>
        </w:rPr>
        <w:t>to</w:t>
      </w:r>
      <w:r w:rsidR="00AB369E" w:rsidRPr="00F147B4">
        <w:rPr>
          <w:rFonts w:asciiTheme="majorBidi" w:hAnsiTheme="majorBidi" w:cstheme="majorBidi"/>
          <w:bCs/>
        </w:rPr>
        <w:t xml:space="preserve"> </w:t>
      </w:r>
      <w:r w:rsidR="00DE3D6A">
        <w:rPr>
          <w:rFonts w:asciiTheme="majorBidi" w:hAnsiTheme="majorBidi" w:cstheme="majorBidi"/>
          <w:noProof/>
        </w:rPr>
        <w:t xml:space="preserve">about </w:t>
      </w:r>
      <w:r w:rsidR="00DE3D6A">
        <w:rPr>
          <w:rFonts w:asciiTheme="majorBidi" w:hAnsiTheme="majorBidi" w:cstheme="majorBidi"/>
          <w:bCs/>
        </w:rPr>
        <w:t>92</w:t>
      </w:r>
      <w:r w:rsidR="00F702E0" w:rsidRPr="00F147B4">
        <w:rPr>
          <w:rFonts w:asciiTheme="majorBidi" w:hAnsiTheme="majorBidi" w:cstheme="majorBidi"/>
          <w:bCs/>
        </w:rPr>
        <w:t xml:space="preserve">% in </w:t>
      </w:r>
      <w:r w:rsidR="00FA31E4">
        <w:rPr>
          <w:rFonts w:asciiTheme="majorBidi" w:hAnsiTheme="majorBidi" w:cstheme="majorBidi"/>
          <w:bCs/>
        </w:rPr>
        <w:t xml:space="preserve">the </w:t>
      </w:r>
      <w:r w:rsidR="00F702E0" w:rsidRPr="00F147B4">
        <w:rPr>
          <w:rFonts w:asciiTheme="majorBidi" w:hAnsiTheme="majorBidi" w:cstheme="majorBidi"/>
          <w:bCs/>
        </w:rPr>
        <w:t>Gaza Strip.</w:t>
      </w:r>
      <w:r w:rsidR="00D57A20">
        <w:rPr>
          <w:rFonts w:asciiTheme="majorBidi" w:hAnsiTheme="majorBidi" w:cstheme="majorBidi"/>
          <w:bCs/>
        </w:rPr>
        <w:t xml:space="preserve"> </w:t>
      </w:r>
      <w:r w:rsidR="00347084">
        <w:rPr>
          <w:rFonts w:asciiTheme="majorBidi" w:hAnsiTheme="majorBidi" w:cstheme="majorBidi"/>
          <w:bCs/>
        </w:rPr>
        <w:t>There were</w:t>
      </w:r>
      <w:r w:rsidR="00DE3D6A" w:rsidRPr="00DE3D6A">
        <w:rPr>
          <w:rFonts w:asciiTheme="majorBidi" w:hAnsiTheme="majorBidi" w:cstheme="majorBidi"/>
          <w:noProof/>
        </w:rPr>
        <w:t xml:space="preserve"> </w:t>
      </w:r>
      <w:r w:rsidR="00DE3D6A">
        <w:rPr>
          <w:rFonts w:asciiTheme="majorBidi" w:hAnsiTheme="majorBidi" w:cstheme="majorBidi"/>
          <w:noProof/>
        </w:rPr>
        <w:t>about</w:t>
      </w:r>
      <w:r w:rsidR="00347084">
        <w:rPr>
          <w:rFonts w:asciiTheme="majorBidi" w:hAnsiTheme="majorBidi" w:cstheme="majorBidi"/>
          <w:bCs/>
        </w:rPr>
        <w:t xml:space="preserve"> </w:t>
      </w:r>
      <w:r w:rsidR="00DE3D6A">
        <w:rPr>
          <w:rFonts w:asciiTheme="majorBidi" w:hAnsiTheme="majorBidi" w:cstheme="majorBidi"/>
          <w:bCs/>
        </w:rPr>
        <w:t>92</w:t>
      </w:r>
      <w:r w:rsidR="00D57A20" w:rsidRPr="00D57A20">
        <w:rPr>
          <w:rFonts w:asciiTheme="majorBidi" w:hAnsiTheme="majorBidi" w:cstheme="majorBidi"/>
          <w:bCs/>
        </w:rPr>
        <w:t xml:space="preserve">% </w:t>
      </w:r>
      <w:r w:rsidR="00347084">
        <w:rPr>
          <w:rFonts w:asciiTheme="majorBidi" w:hAnsiTheme="majorBidi" w:cstheme="majorBidi"/>
          <w:bCs/>
        </w:rPr>
        <w:t xml:space="preserve">of male </w:t>
      </w:r>
      <w:r w:rsidR="00DE3D6A">
        <w:rPr>
          <w:rFonts w:asciiTheme="majorBidi" w:hAnsiTheme="majorBidi" w:cstheme="majorBidi"/>
          <w:bCs/>
        </w:rPr>
        <w:t>and 88</w:t>
      </w:r>
      <w:r w:rsidR="00D57A20" w:rsidRPr="00D57A20">
        <w:rPr>
          <w:rFonts w:asciiTheme="majorBidi" w:hAnsiTheme="majorBidi" w:cstheme="majorBidi"/>
          <w:bCs/>
        </w:rPr>
        <w:t>% of female children</w:t>
      </w:r>
      <w:r w:rsidR="00347084">
        <w:rPr>
          <w:rFonts w:asciiTheme="majorBidi" w:hAnsiTheme="majorBidi" w:cstheme="majorBidi"/>
          <w:bCs/>
        </w:rPr>
        <w:t xml:space="preserve"> </w:t>
      </w:r>
      <w:r w:rsidR="00D57A20" w:rsidRPr="00D57A20">
        <w:rPr>
          <w:rFonts w:asciiTheme="majorBidi" w:hAnsiTheme="majorBidi" w:cstheme="majorBidi"/>
          <w:bCs/>
        </w:rPr>
        <w:t>subjected to psychological or physical punishment during the month preceding the day of the interview in the same age group.</w:t>
      </w:r>
    </w:p>
    <w:p w14:paraId="22CE9407" w14:textId="77777777" w:rsidR="00D57A20" w:rsidRDefault="00D57A20" w:rsidP="00D57A20">
      <w:pPr>
        <w:bidi w:val="0"/>
        <w:jc w:val="both"/>
        <w:rPr>
          <w:rFonts w:asciiTheme="majorBidi" w:hAnsiTheme="majorBidi" w:cstheme="majorBidi"/>
          <w:bCs/>
        </w:rPr>
      </w:pPr>
    </w:p>
    <w:p w14:paraId="6A118F55" w14:textId="77777777" w:rsidR="00890C4C" w:rsidRPr="00D57A20" w:rsidRDefault="00890C4C" w:rsidP="00D57A20">
      <w:pPr>
        <w:bidi w:val="0"/>
        <w:jc w:val="both"/>
        <w:rPr>
          <w:rStyle w:val="2H"/>
          <w:rFonts w:asciiTheme="majorBidi" w:hAnsiTheme="majorBidi" w:cstheme="majorBidi"/>
          <w:b w:val="0"/>
        </w:rPr>
      </w:pPr>
      <w:r w:rsidRPr="00F147B4">
        <w:rPr>
          <w:rStyle w:val="2H"/>
          <w:rFonts w:asciiTheme="majorBidi" w:hAnsiTheme="majorBidi" w:cstheme="majorBidi"/>
          <w:lang w:val="en-GB"/>
        </w:rPr>
        <w:t>Early Marriage</w:t>
      </w:r>
    </w:p>
    <w:p w14:paraId="3EB491F6" w14:textId="51042DDC" w:rsidR="000D37FE" w:rsidRDefault="00AB369E" w:rsidP="0076269B">
      <w:pPr>
        <w:bidi w:val="0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R</w:t>
      </w:r>
      <w:r w:rsidRPr="00C11A08">
        <w:rPr>
          <w:rFonts w:asciiTheme="majorBidi" w:hAnsiTheme="majorBidi" w:cstheme="majorBidi"/>
          <w:lang w:val="en-GB"/>
        </w:rPr>
        <w:t xml:space="preserve">esults </w:t>
      </w:r>
      <w:r w:rsidR="00C11A08" w:rsidRPr="00C11A08">
        <w:rPr>
          <w:rFonts w:asciiTheme="majorBidi" w:hAnsiTheme="majorBidi" w:cstheme="majorBidi"/>
          <w:lang w:val="en-GB"/>
        </w:rPr>
        <w:t>indicate that</w:t>
      </w:r>
      <w:r w:rsidR="00DE3D6A" w:rsidRPr="00DE3D6A">
        <w:rPr>
          <w:rFonts w:asciiTheme="majorBidi" w:hAnsiTheme="majorBidi" w:cstheme="majorBidi"/>
          <w:noProof/>
        </w:rPr>
        <w:t xml:space="preserve"> </w:t>
      </w:r>
      <w:r w:rsidR="00DE3D6A">
        <w:rPr>
          <w:rFonts w:asciiTheme="majorBidi" w:hAnsiTheme="majorBidi" w:cstheme="majorBidi"/>
          <w:noProof/>
        </w:rPr>
        <w:t>about</w:t>
      </w:r>
      <w:r w:rsidR="00DE3D6A">
        <w:rPr>
          <w:rFonts w:asciiTheme="majorBidi" w:hAnsiTheme="majorBidi" w:cstheme="majorBidi"/>
          <w:lang w:val="en-GB"/>
        </w:rPr>
        <w:t xml:space="preserve"> </w:t>
      </w:r>
      <w:r w:rsidR="0076269B">
        <w:rPr>
          <w:rFonts w:asciiTheme="majorBidi" w:hAnsiTheme="majorBidi" w:cstheme="majorBidi"/>
          <w:lang w:val="en-GB"/>
        </w:rPr>
        <w:t>13</w:t>
      </w:r>
      <w:r w:rsidR="00C11A08" w:rsidRPr="00C11A08">
        <w:rPr>
          <w:rFonts w:asciiTheme="majorBidi" w:hAnsiTheme="majorBidi" w:cstheme="majorBidi"/>
          <w:lang w:val="en-GB"/>
        </w:rPr>
        <w:t>% of women age</w:t>
      </w:r>
      <w:r w:rsidR="001A70AA">
        <w:rPr>
          <w:rFonts w:asciiTheme="majorBidi" w:hAnsiTheme="majorBidi" w:cstheme="majorBidi"/>
          <w:lang w:val="en-GB"/>
        </w:rPr>
        <w:t>d</w:t>
      </w:r>
      <w:r w:rsidR="00C11A08" w:rsidRPr="00C11A08">
        <w:rPr>
          <w:rFonts w:asciiTheme="majorBidi" w:hAnsiTheme="majorBidi" w:cstheme="majorBidi"/>
          <w:lang w:val="en-GB"/>
        </w:rPr>
        <w:t xml:space="preserve"> 20-</w:t>
      </w:r>
      <w:r w:rsidR="0076269B">
        <w:rPr>
          <w:rFonts w:asciiTheme="majorBidi" w:hAnsiTheme="majorBidi" w:cstheme="majorBidi"/>
          <w:lang w:val="en-GB"/>
        </w:rPr>
        <w:t>24</w:t>
      </w:r>
      <w:r w:rsidR="00C11A08" w:rsidRPr="00C11A08">
        <w:rPr>
          <w:rFonts w:asciiTheme="majorBidi" w:hAnsiTheme="majorBidi" w:cstheme="majorBidi"/>
          <w:lang w:val="en-GB"/>
        </w:rPr>
        <w:t xml:space="preserve"> years got married for the first time before reaching the age of 18 ye</w:t>
      </w:r>
      <w:r w:rsidR="00C11A08">
        <w:rPr>
          <w:rFonts w:asciiTheme="majorBidi" w:hAnsiTheme="majorBidi" w:cstheme="majorBidi"/>
          <w:lang w:val="en-GB"/>
        </w:rPr>
        <w:t>ars</w:t>
      </w:r>
      <w:r>
        <w:rPr>
          <w:rFonts w:asciiTheme="majorBidi" w:hAnsiTheme="majorBidi" w:cstheme="majorBidi"/>
          <w:lang w:val="en-GB"/>
        </w:rPr>
        <w:t>;</w:t>
      </w:r>
      <w:r w:rsidRPr="00F147B4">
        <w:rPr>
          <w:rFonts w:asciiTheme="majorBidi" w:hAnsiTheme="majorBidi" w:cstheme="majorBidi"/>
          <w:lang w:val="en-GB"/>
        </w:rPr>
        <w:t xml:space="preserve"> </w:t>
      </w:r>
      <w:r w:rsidR="00DE3D6A">
        <w:rPr>
          <w:rFonts w:asciiTheme="majorBidi" w:hAnsiTheme="majorBidi" w:cstheme="majorBidi"/>
          <w:noProof/>
        </w:rPr>
        <w:t xml:space="preserve">about </w:t>
      </w:r>
      <w:r w:rsidR="0076269B">
        <w:rPr>
          <w:rFonts w:asciiTheme="majorBidi" w:hAnsiTheme="majorBidi" w:cstheme="majorBidi"/>
          <w:lang w:val="en-GB"/>
        </w:rPr>
        <w:t>11</w:t>
      </w:r>
      <w:r w:rsidR="00B1768B">
        <w:rPr>
          <w:rFonts w:asciiTheme="majorBidi" w:hAnsiTheme="majorBidi" w:cstheme="majorBidi"/>
          <w:lang w:val="en-GB"/>
        </w:rPr>
        <w:t>%</w:t>
      </w:r>
      <w:r w:rsidR="00890C4C" w:rsidRPr="00F147B4">
        <w:rPr>
          <w:rFonts w:asciiTheme="majorBidi" w:hAnsiTheme="majorBidi" w:cstheme="majorBidi"/>
          <w:lang w:val="en-GB"/>
        </w:rPr>
        <w:t xml:space="preserve"> in the West Bank </w:t>
      </w:r>
      <w:r>
        <w:rPr>
          <w:rFonts w:asciiTheme="majorBidi" w:hAnsiTheme="majorBidi" w:cstheme="majorBidi"/>
          <w:lang w:val="en-GB"/>
        </w:rPr>
        <w:t>compared to</w:t>
      </w:r>
      <w:r w:rsidRPr="00F147B4">
        <w:rPr>
          <w:rFonts w:asciiTheme="majorBidi" w:hAnsiTheme="majorBidi" w:cstheme="majorBidi"/>
          <w:lang w:val="en-GB"/>
        </w:rPr>
        <w:t xml:space="preserve"> </w:t>
      </w:r>
      <w:r w:rsidR="00DE3D6A">
        <w:rPr>
          <w:rFonts w:asciiTheme="majorBidi" w:hAnsiTheme="majorBidi" w:cstheme="majorBidi"/>
          <w:noProof/>
        </w:rPr>
        <w:t xml:space="preserve">about </w:t>
      </w:r>
      <w:r w:rsidR="0076269B">
        <w:rPr>
          <w:rFonts w:asciiTheme="majorBidi" w:hAnsiTheme="majorBidi" w:cstheme="majorBidi"/>
          <w:lang w:val="en-GB"/>
        </w:rPr>
        <w:t>17</w:t>
      </w:r>
      <w:r w:rsidR="00890C4C" w:rsidRPr="00F147B4">
        <w:rPr>
          <w:rFonts w:asciiTheme="majorBidi" w:hAnsiTheme="majorBidi" w:cstheme="majorBidi"/>
          <w:lang w:val="en-GB"/>
        </w:rPr>
        <w:t xml:space="preserve">% in </w:t>
      </w:r>
      <w:r w:rsidR="001A70AA">
        <w:rPr>
          <w:rFonts w:asciiTheme="majorBidi" w:hAnsiTheme="majorBidi" w:cstheme="majorBidi"/>
          <w:lang w:val="en-GB"/>
        </w:rPr>
        <w:t xml:space="preserve">the </w:t>
      </w:r>
      <w:r w:rsidR="00890C4C" w:rsidRPr="00F147B4">
        <w:rPr>
          <w:rFonts w:asciiTheme="majorBidi" w:hAnsiTheme="majorBidi" w:cstheme="majorBidi"/>
          <w:lang w:val="en-GB"/>
        </w:rPr>
        <w:t xml:space="preserve">Gaza Strip. </w:t>
      </w:r>
    </w:p>
    <w:p w14:paraId="79254822" w14:textId="77777777" w:rsidR="00347084" w:rsidRDefault="00347084" w:rsidP="00347084">
      <w:pPr>
        <w:bidi w:val="0"/>
        <w:jc w:val="both"/>
        <w:rPr>
          <w:rFonts w:asciiTheme="majorBidi" w:hAnsiTheme="majorBidi" w:cstheme="majorBidi"/>
          <w:lang w:val="en-GB"/>
        </w:rPr>
      </w:pPr>
    </w:p>
    <w:p w14:paraId="30505B4B" w14:textId="7DE3F7C8" w:rsidR="00F702E0" w:rsidRPr="00F147B4" w:rsidRDefault="000D37FE" w:rsidP="0076269B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GB"/>
        </w:rPr>
        <w:t>This percentage has decreased compared to 2014, whe</w:t>
      </w:r>
      <w:r w:rsidR="001A70AA">
        <w:rPr>
          <w:rFonts w:asciiTheme="majorBidi" w:hAnsiTheme="majorBidi" w:cstheme="majorBidi"/>
          <w:lang w:val="en-GB"/>
        </w:rPr>
        <w:t>n</w:t>
      </w:r>
      <w:r>
        <w:rPr>
          <w:rFonts w:asciiTheme="majorBidi" w:hAnsiTheme="majorBidi" w:cstheme="majorBidi"/>
          <w:lang w:val="en-GB"/>
        </w:rPr>
        <w:t xml:space="preserve"> the percentage of women </w:t>
      </w:r>
      <w:r w:rsidRPr="00C11A08">
        <w:rPr>
          <w:rFonts w:asciiTheme="majorBidi" w:hAnsiTheme="majorBidi" w:cstheme="majorBidi"/>
          <w:lang w:val="en-GB"/>
        </w:rPr>
        <w:t>age</w:t>
      </w:r>
      <w:r w:rsidR="001A70AA">
        <w:rPr>
          <w:rFonts w:asciiTheme="majorBidi" w:hAnsiTheme="majorBidi" w:cstheme="majorBidi"/>
          <w:lang w:val="en-GB"/>
        </w:rPr>
        <w:t>d</w:t>
      </w:r>
      <w:r w:rsidRPr="00C11A08">
        <w:rPr>
          <w:rFonts w:asciiTheme="majorBidi" w:hAnsiTheme="majorBidi" w:cstheme="majorBidi"/>
          <w:lang w:val="en-GB"/>
        </w:rPr>
        <w:t xml:space="preserve"> 20-</w:t>
      </w:r>
      <w:r w:rsidR="0076269B">
        <w:rPr>
          <w:rFonts w:asciiTheme="majorBidi" w:hAnsiTheme="majorBidi" w:cstheme="majorBidi"/>
          <w:lang w:val="en-GB"/>
        </w:rPr>
        <w:t>24</w:t>
      </w:r>
      <w:r w:rsidRPr="00C11A08">
        <w:rPr>
          <w:rFonts w:asciiTheme="majorBidi" w:hAnsiTheme="majorBidi" w:cstheme="majorBidi"/>
          <w:lang w:val="en-GB"/>
        </w:rPr>
        <w:t xml:space="preserve"> years</w:t>
      </w:r>
      <w:r>
        <w:rPr>
          <w:rFonts w:asciiTheme="majorBidi" w:hAnsiTheme="majorBidi" w:cstheme="majorBidi"/>
          <w:lang w:val="en-GB"/>
        </w:rPr>
        <w:t xml:space="preserve"> who were married for the first time before turning 18 years of age reached</w:t>
      </w:r>
      <w:r w:rsidR="009D78A7" w:rsidRPr="009D78A7">
        <w:rPr>
          <w:rFonts w:asciiTheme="majorBidi" w:hAnsiTheme="majorBidi" w:cstheme="majorBidi"/>
          <w:noProof/>
        </w:rPr>
        <w:t xml:space="preserve"> </w:t>
      </w:r>
      <w:r w:rsidR="009D78A7">
        <w:rPr>
          <w:rFonts w:asciiTheme="majorBidi" w:hAnsiTheme="majorBidi" w:cstheme="majorBidi"/>
          <w:noProof/>
        </w:rPr>
        <w:t>about</w:t>
      </w:r>
      <w:r>
        <w:rPr>
          <w:rFonts w:asciiTheme="majorBidi" w:hAnsiTheme="majorBidi" w:cstheme="majorBidi"/>
          <w:lang w:val="en-GB"/>
        </w:rPr>
        <w:t xml:space="preserve"> </w:t>
      </w:r>
      <w:r w:rsidR="009D78A7">
        <w:rPr>
          <w:rFonts w:asciiTheme="majorBidi" w:hAnsiTheme="majorBidi" w:cstheme="majorBidi"/>
          <w:lang w:val="en-GB"/>
        </w:rPr>
        <w:t>24</w:t>
      </w:r>
      <w:r>
        <w:rPr>
          <w:rFonts w:asciiTheme="majorBidi" w:hAnsiTheme="majorBidi" w:cstheme="majorBidi"/>
          <w:lang w:val="en-GB"/>
        </w:rPr>
        <w:t>%</w:t>
      </w:r>
      <w:r w:rsidR="001A70AA">
        <w:rPr>
          <w:rFonts w:asciiTheme="majorBidi" w:hAnsiTheme="majorBidi" w:cstheme="majorBidi"/>
          <w:lang w:val="en-GB"/>
        </w:rPr>
        <w:t>.</w:t>
      </w:r>
      <w:r>
        <w:rPr>
          <w:rFonts w:asciiTheme="majorBidi" w:hAnsiTheme="majorBidi" w:cstheme="majorBidi"/>
          <w:lang w:val="en-GB"/>
        </w:rPr>
        <w:t xml:space="preserve"> </w:t>
      </w:r>
    </w:p>
    <w:p w14:paraId="15CB0652" w14:textId="77777777" w:rsidR="00F147B4" w:rsidRDefault="00F147B4" w:rsidP="00F147B4">
      <w:pPr>
        <w:bidi w:val="0"/>
        <w:jc w:val="both"/>
        <w:rPr>
          <w:rFonts w:asciiTheme="majorBidi" w:hAnsiTheme="majorBidi" w:cstheme="majorBidi"/>
          <w:lang w:val="en-GB"/>
        </w:rPr>
      </w:pPr>
    </w:p>
    <w:p w14:paraId="28BE2280" w14:textId="5DAF8CDC" w:rsidR="00C11A08" w:rsidRPr="00C11A08" w:rsidRDefault="00D725B9" w:rsidP="00D725B9">
      <w:pPr>
        <w:bidi w:val="0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Exposure to</w:t>
      </w:r>
      <w:r w:rsidR="00AB369E" w:rsidRPr="00C11A08">
        <w:rPr>
          <w:rFonts w:asciiTheme="majorBidi" w:hAnsiTheme="majorBidi" w:cstheme="majorBidi"/>
          <w:b/>
          <w:bCs/>
        </w:rPr>
        <w:t xml:space="preserve"> </w:t>
      </w:r>
      <w:r w:rsidR="00C11A08" w:rsidRPr="00C11A08">
        <w:rPr>
          <w:rFonts w:asciiTheme="majorBidi" w:hAnsiTheme="majorBidi" w:cstheme="majorBidi"/>
          <w:b/>
          <w:bCs/>
        </w:rPr>
        <w:t>abuse</w:t>
      </w:r>
    </w:p>
    <w:p w14:paraId="213E5082" w14:textId="2C76EAD2" w:rsidR="00AF2ACD" w:rsidRPr="00F147B4" w:rsidRDefault="00C11A08" w:rsidP="00101B4E">
      <w:pPr>
        <w:bidi w:val="0"/>
        <w:jc w:val="both"/>
        <w:rPr>
          <w:rFonts w:asciiTheme="majorBidi" w:hAnsiTheme="majorBidi" w:cstheme="majorBidi"/>
        </w:rPr>
      </w:pPr>
      <w:r w:rsidRPr="00C11A08">
        <w:rPr>
          <w:rFonts w:asciiTheme="majorBidi" w:hAnsiTheme="majorBidi" w:cstheme="majorBidi"/>
        </w:rPr>
        <w:t>The percentage of women age</w:t>
      </w:r>
      <w:r w:rsidR="001A70AA">
        <w:rPr>
          <w:rFonts w:asciiTheme="majorBidi" w:hAnsiTheme="majorBidi" w:cstheme="majorBidi"/>
        </w:rPr>
        <w:t>d</w:t>
      </w:r>
      <w:r w:rsidRPr="00C11A08">
        <w:rPr>
          <w:rFonts w:asciiTheme="majorBidi" w:hAnsiTheme="majorBidi" w:cstheme="majorBidi"/>
        </w:rPr>
        <w:t xml:space="preserve"> 15-49 years who </w:t>
      </w:r>
      <w:r w:rsidR="00101B4E" w:rsidRPr="00101B4E">
        <w:rPr>
          <w:rFonts w:asciiTheme="majorBidi" w:hAnsiTheme="majorBidi" w:cstheme="majorBidi"/>
        </w:rPr>
        <w:t>experienced physical violence</w:t>
      </w:r>
      <w:r w:rsidR="008052CB">
        <w:rPr>
          <w:rFonts w:asciiTheme="majorBidi" w:hAnsiTheme="majorBidi" w:cstheme="majorBidi"/>
        </w:rPr>
        <w:t>,</w:t>
      </w:r>
      <w:r w:rsidR="00101B4E" w:rsidRPr="00101B4E">
        <w:rPr>
          <w:rFonts w:asciiTheme="majorBidi" w:hAnsiTheme="majorBidi" w:cstheme="majorBidi"/>
        </w:rPr>
        <w:t xml:space="preserve"> robbery or assault</w:t>
      </w:r>
      <w:r w:rsidRPr="00C11A08">
        <w:rPr>
          <w:rFonts w:asciiTheme="majorBidi" w:hAnsiTheme="majorBidi" w:cstheme="majorBidi"/>
        </w:rPr>
        <w:t xml:space="preserve"> in the last year was</w:t>
      </w:r>
      <w:r w:rsidR="00570C71" w:rsidRPr="00570C71">
        <w:rPr>
          <w:rFonts w:asciiTheme="majorBidi" w:hAnsiTheme="majorBidi" w:cstheme="majorBidi"/>
          <w:noProof/>
        </w:rPr>
        <w:t xml:space="preserve"> </w:t>
      </w:r>
      <w:r w:rsidR="00570C71">
        <w:rPr>
          <w:rFonts w:asciiTheme="majorBidi" w:hAnsiTheme="majorBidi" w:cstheme="majorBidi"/>
          <w:noProof/>
        </w:rPr>
        <w:t>about</w:t>
      </w:r>
      <w:r w:rsidR="00570C71">
        <w:rPr>
          <w:rFonts w:asciiTheme="majorBidi" w:hAnsiTheme="majorBidi" w:cstheme="majorBidi"/>
        </w:rPr>
        <w:t xml:space="preserve"> 4</w:t>
      </w:r>
      <w:r w:rsidRPr="00C11A08">
        <w:rPr>
          <w:rFonts w:asciiTheme="majorBidi" w:hAnsiTheme="majorBidi" w:cstheme="majorBidi"/>
        </w:rPr>
        <w:t>%</w:t>
      </w:r>
      <w:r w:rsidR="00AB369E">
        <w:rPr>
          <w:rFonts w:asciiTheme="majorBidi" w:hAnsiTheme="majorBidi" w:cstheme="majorBidi"/>
        </w:rPr>
        <w:t>.</w:t>
      </w:r>
      <w:r w:rsidR="008052CB">
        <w:rPr>
          <w:rFonts w:asciiTheme="majorBidi" w:hAnsiTheme="majorBidi" w:cstheme="majorBidi"/>
        </w:rPr>
        <w:t xml:space="preserve"> </w:t>
      </w:r>
      <w:r w:rsidR="00AB369E">
        <w:rPr>
          <w:rFonts w:asciiTheme="majorBidi" w:hAnsiTheme="majorBidi" w:cstheme="majorBidi"/>
        </w:rPr>
        <w:t>T</w:t>
      </w:r>
      <w:r w:rsidR="00AB369E" w:rsidRPr="00C11A08">
        <w:rPr>
          <w:rFonts w:asciiTheme="majorBidi" w:hAnsiTheme="majorBidi" w:cstheme="majorBidi"/>
        </w:rPr>
        <w:t xml:space="preserve">he </w:t>
      </w:r>
      <w:r w:rsidRPr="00C11A08">
        <w:rPr>
          <w:rFonts w:asciiTheme="majorBidi" w:hAnsiTheme="majorBidi" w:cstheme="majorBidi"/>
        </w:rPr>
        <w:t>percentage by region was</w:t>
      </w:r>
      <w:r w:rsidR="00570C71" w:rsidRPr="00570C71">
        <w:rPr>
          <w:rFonts w:asciiTheme="majorBidi" w:hAnsiTheme="majorBidi" w:cstheme="majorBidi"/>
          <w:noProof/>
        </w:rPr>
        <w:t xml:space="preserve"> </w:t>
      </w:r>
      <w:r w:rsidR="00570C71">
        <w:rPr>
          <w:rFonts w:asciiTheme="majorBidi" w:hAnsiTheme="majorBidi" w:cstheme="majorBidi"/>
          <w:noProof/>
        </w:rPr>
        <w:t>about</w:t>
      </w:r>
      <w:r w:rsidR="00570C71">
        <w:rPr>
          <w:rFonts w:asciiTheme="majorBidi" w:hAnsiTheme="majorBidi" w:cstheme="majorBidi"/>
        </w:rPr>
        <w:t xml:space="preserve"> 1</w:t>
      </w:r>
      <w:r w:rsidRPr="00C11A08">
        <w:rPr>
          <w:rFonts w:asciiTheme="majorBidi" w:hAnsiTheme="majorBidi" w:cstheme="majorBidi"/>
        </w:rPr>
        <w:t xml:space="preserve">% in the West Bank and </w:t>
      </w:r>
      <w:r w:rsidR="00570C71">
        <w:rPr>
          <w:rFonts w:asciiTheme="majorBidi" w:hAnsiTheme="majorBidi" w:cstheme="majorBidi"/>
          <w:noProof/>
        </w:rPr>
        <w:t xml:space="preserve">about </w:t>
      </w:r>
      <w:r w:rsidR="00570C71">
        <w:rPr>
          <w:rFonts w:asciiTheme="majorBidi" w:hAnsiTheme="majorBidi" w:cstheme="majorBidi"/>
        </w:rPr>
        <w:t>7</w:t>
      </w:r>
      <w:r w:rsidRPr="00C11A08">
        <w:rPr>
          <w:rFonts w:asciiTheme="majorBidi" w:hAnsiTheme="majorBidi" w:cstheme="majorBidi"/>
        </w:rPr>
        <w:t xml:space="preserve">% in </w:t>
      </w:r>
      <w:r w:rsidR="008052CB">
        <w:rPr>
          <w:rFonts w:asciiTheme="majorBidi" w:hAnsiTheme="majorBidi" w:cstheme="majorBidi"/>
        </w:rPr>
        <w:t xml:space="preserve">the </w:t>
      </w:r>
      <w:r w:rsidRPr="00C11A08">
        <w:rPr>
          <w:rFonts w:asciiTheme="majorBidi" w:hAnsiTheme="majorBidi" w:cstheme="majorBidi"/>
        </w:rPr>
        <w:t>Gaza Strip</w:t>
      </w:r>
      <w:r w:rsidR="00101B4E">
        <w:rPr>
          <w:rFonts w:asciiTheme="majorBidi" w:hAnsiTheme="majorBidi" w:cstheme="majorBidi"/>
        </w:rPr>
        <w:t>.</w:t>
      </w:r>
      <w:r w:rsidR="00AB369E">
        <w:rPr>
          <w:rFonts w:asciiTheme="majorBidi" w:hAnsiTheme="majorBidi" w:cstheme="majorBidi"/>
        </w:rPr>
        <w:t xml:space="preserve"> </w:t>
      </w:r>
    </w:p>
    <w:sectPr w:rsidR="00AF2ACD" w:rsidRPr="00F147B4" w:rsidSect="005A7255">
      <w:footerReference w:type="even" r:id="rId12"/>
      <w:footerReference w:type="default" r:id="rId13"/>
      <w:pgSz w:w="11909" w:h="16834" w:code="9"/>
      <w:pgMar w:top="1191" w:right="1418" w:bottom="1191" w:left="1418" w:header="709" w:footer="709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0AA6D" w16cex:dateUtc="2020-12-13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3AB62" w16cid:durableId="238208ED"/>
  <w16cid:commentId w16cid:paraId="5132E46E" w16cid:durableId="23820936"/>
  <w16cid:commentId w16cid:paraId="1BA02E0C" w16cid:durableId="238209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86AD2" w14:textId="77777777" w:rsidR="006E2130" w:rsidRDefault="006E2130">
      <w:r>
        <w:separator/>
      </w:r>
    </w:p>
  </w:endnote>
  <w:endnote w:type="continuationSeparator" w:id="0">
    <w:p w14:paraId="7A7A6831" w14:textId="77777777" w:rsidR="006E2130" w:rsidRDefault="006E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F7C83" w14:textId="77777777" w:rsidR="00BC5D90" w:rsidRDefault="0049416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BC5D90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C5D90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14:paraId="31687632" w14:textId="77777777" w:rsidR="00BC5D90" w:rsidRDefault="00BC5D90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1F563" w14:textId="50153C8F" w:rsidR="00BC5D90" w:rsidRDefault="0049416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BC5D90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3031F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481FC21D" w14:textId="77777777" w:rsidR="00BC5D90" w:rsidRDefault="00BC5D90">
    <w:pPr>
      <w:pStyle w:val="Footer"/>
      <w:jc w:val="center"/>
    </w:pPr>
  </w:p>
  <w:p w14:paraId="0566A2A3" w14:textId="77777777" w:rsidR="00BC5D90" w:rsidRDefault="00BC5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B80D4" w14:textId="77777777" w:rsidR="006E2130" w:rsidRDefault="006E2130">
      <w:r>
        <w:separator/>
      </w:r>
    </w:p>
  </w:footnote>
  <w:footnote w:type="continuationSeparator" w:id="0">
    <w:p w14:paraId="6ABBE9AC" w14:textId="77777777" w:rsidR="006E2130" w:rsidRDefault="006E2130">
      <w:r>
        <w:continuationSeparator/>
      </w:r>
    </w:p>
  </w:footnote>
  <w:footnote w:id="1">
    <w:p w14:paraId="0E38DF1E" w14:textId="48B85801" w:rsidR="00BC5D90" w:rsidRDefault="00BC5D90" w:rsidP="00224A0B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224A0B">
        <w:rPr>
          <w:rFonts w:asciiTheme="majorBidi" w:hAnsiTheme="majorBidi" w:cstheme="majorBidi"/>
          <w:noProof/>
          <w:sz w:val="16"/>
          <w:szCs w:val="16"/>
        </w:rPr>
        <w:t>B</w:t>
      </w:r>
      <w:r w:rsidR="00224A0B" w:rsidRPr="00BF4CE3">
        <w:rPr>
          <w:rFonts w:asciiTheme="majorBidi" w:hAnsiTheme="majorBidi" w:cstheme="majorBidi"/>
          <w:noProof/>
          <w:sz w:val="16"/>
          <w:szCs w:val="16"/>
        </w:rPr>
        <w:t xml:space="preserve">asic </w:t>
      </w:r>
      <w:r w:rsidRPr="00BF4CE3">
        <w:rPr>
          <w:rFonts w:asciiTheme="majorBidi" w:hAnsiTheme="majorBidi" w:cstheme="majorBidi"/>
          <w:noProof/>
          <w:sz w:val="16"/>
          <w:szCs w:val="16"/>
        </w:rPr>
        <w:t>drinking water services refer to an improved source, provided collection time is not more than 30 minutes for a roundtrip including queuing. Improved drinking water sources are those that have the potential to deliver safe water by nature of their design and construction</w:t>
      </w:r>
      <w:r>
        <w:t>.</w:t>
      </w:r>
    </w:p>
  </w:footnote>
  <w:footnote w:id="2">
    <w:p w14:paraId="36D44B1B" w14:textId="6314F128" w:rsidR="00BC5D90" w:rsidRPr="00B55DCD" w:rsidRDefault="00BC5D90" w:rsidP="00224A0B">
      <w:pPr>
        <w:pStyle w:val="FootnoteText"/>
        <w:bidi w:val="0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224A0B">
        <w:rPr>
          <w:noProof/>
          <w:sz w:val="16"/>
          <w:szCs w:val="16"/>
        </w:rPr>
        <w:t>S</w:t>
      </w:r>
      <w:r w:rsidR="00224A0B" w:rsidRPr="00B55DCD">
        <w:rPr>
          <w:noProof/>
          <w:sz w:val="16"/>
          <w:szCs w:val="16"/>
        </w:rPr>
        <w:t xml:space="preserve">afely </w:t>
      </w:r>
      <w:r w:rsidRPr="00B55DCD">
        <w:rPr>
          <w:noProof/>
          <w:sz w:val="16"/>
          <w:szCs w:val="16"/>
        </w:rPr>
        <w:t>managed water sources</w:t>
      </w:r>
      <w:r w:rsidRPr="00B55DCD">
        <w:rPr>
          <w:sz w:val="16"/>
          <w:szCs w:val="16"/>
        </w:rPr>
        <w:t xml:space="preserve"> means: Improved drinking water source located on premises, free of </w:t>
      </w:r>
      <w:r w:rsidRPr="00B55DCD">
        <w:rPr>
          <w:i/>
          <w:iCs/>
          <w:sz w:val="16"/>
          <w:szCs w:val="16"/>
        </w:rPr>
        <w:t>E. coli</w:t>
      </w:r>
      <w:r w:rsidRPr="00B55DCD">
        <w:rPr>
          <w:sz w:val="16"/>
          <w:szCs w:val="16"/>
        </w:rPr>
        <w:t xml:space="preserve"> and available when needed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7E37"/>
    <w:multiLevelType w:val="hybridMultilevel"/>
    <w:tmpl w:val="C882A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F2738"/>
    <w:multiLevelType w:val="hybridMultilevel"/>
    <w:tmpl w:val="8352543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24580406"/>
    <w:multiLevelType w:val="hybridMultilevel"/>
    <w:tmpl w:val="1E74D1D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28D10496"/>
    <w:multiLevelType w:val="hybridMultilevel"/>
    <w:tmpl w:val="F17E35E8"/>
    <w:lvl w:ilvl="0" w:tplc="62D8824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29887E88"/>
    <w:multiLevelType w:val="hybridMultilevel"/>
    <w:tmpl w:val="D7080EA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3E91D8A"/>
    <w:multiLevelType w:val="hybridMultilevel"/>
    <w:tmpl w:val="68028A88"/>
    <w:lvl w:ilvl="0" w:tplc="EAFA3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C57DE"/>
    <w:multiLevelType w:val="hybridMultilevel"/>
    <w:tmpl w:val="347C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F74D9"/>
    <w:multiLevelType w:val="multilevel"/>
    <w:tmpl w:val="0234BBE0"/>
    <w:lvl w:ilvl="0">
      <w:start w:val="2"/>
      <w:numFmt w:val="decimal"/>
      <w:lvlText w:val="%1"/>
      <w:lvlJc w:val="left"/>
      <w:pPr>
        <w:tabs>
          <w:tab w:val="num" w:pos="420"/>
        </w:tabs>
        <w:ind w:left="420" w:righ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righ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righ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righ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righ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righ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righ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right="3240" w:hanging="1800"/>
      </w:pPr>
      <w:rPr>
        <w:rFonts w:hint="default"/>
      </w:rPr>
    </w:lvl>
  </w:abstractNum>
  <w:abstractNum w:abstractNumId="8" w15:restartNumberingAfterBreak="0">
    <w:nsid w:val="60683F22"/>
    <w:multiLevelType w:val="hybridMultilevel"/>
    <w:tmpl w:val="1BB67A48"/>
    <w:lvl w:ilvl="0" w:tplc="62D8824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E2"/>
    <w:rsid w:val="00000775"/>
    <w:rsid w:val="0000414A"/>
    <w:rsid w:val="00006183"/>
    <w:rsid w:val="00011B34"/>
    <w:rsid w:val="00012141"/>
    <w:rsid w:val="00017C25"/>
    <w:rsid w:val="000213D9"/>
    <w:rsid w:val="00026675"/>
    <w:rsid w:val="0002742A"/>
    <w:rsid w:val="00027A63"/>
    <w:rsid w:val="0003039B"/>
    <w:rsid w:val="0003242A"/>
    <w:rsid w:val="000402B8"/>
    <w:rsid w:val="00040D2F"/>
    <w:rsid w:val="00047B6E"/>
    <w:rsid w:val="00055108"/>
    <w:rsid w:val="000568EB"/>
    <w:rsid w:val="000613B1"/>
    <w:rsid w:val="00066A6F"/>
    <w:rsid w:val="000672BF"/>
    <w:rsid w:val="00067FF0"/>
    <w:rsid w:val="00071732"/>
    <w:rsid w:val="00074E9C"/>
    <w:rsid w:val="00075C9E"/>
    <w:rsid w:val="000825CF"/>
    <w:rsid w:val="0008360A"/>
    <w:rsid w:val="00086A42"/>
    <w:rsid w:val="00087B29"/>
    <w:rsid w:val="00092236"/>
    <w:rsid w:val="00095B5A"/>
    <w:rsid w:val="000A1521"/>
    <w:rsid w:val="000B4775"/>
    <w:rsid w:val="000C4005"/>
    <w:rsid w:val="000D37FE"/>
    <w:rsid w:val="000D3AA3"/>
    <w:rsid w:val="000D5C3B"/>
    <w:rsid w:val="000D660E"/>
    <w:rsid w:val="000E3C8F"/>
    <w:rsid w:val="000F3C95"/>
    <w:rsid w:val="000F554B"/>
    <w:rsid w:val="00101B4E"/>
    <w:rsid w:val="00102218"/>
    <w:rsid w:val="001024E7"/>
    <w:rsid w:val="00107ECE"/>
    <w:rsid w:val="00110687"/>
    <w:rsid w:val="00114D01"/>
    <w:rsid w:val="00115757"/>
    <w:rsid w:val="00125787"/>
    <w:rsid w:val="00143662"/>
    <w:rsid w:val="00143FD8"/>
    <w:rsid w:val="00154B49"/>
    <w:rsid w:val="00156DBE"/>
    <w:rsid w:val="00171802"/>
    <w:rsid w:val="00173B2F"/>
    <w:rsid w:val="00176754"/>
    <w:rsid w:val="001769B0"/>
    <w:rsid w:val="001826FF"/>
    <w:rsid w:val="0018668C"/>
    <w:rsid w:val="001946EB"/>
    <w:rsid w:val="001A1A9C"/>
    <w:rsid w:val="001A45FF"/>
    <w:rsid w:val="001A61E8"/>
    <w:rsid w:val="001A70AA"/>
    <w:rsid w:val="001B4D59"/>
    <w:rsid w:val="001C090C"/>
    <w:rsid w:val="001C2D6B"/>
    <w:rsid w:val="001C4A27"/>
    <w:rsid w:val="001C4ADC"/>
    <w:rsid w:val="001E1213"/>
    <w:rsid w:val="001F0813"/>
    <w:rsid w:val="001F1C96"/>
    <w:rsid w:val="001F4ACE"/>
    <w:rsid w:val="001F5C4E"/>
    <w:rsid w:val="001F6A5F"/>
    <w:rsid w:val="002003E5"/>
    <w:rsid w:val="00205888"/>
    <w:rsid w:val="0021075A"/>
    <w:rsid w:val="00212651"/>
    <w:rsid w:val="00212E91"/>
    <w:rsid w:val="00221F80"/>
    <w:rsid w:val="00223AA1"/>
    <w:rsid w:val="00224A0B"/>
    <w:rsid w:val="002323F2"/>
    <w:rsid w:val="002413DA"/>
    <w:rsid w:val="00256B64"/>
    <w:rsid w:val="002633A9"/>
    <w:rsid w:val="00272DE2"/>
    <w:rsid w:val="00273304"/>
    <w:rsid w:val="00276FB4"/>
    <w:rsid w:val="00282447"/>
    <w:rsid w:val="0028450C"/>
    <w:rsid w:val="002916E4"/>
    <w:rsid w:val="00291A03"/>
    <w:rsid w:val="00295951"/>
    <w:rsid w:val="00296AA5"/>
    <w:rsid w:val="002A2329"/>
    <w:rsid w:val="002A25A2"/>
    <w:rsid w:val="002A2D22"/>
    <w:rsid w:val="002B223D"/>
    <w:rsid w:val="002B70EC"/>
    <w:rsid w:val="002B720C"/>
    <w:rsid w:val="002C0C04"/>
    <w:rsid w:val="002C2B4E"/>
    <w:rsid w:val="002C34B8"/>
    <w:rsid w:val="002C3873"/>
    <w:rsid w:val="002E27B5"/>
    <w:rsid w:val="002F0078"/>
    <w:rsid w:val="002F210A"/>
    <w:rsid w:val="002F2B69"/>
    <w:rsid w:val="002F4B6B"/>
    <w:rsid w:val="00312688"/>
    <w:rsid w:val="003137C9"/>
    <w:rsid w:val="003156BE"/>
    <w:rsid w:val="00321941"/>
    <w:rsid w:val="003244A2"/>
    <w:rsid w:val="00326D2D"/>
    <w:rsid w:val="0033031F"/>
    <w:rsid w:val="00340F84"/>
    <w:rsid w:val="00341ED4"/>
    <w:rsid w:val="00347084"/>
    <w:rsid w:val="00347DA5"/>
    <w:rsid w:val="00350058"/>
    <w:rsid w:val="00350FAC"/>
    <w:rsid w:val="00352CA4"/>
    <w:rsid w:val="0035347F"/>
    <w:rsid w:val="0038077C"/>
    <w:rsid w:val="00383B0C"/>
    <w:rsid w:val="00387355"/>
    <w:rsid w:val="00387683"/>
    <w:rsid w:val="00395A49"/>
    <w:rsid w:val="003A529B"/>
    <w:rsid w:val="003A68AC"/>
    <w:rsid w:val="003B2200"/>
    <w:rsid w:val="003C4DE7"/>
    <w:rsid w:val="003C6F91"/>
    <w:rsid w:val="003D4734"/>
    <w:rsid w:val="003D4A44"/>
    <w:rsid w:val="003E046E"/>
    <w:rsid w:val="003E450A"/>
    <w:rsid w:val="003E6D19"/>
    <w:rsid w:val="00406251"/>
    <w:rsid w:val="00406E1F"/>
    <w:rsid w:val="004143A7"/>
    <w:rsid w:val="00425F43"/>
    <w:rsid w:val="00426DB9"/>
    <w:rsid w:val="00433737"/>
    <w:rsid w:val="00436FAB"/>
    <w:rsid w:val="00452F43"/>
    <w:rsid w:val="00457087"/>
    <w:rsid w:val="00460C7A"/>
    <w:rsid w:val="00464419"/>
    <w:rsid w:val="0047222B"/>
    <w:rsid w:val="00472F57"/>
    <w:rsid w:val="00474C0D"/>
    <w:rsid w:val="004772E1"/>
    <w:rsid w:val="00484990"/>
    <w:rsid w:val="00493F00"/>
    <w:rsid w:val="00494161"/>
    <w:rsid w:val="00495B89"/>
    <w:rsid w:val="00495DC5"/>
    <w:rsid w:val="0049692A"/>
    <w:rsid w:val="004A0CE7"/>
    <w:rsid w:val="004A1E4E"/>
    <w:rsid w:val="004A5ECD"/>
    <w:rsid w:val="004B384B"/>
    <w:rsid w:val="004D5603"/>
    <w:rsid w:val="004E0305"/>
    <w:rsid w:val="004F358D"/>
    <w:rsid w:val="004F6664"/>
    <w:rsid w:val="004F694C"/>
    <w:rsid w:val="00503C44"/>
    <w:rsid w:val="00504F70"/>
    <w:rsid w:val="00505B66"/>
    <w:rsid w:val="00516110"/>
    <w:rsid w:val="00520C04"/>
    <w:rsid w:val="005217FB"/>
    <w:rsid w:val="005219BE"/>
    <w:rsid w:val="00522CA8"/>
    <w:rsid w:val="005303A8"/>
    <w:rsid w:val="00533F97"/>
    <w:rsid w:val="00534285"/>
    <w:rsid w:val="005374AC"/>
    <w:rsid w:val="0054474E"/>
    <w:rsid w:val="00550A34"/>
    <w:rsid w:val="00551296"/>
    <w:rsid w:val="00556A15"/>
    <w:rsid w:val="00560D71"/>
    <w:rsid w:val="00567409"/>
    <w:rsid w:val="00570C71"/>
    <w:rsid w:val="00574873"/>
    <w:rsid w:val="00580A9A"/>
    <w:rsid w:val="00580CDA"/>
    <w:rsid w:val="005843E8"/>
    <w:rsid w:val="005855B5"/>
    <w:rsid w:val="00592B52"/>
    <w:rsid w:val="005A2C70"/>
    <w:rsid w:val="005A5AA1"/>
    <w:rsid w:val="005A5C15"/>
    <w:rsid w:val="005A7255"/>
    <w:rsid w:val="005B0D50"/>
    <w:rsid w:val="005B1028"/>
    <w:rsid w:val="005B33B5"/>
    <w:rsid w:val="005B538D"/>
    <w:rsid w:val="005B7510"/>
    <w:rsid w:val="005C3880"/>
    <w:rsid w:val="005C58D7"/>
    <w:rsid w:val="005D1E72"/>
    <w:rsid w:val="005D3738"/>
    <w:rsid w:val="005E6195"/>
    <w:rsid w:val="005E6AD3"/>
    <w:rsid w:val="005E6DE2"/>
    <w:rsid w:val="0060038D"/>
    <w:rsid w:val="00601921"/>
    <w:rsid w:val="006048DC"/>
    <w:rsid w:val="0060645B"/>
    <w:rsid w:val="006075A1"/>
    <w:rsid w:val="006125CF"/>
    <w:rsid w:val="00615385"/>
    <w:rsid w:val="006166ED"/>
    <w:rsid w:val="00616E4E"/>
    <w:rsid w:val="006333B2"/>
    <w:rsid w:val="00641498"/>
    <w:rsid w:val="00647A3F"/>
    <w:rsid w:val="00652317"/>
    <w:rsid w:val="0065321C"/>
    <w:rsid w:val="00653873"/>
    <w:rsid w:val="00654776"/>
    <w:rsid w:val="00657419"/>
    <w:rsid w:val="00660FE1"/>
    <w:rsid w:val="00662D58"/>
    <w:rsid w:val="00663DF4"/>
    <w:rsid w:val="00666317"/>
    <w:rsid w:val="0067032A"/>
    <w:rsid w:val="00671D41"/>
    <w:rsid w:val="0067257E"/>
    <w:rsid w:val="00677657"/>
    <w:rsid w:val="00680775"/>
    <w:rsid w:val="00685B3F"/>
    <w:rsid w:val="0069161D"/>
    <w:rsid w:val="00694F84"/>
    <w:rsid w:val="006A4EBF"/>
    <w:rsid w:val="006A78D1"/>
    <w:rsid w:val="006B2597"/>
    <w:rsid w:val="006B3F33"/>
    <w:rsid w:val="006B52A6"/>
    <w:rsid w:val="006C0067"/>
    <w:rsid w:val="006D0AFC"/>
    <w:rsid w:val="006D59F8"/>
    <w:rsid w:val="006E1324"/>
    <w:rsid w:val="006E2130"/>
    <w:rsid w:val="006E2DBB"/>
    <w:rsid w:val="006E603A"/>
    <w:rsid w:val="006F1360"/>
    <w:rsid w:val="006F22CF"/>
    <w:rsid w:val="006F5E70"/>
    <w:rsid w:val="00701A2A"/>
    <w:rsid w:val="00704BDD"/>
    <w:rsid w:val="007075A3"/>
    <w:rsid w:val="00711060"/>
    <w:rsid w:val="00717D24"/>
    <w:rsid w:val="007320D0"/>
    <w:rsid w:val="00741FC0"/>
    <w:rsid w:val="00745D22"/>
    <w:rsid w:val="00750789"/>
    <w:rsid w:val="00754318"/>
    <w:rsid w:val="0076269B"/>
    <w:rsid w:val="00764007"/>
    <w:rsid w:val="00777549"/>
    <w:rsid w:val="0078052A"/>
    <w:rsid w:val="00783A26"/>
    <w:rsid w:val="007873CB"/>
    <w:rsid w:val="007954F6"/>
    <w:rsid w:val="00797ADC"/>
    <w:rsid w:val="007A5141"/>
    <w:rsid w:val="007A5195"/>
    <w:rsid w:val="007B1003"/>
    <w:rsid w:val="007B7F22"/>
    <w:rsid w:val="007C047C"/>
    <w:rsid w:val="007C56A7"/>
    <w:rsid w:val="007C605D"/>
    <w:rsid w:val="007C69BB"/>
    <w:rsid w:val="007D538F"/>
    <w:rsid w:val="007D589D"/>
    <w:rsid w:val="007E214D"/>
    <w:rsid w:val="007F15BF"/>
    <w:rsid w:val="008001B0"/>
    <w:rsid w:val="00800698"/>
    <w:rsid w:val="008052CB"/>
    <w:rsid w:val="00806DF0"/>
    <w:rsid w:val="00812CD3"/>
    <w:rsid w:val="00816445"/>
    <w:rsid w:val="0082105C"/>
    <w:rsid w:val="008227E1"/>
    <w:rsid w:val="00824F0C"/>
    <w:rsid w:val="00825935"/>
    <w:rsid w:val="00830276"/>
    <w:rsid w:val="00831E54"/>
    <w:rsid w:val="00854EEA"/>
    <w:rsid w:val="00856186"/>
    <w:rsid w:val="008601F7"/>
    <w:rsid w:val="00864E91"/>
    <w:rsid w:val="0087179B"/>
    <w:rsid w:val="00890C4C"/>
    <w:rsid w:val="008919D1"/>
    <w:rsid w:val="0089431D"/>
    <w:rsid w:val="00896EA6"/>
    <w:rsid w:val="008A116E"/>
    <w:rsid w:val="008A27F0"/>
    <w:rsid w:val="008A370A"/>
    <w:rsid w:val="008A6FAB"/>
    <w:rsid w:val="008A6FD2"/>
    <w:rsid w:val="008B1B02"/>
    <w:rsid w:val="008C555D"/>
    <w:rsid w:val="008C5E69"/>
    <w:rsid w:val="008D5971"/>
    <w:rsid w:val="008E3FC3"/>
    <w:rsid w:val="00916BF4"/>
    <w:rsid w:val="009247AD"/>
    <w:rsid w:val="00925190"/>
    <w:rsid w:val="00927659"/>
    <w:rsid w:val="009278C2"/>
    <w:rsid w:val="00927CAD"/>
    <w:rsid w:val="009323AF"/>
    <w:rsid w:val="00932694"/>
    <w:rsid w:val="00936AE8"/>
    <w:rsid w:val="009432B5"/>
    <w:rsid w:val="00945BF1"/>
    <w:rsid w:val="00954C2E"/>
    <w:rsid w:val="00955B16"/>
    <w:rsid w:val="00960DA8"/>
    <w:rsid w:val="009674EE"/>
    <w:rsid w:val="00973CE9"/>
    <w:rsid w:val="0098197B"/>
    <w:rsid w:val="009909BD"/>
    <w:rsid w:val="009909DD"/>
    <w:rsid w:val="009968AC"/>
    <w:rsid w:val="009B07D9"/>
    <w:rsid w:val="009B2136"/>
    <w:rsid w:val="009B2E44"/>
    <w:rsid w:val="009B6AB2"/>
    <w:rsid w:val="009C3270"/>
    <w:rsid w:val="009D78A7"/>
    <w:rsid w:val="009E1404"/>
    <w:rsid w:val="009F1EC9"/>
    <w:rsid w:val="009F5B60"/>
    <w:rsid w:val="009F7A54"/>
    <w:rsid w:val="009F7FB5"/>
    <w:rsid w:val="00A05077"/>
    <w:rsid w:val="00A117C4"/>
    <w:rsid w:val="00A13C9D"/>
    <w:rsid w:val="00A16F07"/>
    <w:rsid w:val="00A2399E"/>
    <w:rsid w:val="00A25B41"/>
    <w:rsid w:val="00A278E2"/>
    <w:rsid w:val="00A312DC"/>
    <w:rsid w:val="00A34238"/>
    <w:rsid w:val="00A34CD1"/>
    <w:rsid w:val="00A42AB1"/>
    <w:rsid w:val="00A43927"/>
    <w:rsid w:val="00A44665"/>
    <w:rsid w:val="00A52DC4"/>
    <w:rsid w:val="00A61CDC"/>
    <w:rsid w:val="00A66474"/>
    <w:rsid w:val="00A66D5A"/>
    <w:rsid w:val="00A8340C"/>
    <w:rsid w:val="00A84886"/>
    <w:rsid w:val="00A871D8"/>
    <w:rsid w:val="00A87D3D"/>
    <w:rsid w:val="00A970AD"/>
    <w:rsid w:val="00A97B2A"/>
    <w:rsid w:val="00AA0737"/>
    <w:rsid w:val="00AA2790"/>
    <w:rsid w:val="00AA3F52"/>
    <w:rsid w:val="00AA700F"/>
    <w:rsid w:val="00AA78F9"/>
    <w:rsid w:val="00AB1EF8"/>
    <w:rsid w:val="00AB369E"/>
    <w:rsid w:val="00AB558E"/>
    <w:rsid w:val="00AC5E56"/>
    <w:rsid w:val="00AC6EBB"/>
    <w:rsid w:val="00AD2DF9"/>
    <w:rsid w:val="00AD379B"/>
    <w:rsid w:val="00AD5B8D"/>
    <w:rsid w:val="00AD6150"/>
    <w:rsid w:val="00AE0410"/>
    <w:rsid w:val="00AF06D0"/>
    <w:rsid w:val="00AF2ACD"/>
    <w:rsid w:val="00B1278F"/>
    <w:rsid w:val="00B158D6"/>
    <w:rsid w:val="00B1710E"/>
    <w:rsid w:val="00B1768B"/>
    <w:rsid w:val="00B254AC"/>
    <w:rsid w:val="00B33495"/>
    <w:rsid w:val="00B3426D"/>
    <w:rsid w:val="00B353B1"/>
    <w:rsid w:val="00B4207D"/>
    <w:rsid w:val="00B45939"/>
    <w:rsid w:val="00B46D1E"/>
    <w:rsid w:val="00B5270D"/>
    <w:rsid w:val="00B55C56"/>
    <w:rsid w:val="00B55DCD"/>
    <w:rsid w:val="00B57103"/>
    <w:rsid w:val="00B7271C"/>
    <w:rsid w:val="00B736E4"/>
    <w:rsid w:val="00B74053"/>
    <w:rsid w:val="00B82A6E"/>
    <w:rsid w:val="00B85876"/>
    <w:rsid w:val="00B87724"/>
    <w:rsid w:val="00B92CBE"/>
    <w:rsid w:val="00BA16A0"/>
    <w:rsid w:val="00BA1C99"/>
    <w:rsid w:val="00BA3C53"/>
    <w:rsid w:val="00BC5D90"/>
    <w:rsid w:val="00BD61F4"/>
    <w:rsid w:val="00BD683F"/>
    <w:rsid w:val="00BF070E"/>
    <w:rsid w:val="00BF135E"/>
    <w:rsid w:val="00BF3070"/>
    <w:rsid w:val="00BF319A"/>
    <w:rsid w:val="00BF3977"/>
    <w:rsid w:val="00BF41F6"/>
    <w:rsid w:val="00BF4CE3"/>
    <w:rsid w:val="00C0032E"/>
    <w:rsid w:val="00C008E9"/>
    <w:rsid w:val="00C00966"/>
    <w:rsid w:val="00C00C16"/>
    <w:rsid w:val="00C048DE"/>
    <w:rsid w:val="00C05BA7"/>
    <w:rsid w:val="00C110F4"/>
    <w:rsid w:val="00C11A08"/>
    <w:rsid w:val="00C13BDD"/>
    <w:rsid w:val="00C17B73"/>
    <w:rsid w:val="00C40369"/>
    <w:rsid w:val="00C43D18"/>
    <w:rsid w:val="00C5151B"/>
    <w:rsid w:val="00C534F7"/>
    <w:rsid w:val="00C55D9E"/>
    <w:rsid w:val="00C5700D"/>
    <w:rsid w:val="00C57712"/>
    <w:rsid w:val="00C57813"/>
    <w:rsid w:val="00C63F10"/>
    <w:rsid w:val="00C661D1"/>
    <w:rsid w:val="00C66A45"/>
    <w:rsid w:val="00C66B42"/>
    <w:rsid w:val="00C70408"/>
    <w:rsid w:val="00C728D7"/>
    <w:rsid w:val="00C7422B"/>
    <w:rsid w:val="00C84149"/>
    <w:rsid w:val="00C91201"/>
    <w:rsid w:val="00C94FAC"/>
    <w:rsid w:val="00C973CE"/>
    <w:rsid w:val="00C979C3"/>
    <w:rsid w:val="00CA4C4F"/>
    <w:rsid w:val="00CA53B3"/>
    <w:rsid w:val="00CB2102"/>
    <w:rsid w:val="00CB2CF9"/>
    <w:rsid w:val="00CB3A79"/>
    <w:rsid w:val="00CD6A9E"/>
    <w:rsid w:val="00CE3007"/>
    <w:rsid w:val="00CE6397"/>
    <w:rsid w:val="00CF1AB7"/>
    <w:rsid w:val="00CF36CB"/>
    <w:rsid w:val="00D00790"/>
    <w:rsid w:val="00D00C3B"/>
    <w:rsid w:val="00D0382E"/>
    <w:rsid w:val="00D07D3B"/>
    <w:rsid w:val="00D2590F"/>
    <w:rsid w:val="00D26281"/>
    <w:rsid w:val="00D340D3"/>
    <w:rsid w:val="00D4096E"/>
    <w:rsid w:val="00D54573"/>
    <w:rsid w:val="00D57A20"/>
    <w:rsid w:val="00D57E66"/>
    <w:rsid w:val="00D57EC8"/>
    <w:rsid w:val="00D60671"/>
    <w:rsid w:val="00D6239C"/>
    <w:rsid w:val="00D725B9"/>
    <w:rsid w:val="00D80543"/>
    <w:rsid w:val="00D80D25"/>
    <w:rsid w:val="00DA3E41"/>
    <w:rsid w:val="00DA6BF9"/>
    <w:rsid w:val="00DB536B"/>
    <w:rsid w:val="00DB6A67"/>
    <w:rsid w:val="00DC003B"/>
    <w:rsid w:val="00DC6DDA"/>
    <w:rsid w:val="00DE0610"/>
    <w:rsid w:val="00DE3D6A"/>
    <w:rsid w:val="00DE7CD5"/>
    <w:rsid w:val="00DF0B0E"/>
    <w:rsid w:val="00DF597F"/>
    <w:rsid w:val="00DF75B8"/>
    <w:rsid w:val="00E07BF4"/>
    <w:rsid w:val="00E07F33"/>
    <w:rsid w:val="00E16368"/>
    <w:rsid w:val="00E524BB"/>
    <w:rsid w:val="00E56395"/>
    <w:rsid w:val="00E62F31"/>
    <w:rsid w:val="00E66DDD"/>
    <w:rsid w:val="00E824B1"/>
    <w:rsid w:val="00E87061"/>
    <w:rsid w:val="00E9651C"/>
    <w:rsid w:val="00EB0240"/>
    <w:rsid w:val="00EC5541"/>
    <w:rsid w:val="00EC5944"/>
    <w:rsid w:val="00ED018A"/>
    <w:rsid w:val="00ED266E"/>
    <w:rsid w:val="00ED63A8"/>
    <w:rsid w:val="00ED6C1C"/>
    <w:rsid w:val="00EE3491"/>
    <w:rsid w:val="00EE4460"/>
    <w:rsid w:val="00EF2B98"/>
    <w:rsid w:val="00EF4AAD"/>
    <w:rsid w:val="00EF4FEE"/>
    <w:rsid w:val="00EF657C"/>
    <w:rsid w:val="00F00B9F"/>
    <w:rsid w:val="00F06424"/>
    <w:rsid w:val="00F147B4"/>
    <w:rsid w:val="00F21E09"/>
    <w:rsid w:val="00F226C3"/>
    <w:rsid w:val="00F23DCC"/>
    <w:rsid w:val="00F312CE"/>
    <w:rsid w:val="00F35D9F"/>
    <w:rsid w:val="00F3748A"/>
    <w:rsid w:val="00F40C8E"/>
    <w:rsid w:val="00F4351D"/>
    <w:rsid w:val="00F47B4B"/>
    <w:rsid w:val="00F47EC1"/>
    <w:rsid w:val="00F61123"/>
    <w:rsid w:val="00F702E0"/>
    <w:rsid w:val="00F74674"/>
    <w:rsid w:val="00F74801"/>
    <w:rsid w:val="00F75D04"/>
    <w:rsid w:val="00F760EE"/>
    <w:rsid w:val="00F7661B"/>
    <w:rsid w:val="00F77021"/>
    <w:rsid w:val="00F8290F"/>
    <w:rsid w:val="00F85BA4"/>
    <w:rsid w:val="00F869B6"/>
    <w:rsid w:val="00F90083"/>
    <w:rsid w:val="00FA180E"/>
    <w:rsid w:val="00FA31E4"/>
    <w:rsid w:val="00FA3C40"/>
    <w:rsid w:val="00FA5D9B"/>
    <w:rsid w:val="00FB0E3D"/>
    <w:rsid w:val="00FB2BE1"/>
    <w:rsid w:val="00FB589D"/>
    <w:rsid w:val="00FC0E6C"/>
    <w:rsid w:val="00FC4461"/>
    <w:rsid w:val="00FC7252"/>
    <w:rsid w:val="00FD17ED"/>
    <w:rsid w:val="00FE5EE5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A010FB"/>
  <w15:docId w15:val="{ED1F5E44-0759-476F-A7A0-471A4B69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B5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B0E3D"/>
    <w:pPr>
      <w:keepNext/>
      <w:bidi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0E3D"/>
    <w:pPr>
      <w:keepNext/>
      <w:bidi w:val="0"/>
      <w:jc w:val="lowKashida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B0E3D"/>
    <w:pPr>
      <w:keepNext/>
      <w:jc w:val="center"/>
      <w:outlineLvl w:val="2"/>
    </w:pPr>
    <w:rPr>
      <w:b/>
      <w:bCs/>
      <w:lang w:eastAsia="en-US" w:bidi="ar-JO"/>
    </w:rPr>
  </w:style>
  <w:style w:type="paragraph" w:styleId="Heading4">
    <w:name w:val="heading 4"/>
    <w:basedOn w:val="Normal"/>
    <w:next w:val="Normal"/>
    <w:qFormat/>
    <w:rsid w:val="00FB0E3D"/>
    <w:pPr>
      <w:keepNext/>
      <w:jc w:val="center"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1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qFormat/>
    <w:rsid w:val="00FB0E3D"/>
    <w:pPr>
      <w:keepNext/>
      <w:jc w:val="center"/>
      <w:outlineLvl w:val="6"/>
    </w:pPr>
    <w:rPr>
      <w:rFonts w:cs="Traditional Arabic"/>
      <w:b/>
      <w:bCs/>
      <w:snapToGrid w:val="0"/>
      <w:color w:val="FF0000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B0E3D"/>
    <w:pPr>
      <w:bidi w:val="0"/>
      <w:jc w:val="center"/>
    </w:pPr>
    <w:rPr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FB0E3D"/>
    <w:pPr>
      <w:bidi w:val="0"/>
      <w:jc w:val="lowKashida"/>
    </w:pPr>
  </w:style>
  <w:style w:type="paragraph" w:styleId="Footer">
    <w:name w:val="footer"/>
    <w:basedOn w:val="Normal"/>
    <w:link w:val="FooterChar"/>
    <w:uiPriority w:val="99"/>
    <w:rsid w:val="00FB0E3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FB0E3D"/>
  </w:style>
  <w:style w:type="character" w:customStyle="1" w:styleId="Heading2Char">
    <w:name w:val="Heading 2 Char"/>
    <w:basedOn w:val="DefaultParagraphFont"/>
    <w:rsid w:val="00FB0E3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FB0E3D"/>
    <w:pPr>
      <w:tabs>
        <w:tab w:val="center" w:pos="4153"/>
        <w:tab w:val="right" w:pos="8306"/>
      </w:tabs>
      <w:bidi w:val="0"/>
    </w:pPr>
    <w:rPr>
      <w:sz w:val="20"/>
      <w:szCs w:val="20"/>
      <w:lang w:eastAsia="en-US"/>
    </w:rPr>
  </w:style>
  <w:style w:type="paragraph" w:styleId="BodyText2">
    <w:name w:val="Body Text 2"/>
    <w:basedOn w:val="Normal"/>
    <w:semiHidden/>
    <w:rsid w:val="00FB0E3D"/>
    <w:pPr>
      <w:bidi w:val="0"/>
      <w:jc w:val="both"/>
    </w:pPr>
    <w:rPr>
      <w:lang w:val="en-AU" w:eastAsia="en-US" w:bidi="ar-JO"/>
    </w:rPr>
  </w:style>
  <w:style w:type="paragraph" w:styleId="Subtitle">
    <w:name w:val="Subtitle"/>
    <w:basedOn w:val="Normal"/>
    <w:qFormat/>
    <w:rsid w:val="00FB0E3D"/>
    <w:rPr>
      <w:rFonts w:ascii="Arial" w:hAnsi="Arial" w:cs="Arial"/>
      <w:b/>
      <w:bCs/>
      <w:color w:val="000000"/>
      <w:sz w:val="18"/>
      <w:szCs w:val="18"/>
    </w:rPr>
  </w:style>
  <w:style w:type="paragraph" w:customStyle="1" w:styleId="1">
    <w:name w:val="بلا تباعد1"/>
    <w:qFormat/>
    <w:rsid w:val="00FB0E3D"/>
    <w:rPr>
      <w:rFonts w:ascii="Calibri" w:hAnsi="Calibri" w:cs="Arial"/>
      <w:sz w:val="22"/>
      <w:szCs w:val="22"/>
    </w:rPr>
  </w:style>
  <w:style w:type="character" w:customStyle="1" w:styleId="Char">
    <w:name w:val="بلا تباعد Char"/>
    <w:basedOn w:val="DefaultParagraphFont"/>
    <w:rsid w:val="00FB0E3D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10">
    <w:name w:val="نص في بالون1"/>
    <w:basedOn w:val="Normal"/>
    <w:semiHidden/>
    <w:unhideWhenUsed/>
    <w:rsid w:val="00FB0E3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DefaultParagraphFont"/>
    <w:semiHidden/>
    <w:rsid w:val="00FB0E3D"/>
    <w:rPr>
      <w:rFonts w:ascii="Tahoma" w:hAnsi="Tahoma" w:cs="Tahoma"/>
      <w:sz w:val="16"/>
      <w:szCs w:val="16"/>
      <w:lang w:eastAsia="ar-SA"/>
    </w:rPr>
  </w:style>
  <w:style w:type="character" w:customStyle="1" w:styleId="Char1">
    <w:name w:val="تذييل صفحة Char"/>
    <w:basedOn w:val="DefaultParagraphFont"/>
    <w:rsid w:val="00FB0E3D"/>
    <w:rPr>
      <w:sz w:val="24"/>
      <w:szCs w:val="24"/>
      <w:lang w:eastAsia="ar-SA"/>
    </w:rPr>
  </w:style>
  <w:style w:type="paragraph" w:styleId="FootnoteText">
    <w:name w:val="footnote text"/>
    <w:basedOn w:val="Normal"/>
    <w:semiHidden/>
    <w:unhideWhenUsed/>
    <w:rsid w:val="00FB0E3D"/>
    <w:rPr>
      <w:sz w:val="20"/>
      <w:szCs w:val="20"/>
    </w:rPr>
  </w:style>
  <w:style w:type="character" w:customStyle="1" w:styleId="Char2">
    <w:name w:val="نص حاشية سفلية Char"/>
    <w:basedOn w:val="DefaultParagraphFont"/>
    <w:semiHidden/>
    <w:rsid w:val="00FB0E3D"/>
    <w:rPr>
      <w:lang w:eastAsia="ar-SA"/>
    </w:rPr>
  </w:style>
  <w:style w:type="character" w:styleId="FootnoteReference">
    <w:name w:val="footnote reference"/>
    <w:basedOn w:val="DefaultParagraphFont"/>
    <w:semiHidden/>
    <w:unhideWhenUsed/>
    <w:rsid w:val="00FB0E3D"/>
    <w:rPr>
      <w:vertAlign w:val="superscript"/>
    </w:rPr>
  </w:style>
  <w:style w:type="character" w:customStyle="1" w:styleId="Char3">
    <w:name w:val="نص أساسي Char"/>
    <w:basedOn w:val="DefaultParagraphFont"/>
    <w:rsid w:val="00FB0E3D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87683"/>
    <w:rPr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387683"/>
    <w:rPr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E619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0D3AA3"/>
  </w:style>
  <w:style w:type="paragraph" w:styleId="BalloonText">
    <w:name w:val="Balloon Text"/>
    <w:basedOn w:val="Normal"/>
    <w:link w:val="BalloonTextChar"/>
    <w:uiPriority w:val="99"/>
    <w:semiHidden/>
    <w:unhideWhenUsed/>
    <w:rsid w:val="00223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A1"/>
    <w:rPr>
      <w:rFonts w:ascii="Tahoma" w:hAnsi="Tahoma" w:cs="Tahoma"/>
      <w:sz w:val="16"/>
      <w:szCs w:val="16"/>
      <w:lang w:eastAsia="ar-SA"/>
    </w:rPr>
  </w:style>
  <w:style w:type="character" w:customStyle="1" w:styleId="shorttext">
    <w:name w:val="short_text"/>
    <w:basedOn w:val="DefaultParagraphFont"/>
    <w:rsid w:val="00C43D18"/>
  </w:style>
  <w:style w:type="character" w:customStyle="1" w:styleId="hps">
    <w:name w:val="hps"/>
    <w:basedOn w:val="DefaultParagraphFont"/>
    <w:rsid w:val="00C43D18"/>
  </w:style>
  <w:style w:type="character" w:customStyle="1" w:styleId="2H">
    <w:name w:val="2H"/>
    <w:rsid w:val="0089431D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3E046E"/>
    <w:rPr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60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D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DA8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DA8"/>
    <w:rPr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E66DDD"/>
    <w:pPr>
      <w:ind w:left="720"/>
      <w:contextualSpacing/>
    </w:pPr>
  </w:style>
  <w:style w:type="table" w:styleId="TableGrid">
    <w:name w:val="Table Grid"/>
    <w:basedOn w:val="TableNormal"/>
    <w:uiPriority w:val="59"/>
    <w:rsid w:val="00A6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312DC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19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764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3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382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1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77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152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3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825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75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462962962962975E-2"/>
          <c:y val="4.3650793650793669E-2"/>
          <c:w val="0.94907407407407451"/>
          <c:h val="0.669050011282526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West Bank</c:v>
                </c:pt>
              </c:strCache>
            </c:strRef>
          </c:tx>
          <c:spPr>
            <a:pattFill prst="narVert">
              <a:fgClr>
                <a:schemeClr val="accent5">
                  <a:lumMod val="7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0609445340016682E-17"/>
                  <c:y val="1.80995475113122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15-47C8-B2A5-356A2F1FD1E0}"/>
                </c:ext>
              </c:extLst>
            </c:dLbl>
            <c:dLbl>
              <c:idx val="1"/>
              <c:layout>
                <c:manualLayout>
                  <c:x val="-4.629629629629632E-3"/>
                  <c:y val="3.61990950226244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15-47C8-B2A5-356A2F1FD1E0}"/>
                </c:ext>
              </c:extLst>
            </c:dLbl>
            <c:dLbl>
              <c:idx val="4"/>
              <c:layout>
                <c:manualLayout>
                  <c:x val="-8.4875562720133493E-17"/>
                  <c:y val="1.80995475113121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15-47C8-B2A5-356A2F1FD1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Antenatal Care visits (4 or more visits)</c:v>
                </c:pt>
                <c:pt idx="1">
                  <c:v>Skilled attendant at delivery </c:v>
                </c:pt>
                <c:pt idx="2">
                  <c:v>Delivered in health facility</c:v>
                </c:pt>
                <c:pt idx="3">
                  <c:v>Cesarean Births</c:v>
                </c:pt>
                <c:pt idx="4">
                  <c:v>Post-natal Care for mothers</c:v>
                </c:pt>
                <c:pt idx="5">
                  <c:v>Post-natal Care for newborn</c:v>
                </c:pt>
              </c:strCache>
            </c:strRef>
          </c:cat>
          <c:val>
            <c:numRef>
              <c:f>Sheet1!$B$2:$B$7</c:f>
              <c:numCache>
                <c:formatCode>0.0</c:formatCode>
                <c:ptCount val="6"/>
                <c:pt idx="0">
                  <c:v>94.3</c:v>
                </c:pt>
                <c:pt idx="1">
                  <c:v>99.4</c:v>
                </c:pt>
                <c:pt idx="2">
                  <c:v>99.4</c:v>
                </c:pt>
                <c:pt idx="3">
                  <c:v>28.2</c:v>
                </c:pt>
                <c:pt idx="4">
                  <c:v>87</c:v>
                </c:pt>
                <c:pt idx="5">
                  <c:v>95.4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BD-47E5-AA86-88BB382618E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Gaza Strip</c:v>
                </c:pt>
              </c:strCache>
            </c:strRef>
          </c:tx>
          <c:spPr>
            <a:pattFill prst="narHorz">
              <a:fgClr>
                <a:srgbClr val="B16E8C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2.3148148148148147E-3"/>
                  <c:y val="2.41327300150829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15-47C8-B2A5-356A2F1FD1E0}"/>
                </c:ext>
              </c:extLst>
            </c:dLbl>
            <c:dLbl>
              <c:idx val="5"/>
              <c:layout>
                <c:manualLayout>
                  <c:x val="0"/>
                  <c:y val="1.20663650075414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15-47C8-B2A5-356A2F1FD1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Antenatal Care visits (4 or more visits)</c:v>
                </c:pt>
                <c:pt idx="1">
                  <c:v>Skilled attendant at delivery </c:v>
                </c:pt>
                <c:pt idx="2">
                  <c:v>Delivered in health facility</c:v>
                </c:pt>
                <c:pt idx="3">
                  <c:v>Cesarean Births</c:v>
                </c:pt>
                <c:pt idx="4">
                  <c:v>Post-natal Care for mothers</c:v>
                </c:pt>
                <c:pt idx="5">
                  <c:v>Post-natal Care for newborn</c:v>
                </c:pt>
              </c:strCache>
            </c:strRef>
          </c:cat>
          <c:val>
            <c:numRef>
              <c:f>Sheet1!$C$2:$C$7</c:f>
              <c:numCache>
                <c:formatCode>0.0</c:formatCode>
                <c:ptCount val="6"/>
                <c:pt idx="0">
                  <c:v>95.4</c:v>
                </c:pt>
                <c:pt idx="1">
                  <c:v>100</c:v>
                </c:pt>
                <c:pt idx="2">
                  <c:v>99.4</c:v>
                </c:pt>
                <c:pt idx="3">
                  <c:v>22.4</c:v>
                </c:pt>
                <c:pt idx="4">
                  <c:v>91.6</c:v>
                </c:pt>
                <c:pt idx="5">
                  <c:v>86.8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D-47E5-AA86-88BB382618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691712"/>
        <c:axId val="105904000"/>
      </c:barChart>
      <c:catAx>
        <c:axId val="7669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05904000"/>
        <c:crosses val="autoZero"/>
        <c:auto val="1"/>
        <c:lblAlgn val="ctr"/>
        <c:lblOffset val="100"/>
        <c:noMultiLvlLbl val="0"/>
      </c:catAx>
      <c:valAx>
        <c:axId val="105904000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76691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005304024496951"/>
          <c:y val="0.89234374411332551"/>
          <c:w val="0.2661900335374745"/>
          <c:h val="0.107656255886674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FFED210A27E42B8E6FB658CD36B3E" ma:contentTypeVersion="12" ma:contentTypeDescription="Create a new document." ma:contentTypeScope="" ma:versionID="1e40de11012f3700f2aaef8bb0933053">
  <xsd:schema xmlns:xsd="http://www.w3.org/2001/XMLSchema" xmlns:xs="http://www.w3.org/2001/XMLSchema" xmlns:p="http://schemas.microsoft.com/office/2006/metadata/properties" xmlns:ns3="b2716a38-38ef-49ae-8ec1-33b49500d74a" xmlns:ns4="2f9574fc-c8f0-4cc3-accf-ff028fa1b33a" targetNamespace="http://schemas.microsoft.com/office/2006/metadata/properties" ma:root="true" ma:fieldsID="6ccd150f5c1857902671b16de73b74e3" ns3:_="" ns4:_="">
    <xsd:import namespace="b2716a38-38ef-49ae-8ec1-33b49500d74a"/>
    <xsd:import namespace="2f9574fc-c8f0-4cc3-accf-ff028fa1b3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16a38-38ef-49ae-8ec1-33b49500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74fc-c8f0-4cc3-accf-ff028fa1b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15748-1A5A-4BAE-B680-2359CB5E8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D67F9-2D6D-4076-A7A8-B03A18D44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16a38-38ef-49ae-8ec1-33b49500d74a"/>
    <ds:schemaRef ds:uri="2f9574fc-c8f0-4cc3-accf-ff028fa1b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56F64-CD62-42E1-97B2-C4E6D3386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A88A27-CA11-4AF8-A151-A117B084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Second: Main Results</vt:lpstr>
      <vt:lpstr>Second: Main Results</vt:lpstr>
    </vt:vector>
  </TitlesOfParts>
  <Company>pcbs</Company>
  <LinksUpToDate>false</LinksUpToDate>
  <CharactersWithSpaces>9614</CharactersWithSpaces>
  <SharedDoc>false</SharedDoc>
  <HLinks>
    <vt:vector size="12" baseType="variant">
      <vt:variant>
        <vt:i4>2424865</vt:i4>
      </vt:variant>
      <vt:variant>
        <vt:i4>9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6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Second: Main Results</dc:title>
  <dc:creator>Sufian Abu Harb</dc:creator>
  <cp:lastModifiedBy>LOAY SHEHADEH</cp:lastModifiedBy>
  <cp:revision>8</cp:revision>
  <cp:lastPrinted>2020-12-15T09:37:00Z</cp:lastPrinted>
  <dcterms:created xsi:type="dcterms:W3CDTF">2020-12-15T09:23:00Z</dcterms:created>
  <dcterms:modified xsi:type="dcterms:W3CDTF">2020-12-15T09:59:00Z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0x0101009CCFFED210A27E42B8E6FB658CD36B3E</vt:lpwstr>
  </property>
</Properties>
</file>