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8B" w:rsidRPr="00833944" w:rsidRDefault="00E8768B" w:rsidP="00833944">
      <w:pPr>
        <w:tabs>
          <w:tab w:val="left" w:pos="-1"/>
        </w:tabs>
        <w:bidi w:val="0"/>
        <w:spacing w:line="276" w:lineRule="auto"/>
        <w:jc w:val="center"/>
        <w:rPr>
          <w:rFonts w:cs="Times New Roman"/>
          <w:b/>
          <w:bCs/>
          <w:sz w:val="32"/>
          <w:szCs w:val="32"/>
          <w:rtl/>
        </w:rPr>
      </w:pPr>
      <w:bookmarkStart w:id="0" w:name="_GoBack"/>
      <w:bookmarkEnd w:id="0"/>
      <w:r w:rsidRPr="00833944">
        <w:rPr>
          <w:rFonts w:cs="Times New Roman"/>
          <w:b/>
          <w:bCs/>
          <w:sz w:val="32"/>
          <w:szCs w:val="32"/>
        </w:rPr>
        <w:t>Ministry of National Economy</w:t>
      </w:r>
      <w:r w:rsidR="00FE4A7E" w:rsidRPr="00833944">
        <w:rPr>
          <w:rFonts w:cs="Times New Roman"/>
          <w:b/>
          <w:bCs/>
          <w:sz w:val="32"/>
          <w:szCs w:val="32"/>
        </w:rPr>
        <w:t xml:space="preserve"> (MONE)</w:t>
      </w:r>
      <w:r w:rsidRPr="00833944">
        <w:rPr>
          <w:rFonts w:cs="Times New Roman"/>
          <w:b/>
          <w:bCs/>
          <w:sz w:val="32"/>
          <w:szCs w:val="32"/>
        </w:rPr>
        <w:t xml:space="preserve"> and </w:t>
      </w:r>
      <w:r w:rsidR="00B31488" w:rsidRPr="00833944">
        <w:rPr>
          <w:rFonts w:cs="Times New Roman"/>
          <w:b/>
          <w:bCs/>
          <w:sz w:val="32"/>
          <w:szCs w:val="32"/>
        </w:rPr>
        <w:t>Palestinian Central Bureau of Statistics</w:t>
      </w:r>
      <w:r w:rsidR="00FE4A7E" w:rsidRPr="00833944">
        <w:rPr>
          <w:rFonts w:cs="Times New Roman"/>
          <w:b/>
          <w:bCs/>
          <w:sz w:val="32"/>
          <w:szCs w:val="32"/>
        </w:rPr>
        <w:t xml:space="preserve"> (PCBS)</w:t>
      </w:r>
      <w:r w:rsidR="00B31488" w:rsidRPr="00833944">
        <w:rPr>
          <w:rFonts w:cs="Times New Roman"/>
          <w:b/>
          <w:bCs/>
          <w:sz w:val="32"/>
          <w:szCs w:val="32"/>
        </w:rPr>
        <w:t xml:space="preserve"> issue a joint press release on the impact of Coronavirus</w:t>
      </w:r>
      <w:r w:rsidR="00926F02" w:rsidRPr="00833944">
        <w:rPr>
          <w:rFonts w:cs="Times New Roman"/>
          <w:b/>
          <w:bCs/>
          <w:sz w:val="32"/>
          <w:szCs w:val="32"/>
        </w:rPr>
        <w:t xml:space="preserve"> (COVID-19)</w:t>
      </w:r>
      <w:r w:rsidR="00B31488" w:rsidRPr="00833944">
        <w:rPr>
          <w:rFonts w:cs="Times New Roman"/>
          <w:b/>
          <w:bCs/>
          <w:sz w:val="32"/>
          <w:szCs w:val="32"/>
        </w:rPr>
        <w:t xml:space="preserve"> pandemic on economic/bus</w:t>
      </w:r>
      <w:r w:rsidR="003E7544" w:rsidRPr="00833944">
        <w:rPr>
          <w:rFonts w:cs="Times New Roman"/>
          <w:b/>
          <w:bCs/>
          <w:sz w:val="32"/>
          <w:szCs w:val="32"/>
        </w:rPr>
        <w:t>iness</w:t>
      </w:r>
      <w:r w:rsidR="00B31488" w:rsidRPr="00833944">
        <w:rPr>
          <w:rFonts w:cs="Times New Roman"/>
          <w:b/>
          <w:bCs/>
          <w:sz w:val="32"/>
          <w:szCs w:val="32"/>
        </w:rPr>
        <w:t xml:space="preserve"> establishments during (5/3/2020 – 31/5/2020)</w:t>
      </w:r>
    </w:p>
    <w:p w:rsidR="00E8768B" w:rsidRPr="00833944" w:rsidRDefault="00E8768B" w:rsidP="00FE5683">
      <w:pPr>
        <w:tabs>
          <w:tab w:val="left" w:pos="-1"/>
        </w:tabs>
        <w:bidi w:val="0"/>
        <w:spacing w:line="276" w:lineRule="auto"/>
        <w:jc w:val="both"/>
        <w:rPr>
          <w:rFonts w:cs="Times New Roman"/>
          <w:b/>
          <w:bCs/>
          <w:sz w:val="26"/>
          <w:szCs w:val="26"/>
        </w:rPr>
      </w:pPr>
    </w:p>
    <w:p w:rsidR="003E7544" w:rsidRPr="00833944" w:rsidRDefault="003E7544" w:rsidP="00926F02">
      <w:pPr>
        <w:bidi w:val="0"/>
        <w:spacing w:line="276" w:lineRule="auto"/>
        <w:jc w:val="both"/>
        <w:rPr>
          <w:rFonts w:cs="Times New Roman"/>
          <w:sz w:val="26"/>
          <w:szCs w:val="26"/>
        </w:rPr>
      </w:pPr>
      <w:r w:rsidRPr="00833944">
        <w:rPr>
          <w:rFonts w:cs="Times New Roman"/>
          <w:sz w:val="26"/>
          <w:szCs w:val="26"/>
        </w:rPr>
        <w:t>Ministry of National Economy</w:t>
      </w:r>
      <w:r w:rsidR="00FE4A7E" w:rsidRPr="00833944">
        <w:rPr>
          <w:rFonts w:cs="Times New Roman"/>
          <w:sz w:val="26"/>
          <w:szCs w:val="26"/>
        </w:rPr>
        <w:t xml:space="preserve"> (MONE)</w:t>
      </w:r>
      <w:r w:rsidRPr="00833944">
        <w:rPr>
          <w:rFonts w:cs="Times New Roman"/>
          <w:sz w:val="26"/>
          <w:szCs w:val="26"/>
        </w:rPr>
        <w:t xml:space="preserve"> and Palestinian Central Bureau of Statistics</w:t>
      </w:r>
      <w:r w:rsidR="00FE4A7E" w:rsidRPr="00833944">
        <w:rPr>
          <w:rFonts w:cs="Times New Roman"/>
          <w:sz w:val="26"/>
          <w:szCs w:val="26"/>
        </w:rPr>
        <w:t xml:space="preserve"> (PCBS)</w:t>
      </w:r>
      <w:r w:rsidRPr="00833944">
        <w:rPr>
          <w:rFonts w:cs="Times New Roman"/>
          <w:sz w:val="26"/>
          <w:szCs w:val="26"/>
        </w:rPr>
        <w:t>, with a financial support by the World Bank, conducted a survey on the impact of COVID</w:t>
      </w:r>
      <w:r w:rsidR="00926F02" w:rsidRPr="00833944">
        <w:rPr>
          <w:rFonts w:cs="Times New Roman"/>
          <w:sz w:val="26"/>
          <w:szCs w:val="26"/>
        </w:rPr>
        <w:t>-</w:t>
      </w:r>
      <w:r w:rsidRPr="00833944">
        <w:rPr>
          <w:rFonts w:cs="Times New Roman"/>
          <w:sz w:val="26"/>
          <w:szCs w:val="26"/>
        </w:rPr>
        <w:t xml:space="preserve">19 on business establishments. The preliminary results of the sample (2600 establishments) indicated that the Coronavirus pandemic made business establishments suffer from demand and supply shocks and financial shocks which, in return, made establishments </w:t>
      </w:r>
      <w:r w:rsidR="00FE4A7E" w:rsidRPr="00833944">
        <w:rPr>
          <w:rFonts w:cs="Times New Roman"/>
          <w:sz w:val="26"/>
          <w:szCs w:val="26"/>
        </w:rPr>
        <w:t xml:space="preserve">turn to take financial and administrative measures as well as digital solutions to face the impacts of the pandemic. </w:t>
      </w:r>
      <w:r w:rsidRPr="00833944">
        <w:rPr>
          <w:rFonts w:cs="Times New Roman"/>
          <w:sz w:val="26"/>
          <w:szCs w:val="26"/>
        </w:rPr>
        <w:t xml:space="preserve">   </w:t>
      </w:r>
    </w:p>
    <w:p w:rsidR="00FE4A7E" w:rsidRPr="00833944" w:rsidRDefault="00FE4A7E" w:rsidP="00FE5683">
      <w:pPr>
        <w:bidi w:val="0"/>
        <w:spacing w:line="276" w:lineRule="auto"/>
        <w:jc w:val="both"/>
        <w:rPr>
          <w:rFonts w:cs="Times New Roman"/>
          <w:sz w:val="26"/>
          <w:szCs w:val="26"/>
        </w:rPr>
      </w:pPr>
    </w:p>
    <w:p w:rsidR="00FE4A7E" w:rsidRPr="00833944" w:rsidRDefault="00FE4A7E" w:rsidP="009C437E">
      <w:pPr>
        <w:bidi w:val="0"/>
        <w:spacing w:line="276" w:lineRule="auto"/>
        <w:jc w:val="both"/>
        <w:rPr>
          <w:rFonts w:cs="Times New Roman"/>
          <w:sz w:val="26"/>
          <w:szCs w:val="26"/>
        </w:rPr>
      </w:pPr>
      <w:r w:rsidRPr="00833944">
        <w:rPr>
          <w:rFonts w:cs="Times New Roman"/>
          <w:sz w:val="26"/>
          <w:szCs w:val="26"/>
        </w:rPr>
        <w:t xml:space="preserve">The results of the survey </w:t>
      </w:r>
      <w:r w:rsidR="004A1E02" w:rsidRPr="00833944">
        <w:rPr>
          <w:rFonts w:cs="Times New Roman"/>
          <w:sz w:val="26"/>
          <w:szCs w:val="26"/>
        </w:rPr>
        <w:t>are</w:t>
      </w:r>
      <w:r w:rsidRPr="00833944">
        <w:rPr>
          <w:rFonts w:cs="Times New Roman"/>
          <w:sz w:val="26"/>
          <w:szCs w:val="26"/>
        </w:rPr>
        <w:t xml:space="preserve"> one of the MONE </w:t>
      </w:r>
      <w:r w:rsidR="009C437E" w:rsidRPr="00833944">
        <w:rPr>
          <w:rFonts w:cs="Times New Roman"/>
          <w:sz w:val="26"/>
          <w:szCs w:val="26"/>
        </w:rPr>
        <w:t>initiatives</w:t>
      </w:r>
      <w:r w:rsidRPr="00833944">
        <w:rPr>
          <w:rFonts w:cs="Times New Roman"/>
          <w:sz w:val="26"/>
          <w:szCs w:val="26"/>
        </w:rPr>
        <w:t xml:space="preserve"> to empower the private sector in Palestine, through adopting different policies in this sector. Thus, the ministry took the initiative to evaluate the impact of COVID</w:t>
      </w:r>
      <w:r w:rsidR="00926F02" w:rsidRPr="00833944">
        <w:rPr>
          <w:rFonts w:cs="Times New Roman"/>
          <w:sz w:val="26"/>
          <w:szCs w:val="26"/>
        </w:rPr>
        <w:t>-</w:t>
      </w:r>
      <w:r w:rsidRPr="00833944">
        <w:rPr>
          <w:rFonts w:cs="Times New Roman"/>
          <w:sz w:val="26"/>
          <w:szCs w:val="26"/>
        </w:rPr>
        <w:t xml:space="preserve">19 pandemic on the private sector through a project for supporting the innovations of the private sector. This project is funded by the World Bank for the benefit of MONE, and is being conducted by Development Alternatives Incorporated (DAI) in cooperation with PCBS. </w:t>
      </w:r>
    </w:p>
    <w:p w:rsidR="00FE4A7E" w:rsidRPr="00833944" w:rsidRDefault="00FE4A7E" w:rsidP="006D3AE3">
      <w:pPr>
        <w:bidi w:val="0"/>
        <w:spacing w:after="160" w:line="276" w:lineRule="auto"/>
        <w:ind w:right="-180"/>
        <w:jc w:val="both"/>
        <w:rPr>
          <w:rFonts w:eastAsia="Calibri" w:cs="Times New Roman"/>
          <w:sz w:val="26"/>
          <w:szCs w:val="26"/>
          <w:lang w:bidi="ar-EG"/>
        </w:rPr>
      </w:pPr>
      <w:r w:rsidRPr="00833944">
        <w:rPr>
          <w:rFonts w:eastAsia="Calibri" w:cs="Times New Roman"/>
          <w:sz w:val="26"/>
          <w:szCs w:val="26"/>
          <w:lang w:bidi="ar-EG"/>
        </w:rPr>
        <w:t xml:space="preserve">The importance of this survey lies in identifying </w:t>
      </w:r>
      <w:r w:rsidR="00DB3B64" w:rsidRPr="00833944">
        <w:rPr>
          <w:rFonts w:eastAsia="Calibri" w:cs="Times New Roman"/>
          <w:sz w:val="26"/>
          <w:szCs w:val="26"/>
          <w:lang w:bidi="ar-EG"/>
        </w:rPr>
        <w:t xml:space="preserve">the needs of business establishments </w:t>
      </w:r>
      <w:r w:rsidR="006D3AE3" w:rsidRPr="00833944">
        <w:rPr>
          <w:rFonts w:eastAsia="Calibri" w:cs="Times New Roman"/>
          <w:sz w:val="26"/>
          <w:szCs w:val="26"/>
          <w:lang w:bidi="ar-EG"/>
        </w:rPr>
        <w:t xml:space="preserve">that </w:t>
      </w:r>
      <w:r w:rsidR="00DB3B64" w:rsidRPr="00833944">
        <w:rPr>
          <w:rFonts w:eastAsia="Calibri" w:cs="Times New Roman"/>
          <w:sz w:val="26"/>
          <w:szCs w:val="26"/>
          <w:lang w:bidi="ar-EG"/>
        </w:rPr>
        <w:t>emerged due to the outbreak of COVID</w:t>
      </w:r>
      <w:r w:rsidR="00926F02" w:rsidRPr="00833944">
        <w:rPr>
          <w:rFonts w:eastAsia="Calibri" w:cs="Times New Roman"/>
          <w:sz w:val="26"/>
          <w:szCs w:val="26"/>
          <w:lang w:bidi="ar-EG"/>
        </w:rPr>
        <w:t>-</w:t>
      </w:r>
      <w:r w:rsidR="00DB3B64" w:rsidRPr="00833944">
        <w:rPr>
          <w:rFonts w:eastAsia="Calibri" w:cs="Times New Roman"/>
          <w:sz w:val="26"/>
          <w:szCs w:val="26"/>
          <w:lang w:bidi="ar-EG"/>
        </w:rPr>
        <w:t>19 pandemic</w:t>
      </w:r>
      <w:r w:rsidR="006D3AE3" w:rsidRPr="00833944">
        <w:rPr>
          <w:rFonts w:eastAsia="Calibri" w:cs="Times New Roman"/>
          <w:sz w:val="26"/>
          <w:szCs w:val="26"/>
          <w:lang w:bidi="ar-EG"/>
        </w:rPr>
        <w:t>. The survey also aims</w:t>
      </w:r>
      <w:r w:rsidR="002D4B16" w:rsidRPr="00833944">
        <w:rPr>
          <w:rFonts w:eastAsia="Calibri" w:cs="Times New Roman"/>
          <w:sz w:val="26"/>
          <w:szCs w:val="26"/>
          <w:lang w:bidi="ar-EG"/>
        </w:rPr>
        <w:t xml:space="preserve"> </w:t>
      </w:r>
      <w:r w:rsidR="00DB3B64" w:rsidRPr="00833944">
        <w:rPr>
          <w:rFonts w:eastAsia="Calibri" w:cs="Times New Roman"/>
          <w:sz w:val="26"/>
          <w:szCs w:val="26"/>
          <w:lang w:bidi="ar-EG"/>
        </w:rPr>
        <w:t>to help MONE, in cooperation with partners, to design programs that are responsive to the need</w:t>
      </w:r>
      <w:r w:rsidR="006D3AE3" w:rsidRPr="00833944">
        <w:rPr>
          <w:rFonts w:eastAsia="Calibri" w:cs="Times New Roman"/>
          <w:sz w:val="26"/>
          <w:szCs w:val="26"/>
          <w:lang w:bidi="ar-EG"/>
        </w:rPr>
        <w:t>s</w:t>
      </w:r>
      <w:r w:rsidR="00DB3B64" w:rsidRPr="00833944">
        <w:rPr>
          <w:rFonts w:eastAsia="Calibri" w:cs="Times New Roman"/>
          <w:sz w:val="26"/>
          <w:szCs w:val="26"/>
          <w:lang w:bidi="ar-EG"/>
        </w:rPr>
        <w:t xml:space="preserve"> of the </w:t>
      </w:r>
      <w:r w:rsidR="006D3AE3" w:rsidRPr="00833944">
        <w:rPr>
          <w:rFonts w:eastAsia="Calibri" w:cs="Times New Roman"/>
          <w:sz w:val="26"/>
          <w:szCs w:val="26"/>
          <w:lang w:bidi="ar-EG"/>
        </w:rPr>
        <w:t>effected business establishments</w:t>
      </w:r>
      <w:r w:rsidR="00DB3B64" w:rsidRPr="00833944">
        <w:rPr>
          <w:rFonts w:eastAsia="Calibri" w:cs="Times New Roman"/>
          <w:sz w:val="26"/>
          <w:szCs w:val="26"/>
          <w:lang w:bidi="ar-EG"/>
        </w:rPr>
        <w:t xml:space="preserve"> to ensure their recovery and return to market or to continue their businesses, according to results and outcomes of the surveys.</w:t>
      </w:r>
    </w:p>
    <w:p w:rsidR="004A1E02" w:rsidRPr="00833944" w:rsidRDefault="004A1E02" w:rsidP="009C437E">
      <w:pPr>
        <w:bidi w:val="0"/>
        <w:spacing w:after="160" w:line="276" w:lineRule="auto"/>
        <w:ind w:right="-180"/>
        <w:jc w:val="both"/>
        <w:rPr>
          <w:rFonts w:eastAsia="Calibri" w:cs="Times New Roman"/>
          <w:sz w:val="26"/>
          <w:szCs w:val="26"/>
          <w:lang w:bidi="ar-EG"/>
        </w:rPr>
      </w:pPr>
      <w:r w:rsidRPr="00833944">
        <w:rPr>
          <w:rFonts w:eastAsia="Calibri" w:cs="Times New Roman"/>
          <w:sz w:val="26"/>
          <w:szCs w:val="26"/>
          <w:lang w:bidi="ar-EG"/>
        </w:rPr>
        <w:t xml:space="preserve">Ministry of </w:t>
      </w:r>
      <w:r w:rsidR="006B30B0" w:rsidRPr="00833944">
        <w:rPr>
          <w:rFonts w:eastAsia="Calibri" w:cs="Times New Roman"/>
          <w:sz w:val="26"/>
          <w:szCs w:val="26"/>
          <w:lang w:bidi="ar-EG"/>
        </w:rPr>
        <w:t>National Economy (MONE) also</w:t>
      </w:r>
      <w:r w:rsidRPr="00833944">
        <w:rPr>
          <w:rFonts w:eastAsia="Calibri" w:cs="Times New Roman"/>
          <w:sz w:val="26"/>
          <w:szCs w:val="26"/>
          <w:lang w:bidi="ar-EG"/>
        </w:rPr>
        <w:t xml:space="preserve"> presented the previous and the mutual efforts made with cooperation with Ministry of Finance for supporting more than 70 establishments negatively affected by the pandemic, within the </w:t>
      </w:r>
      <w:r w:rsidR="00D13AA1" w:rsidRPr="00833944">
        <w:rPr>
          <w:rFonts w:eastAsia="Calibri" w:cs="Times New Roman"/>
          <w:sz w:val="26"/>
          <w:szCs w:val="26"/>
          <w:lang w:bidi="ar-EG"/>
        </w:rPr>
        <w:t>COVID-19 Rapid</w:t>
      </w:r>
      <w:r w:rsidRPr="00833944">
        <w:rPr>
          <w:rFonts w:eastAsia="Calibri" w:cs="Times New Roman"/>
          <w:sz w:val="26"/>
          <w:szCs w:val="26"/>
          <w:lang w:bidi="ar-EG"/>
        </w:rPr>
        <w:t xml:space="preserve"> </w:t>
      </w:r>
      <w:r w:rsidR="00D13AA1" w:rsidRPr="00833944">
        <w:rPr>
          <w:rFonts w:eastAsia="Calibri" w:cs="Times New Roman"/>
          <w:sz w:val="26"/>
          <w:szCs w:val="26"/>
          <w:lang w:bidi="ar-EG"/>
        </w:rPr>
        <w:t>R</w:t>
      </w:r>
      <w:r w:rsidRPr="00833944">
        <w:rPr>
          <w:rFonts w:eastAsia="Calibri" w:cs="Times New Roman"/>
          <w:sz w:val="26"/>
          <w:szCs w:val="26"/>
          <w:lang w:bidi="ar-EG"/>
        </w:rPr>
        <w:t xml:space="preserve">esponse </w:t>
      </w:r>
      <w:r w:rsidR="00D13AA1" w:rsidRPr="00833944">
        <w:rPr>
          <w:rFonts w:eastAsia="Calibri" w:cs="Times New Roman"/>
          <w:sz w:val="26"/>
          <w:szCs w:val="26"/>
          <w:lang w:bidi="ar-EG"/>
        </w:rPr>
        <w:t>P</w:t>
      </w:r>
      <w:r w:rsidRPr="00833944">
        <w:rPr>
          <w:rFonts w:eastAsia="Calibri" w:cs="Times New Roman"/>
          <w:sz w:val="26"/>
          <w:szCs w:val="26"/>
          <w:lang w:bidi="ar-EG"/>
        </w:rPr>
        <w:t>rogram</w:t>
      </w:r>
      <w:r w:rsidR="00D13AA1" w:rsidRPr="00833944">
        <w:rPr>
          <w:rFonts w:eastAsia="Calibri" w:cs="Times New Roman"/>
          <w:sz w:val="26"/>
          <w:szCs w:val="26"/>
          <w:lang w:bidi="ar-EG"/>
        </w:rPr>
        <w:t>me</w:t>
      </w:r>
      <w:r w:rsidRPr="00833944">
        <w:rPr>
          <w:rFonts w:eastAsia="Calibri" w:cs="Times New Roman"/>
          <w:sz w:val="26"/>
          <w:szCs w:val="26"/>
          <w:lang w:bidi="ar-EG"/>
        </w:rPr>
        <w:t xml:space="preserve"> funded by the World Bank and implemented by Development Alternatives Incorporated (DAI) at a value of USD 800 thousand.  </w:t>
      </w:r>
    </w:p>
    <w:p w:rsidR="00833944" w:rsidRPr="00833944" w:rsidRDefault="00DB3B64" w:rsidP="00FE5683">
      <w:pPr>
        <w:bidi w:val="0"/>
        <w:spacing w:line="276" w:lineRule="auto"/>
        <w:jc w:val="both"/>
        <w:rPr>
          <w:rFonts w:cs="Times New Roman"/>
          <w:b/>
          <w:bCs/>
          <w:sz w:val="26"/>
          <w:szCs w:val="26"/>
        </w:rPr>
      </w:pPr>
      <w:r w:rsidRPr="00833944">
        <w:rPr>
          <w:rFonts w:cs="Times New Roman"/>
          <w:b/>
          <w:bCs/>
          <w:sz w:val="26"/>
          <w:szCs w:val="26"/>
        </w:rPr>
        <w:t>More than two thirds of the establishments were closed for about one month and a half during</w:t>
      </w:r>
      <w:r w:rsidR="00E81EBF" w:rsidRPr="00833944">
        <w:rPr>
          <w:rFonts w:cs="Times New Roman"/>
          <w:b/>
          <w:bCs/>
          <w:sz w:val="26"/>
          <w:szCs w:val="26"/>
        </w:rPr>
        <w:t xml:space="preserve"> lockdown period</w:t>
      </w:r>
      <w:r w:rsidRPr="00833944">
        <w:rPr>
          <w:rFonts w:cs="Times New Roman"/>
          <w:b/>
          <w:bCs/>
          <w:sz w:val="26"/>
          <w:szCs w:val="26"/>
        </w:rPr>
        <w:t xml:space="preserve"> (5/3/2020 – 31/5/2020), where closure centered in the sector of services in Bethlehem Governorate; thus, 63% of establishments suffered from stoppage in supplies related to production inputs such as raw materials and production requirements. In addition, there was a decline of about the half in the production level or the size of sales, where 14% of Palestinian establishments had to let part of their employees go, in order to face this crisis. </w:t>
      </w:r>
    </w:p>
    <w:p w:rsidR="00DB3B64" w:rsidRPr="00833944" w:rsidRDefault="00DB3B64" w:rsidP="00833944">
      <w:pPr>
        <w:bidi w:val="0"/>
        <w:spacing w:line="276" w:lineRule="auto"/>
        <w:jc w:val="both"/>
        <w:rPr>
          <w:rFonts w:cs="Times New Roman"/>
          <w:b/>
          <w:bCs/>
          <w:sz w:val="26"/>
          <w:szCs w:val="26"/>
        </w:rPr>
      </w:pPr>
      <w:r w:rsidRPr="00833944">
        <w:rPr>
          <w:rFonts w:cs="Times New Roman"/>
          <w:b/>
          <w:bCs/>
          <w:sz w:val="26"/>
          <w:szCs w:val="26"/>
        </w:rPr>
        <w:t xml:space="preserve"> </w:t>
      </w:r>
    </w:p>
    <w:p w:rsidR="00DB3B64" w:rsidRPr="00833944" w:rsidRDefault="00DB3B64" w:rsidP="00FE5683">
      <w:pPr>
        <w:pStyle w:val="BlockText"/>
        <w:tabs>
          <w:tab w:val="right" w:pos="-142"/>
          <w:tab w:val="right" w:pos="426"/>
        </w:tabs>
        <w:autoSpaceDE/>
        <w:autoSpaceDN/>
        <w:spacing w:line="276" w:lineRule="auto"/>
        <w:ind w:left="0"/>
        <w:rPr>
          <w:rFonts w:cs="Times New Roman"/>
          <w:b/>
          <w:bCs/>
          <w:sz w:val="26"/>
          <w:szCs w:val="26"/>
        </w:rPr>
      </w:pPr>
    </w:p>
    <w:p w:rsidR="00E81EBF" w:rsidRPr="00833944" w:rsidRDefault="00DB3B64" w:rsidP="00FE5683">
      <w:pPr>
        <w:pStyle w:val="BlockText"/>
        <w:tabs>
          <w:tab w:val="right" w:pos="-142"/>
          <w:tab w:val="right" w:pos="426"/>
        </w:tabs>
        <w:autoSpaceDE/>
        <w:autoSpaceDN/>
        <w:spacing w:line="276" w:lineRule="auto"/>
        <w:ind w:left="0" w:right="0"/>
        <w:rPr>
          <w:rFonts w:cs="Times New Roman"/>
          <w:b/>
          <w:bCs/>
          <w:sz w:val="26"/>
          <w:szCs w:val="26"/>
        </w:rPr>
      </w:pPr>
      <w:r w:rsidRPr="00833944">
        <w:rPr>
          <w:rFonts w:cs="Times New Roman"/>
          <w:b/>
          <w:bCs/>
          <w:sz w:val="26"/>
          <w:szCs w:val="26"/>
        </w:rPr>
        <w:lastRenderedPageBreak/>
        <w:t>71% of the establishments</w:t>
      </w:r>
      <w:r w:rsidR="00E81EBF" w:rsidRPr="00833944">
        <w:rPr>
          <w:rFonts w:cs="Times New Roman"/>
          <w:b/>
          <w:bCs/>
          <w:sz w:val="26"/>
          <w:szCs w:val="26"/>
        </w:rPr>
        <w:t xml:space="preserve"> were closed for various periods</w:t>
      </w:r>
    </w:p>
    <w:p w:rsidR="00DB3B64" w:rsidRPr="00833944" w:rsidRDefault="00E81EBF" w:rsidP="006D3AE3">
      <w:pPr>
        <w:pStyle w:val="BlockText"/>
        <w:tabs>
          <w:tab w:val="right" w:pos="-142"/>
          <w:tab w:val="right" w:pos="426"/>
        </w:tabs>
        <w:autoSpaceDE/>
        <w:autoSpaceDN/>
        <w:spacing w:line="276" w:lineRule="auto"/>
        <w:ind w:left="0" w:right="0"/>
        <w:rPr>
          <w:rFonts w:cs="Times New Roman"/>
          <w:sz w:val="26"/>
          <w:szCs w:val="26"/>
        </w:rPr>
      </w:pPr>
      <w:r w:rsidRPr="00833944">
        <w:rPr>
          <w:rFonts w:cs="Times New Roman"/>
          <w:sz w:val="26"/>
          <w:szCs w:val="26"/>
        </w:rPr>
        <w:t>Final results indicated that 71% of establishments (92% in the West Bank and 27% in Gaza Strip) were closed for many days due to the restriction measures taken by the government enforcing the necessity of closure as a preventative measure for figh</w:t>
      </w:r>
      <w:r w:rsidR="006D3AE3" w:rsidRPr="00833944">
        <w:rPr>
          <w:rFonts w:cs="Times New Roman"/>
          <w:sz w:val="26"/>
          <w:szCs w:val="26"/>
        </w:rPr>
        <w:t>ting the Coronavirus outbreak.</w:t>
      </w:r>
    </w:p>
    <w:p w:rsidR="00DB3B64" w:rsidRPr="00833944" w:rsidRDefault="00DB3B64" w:rsidP="00FE5683">
      <w:pPr>
        <w:pStyle w:val="BlockText"/>
        <w:tabs>
          <w:tab w:val="right" w:pos="-142"/>
          <w:tab w:val="right" w:pos="426"/>
        </w:tabs>
        <w:autoSpaceDE/>
        <w:autoSpaceDN/>
        <w:spacing w:line="276" w:lineRule="auto"/>
        <w:ind w:left="0" w:right="0"/>
        <w:rPr>
          <w:rFonts w:cs="Times New Roman"/>
          <w:sz w:val="26"/>
          <w:szCs w:val="26"/>
        </w:rPr>
      </w:pPr>
      <w:r w:rsidRPr="00833944">
        <w:rPr>
          <w:rFonts w:cs="Times New Roman"/>
          <w:sz w:val="26"/>
          <w:szCs w:val="26"/>
        </w:rPr>
        <w:t xml:space="preserve">The percentage of the closure days during </w:t>
      </w:r>
      <w:r w:rsidR="00E81EBF" w:rsidRPr="00833944">
        <w:rPr>
          <w:rFonts w:cs="Times New Roman"/>
          <w:sz w:val="26"/>
          <w:szCs w:val="26"/>
        </w:rPr>
        <w:t>the</w:t>
      </w:r>
      <w:r w:rsidRPr="00833944">
        <w:rPr>
          <w:rFonts w:cs="Times New Roman"/>
          <w:sz w:val="26"/>
          <w:szCs w:val="26"/>
        </w:rPr>
        <w:t xml:space="preserve"> lockdown</w:t>
      </w:r>
      <w:r w:rsidR="00E81EBF" w:rsidRPr="00833944">
        <w:rPr>
          <w:rFonts w:cs="Times New Roman"/>
          <w:sz w:val="26"/>
          <w:szCs w:val="26"/>
        </w:rPr>
        <w:t xml:space="preserve"> period (5/3/2020 – 31/5/2020) was </w:t>
      </w:r>
      <w:r w:rsidRPr="00833944">
        <w:rPr>
          <w:rFonts w:cs="Times New Roman"/>
          <w:sz w:val="26"/>
          <w:szCs w:val="26"/>
        </w:rPr>
        <w:t>(51%)</w:t>
      </w:r>
      <w:r w:rsidR="00E81EBF" w:rsidRPr="00833944">
        <w:rPr>
          <w:rFonts w:cs="Times New Roman"/>
          <w:sz w:val="26"/>
          <w:szCs w:val="26"/>
        </w:rPr>
        <w:t xml:space="preserve"> concentrated in services activity, where the percentage of closure days for this activity reached </w:t>
      </w:r>
      <w:r w:rsidRPr="00833944">
        <w:rPr>
          <w:rFonts w:cs="Times New Roman"/>
          <w:sz w:val="26"/>
          <w:szCs w:val="26"/>
        </w:rPr>
        <w:t>(68</w:t>
      </w:r>
      <w:r w:rsidR="00E81EBF" w:rsidRPr="00833944">
        <w:rPr>
          <w:rFonts w:cs="Times New Roman"/>
          <w:sz w:val="26"/>
          <w:szCs w:val="26"/>
        </w:rPr>
        <w:t xml:space="preserve">%) and it reached </w:t>
      </w:r>
      <w:r w:rsidRPr="00833944">
        <w:rPr>
          <w:rFonts w:cs="Times New Roman"/>
          <w:sz w:val="26"/>
          <w:szCs w:val="26"/>
        </w:rPr>
        <w:t xml:space="preserve">(54%) </w:t>
      </w:r>
      <w:r w:rsidR="00E81EBF" w:rsidRPr="00833944">
        <w:rPr>
          <w:rFonts w:cs="Times New Roman"/>
          <w:sz w:val="26"/>
          <w:szCs w:val="26"/>
        </w:rPr>
        <w:t xml:space="preserve">for the industry activity. While the percentage of closure days for the activities of transport and trade reached (56%) and </w:t>
      </w:r>
      <w:r w:rsidRPr="00833944">
        <w:rPr>
          <w:rFonts w:cs="Times New Roman"/>
          <w:sz w:val="26"/>
          <w:szCs w:val="26"/>
        </w:rPr>
        <w:t>(42%)</w:t>
      </w:r>
      <w:r w:rsidR="00E81EBF" w:rsidRPr="00833944">
        <w:rPr>
          <w:rFonts w:cs="Times New Roman"/>
          <w:sz w:val="26"/>
          <w:szCs w:val="26"/>
        </w:rPr>
        <w:t xml:space="preserve">, respectively. Also, the biggest percentage </w:t>
      </w:r>
      <w:r w:rsidR="000D109E" w:rsidRPr="00833944">
        <w:rPr>
          <w:rFonts w:cs="Times New Roman"/>
          <w:sz w:val="26"/>
          <w:szCs w:val="26"/>
        </w:rPr>
        <w:t>of closure was centered in Bethlehem Governorate for a period of more than two months.</w:t>
      </w:r>
      <w:r w:rsidR="00E81EBF" w:rsidRPr="00833944">
        <w:rPr>
          <w:rFonts w:cs="Times New Roman"/>
          <w:sz w:val="26"/>
          <w:szCs w:val="26"/>
        </w:rPr>
        <w:t xml:space="preserve"> </w:t>
      </w:r>
    </w:p>
    <w:p w:rsidR="00707089" w:rsidRPr="00833944" w:rsidRDefault="00707089" w:rsidP="00FE5683">
      <w:pPr>
        <w:pStyle w:val="BlockText"/>
        <w:tabs>
          <w:tab w:val="right" w:pos="-142"/>
          <w:tab w:val="right" w:pos="426"/>
        </w:tabs>
        <w:autoSpaceDE/>
        <w:autoSpaceDN/>
        <w:spacing w:line="276" w:lineRule="auto"/>
        <w:ind w:left="0" w:right="0"/>
        <w:rPr>
          <w:rFonts w:cs="Times New Roman"/>
          <w:sz w:val="26"/>
          <w:szCs w:val="26"/>
        </w:rPr>
      </w:pPr>
    </w:p>
    <w:p w:rsidR="00707089" w:rsidRPr="00833944" w:rsidRDefault="00707089" w:rsidP="009C437E">
      <w:pPr>
        <w:pStyle w:val="BlockText"/>
        <w:tabs>
          <w:tab w:val="right" w:pos="-142"/>
          <w:tab w:val="right" w:pos="426"/>
        </w:tabs>
        <w:autoSpaceDE/>
        <w:autoSpaceDN/>
        <w:spacing w:line="276" w:lineRule="auto"/>
        <w:ind w:left="0" w:right="-1"/>
        <w:rPr>
          <w:rFonts w:cs="Times New Roman"/>
          <w:b/>
          <w:bCs/>
          <w:sz w:val="26"/>
          <w:szCs w:val="26"/>
          <w:lang w:eastAsia="en-US"/>
        </w:rPr>
      </w:pPr>
      <w:r w:rsidRPr="00833944">
        <w:rPr>
          <w:rFonts w:cs="Times New Roman"/>
          <w:b/>
          <w:bCs/>
          <w:sz w:val="26"/>
          <w:szCs w:val="26"/>
          <w:lang w:eastAsia="en-US"/>
        </w:rPr>
        <w:t>Demand Shocks: (An average sales/production decline by 50% compared with normal situation)</w:t>
      </w:r>
    </w:p>
    <w:p w:rsidR="00707089" w:rsidRPr="00833944" w:rsidRDefault="00707089" w:rsidP="00FE5683">
      <w:pPr>
        <w:pStyle w:val="BlockText"/>
        <w:tabs>
          <w:tab w:val="right" w:pos="-142"/>
          <w:tab w:val="right" w:pos="426"/>
        </w:tabs>
        <w:autoSpaceDE/>
        <w:autoSpaceDN/>
        <w:spacing w:line="276" w:lineRule="auto"/>
        <w:ind w:left="0"/>
        <w:rPr>
          <w:rFonts w:cs="Times New Roman"/>
          <w:b/>
          <w:bCs/>
          <w:sz w:val="26"/>
          <w:szCs w:val="26"/>
        </w:rPr>
      </w:pPr>
    </w:p>
    <w:p w:rsidR="00707089" w:rsidRPr="00833944" w:rsidRDefault="00707089" w:rsidP="00FE5683">
      <w:pPr>
        <w:pStyle w:val="BlockText"/>
        <w:tabs>
          <w:tab w:val="right" w:pos="-142"/>
          <w:tab w:val="right" w:pos="426"/>
        </w:tabs>
        <w:autoSpaceDE/>
        <w:autoSpaceDN/>
        <w:spacing w:line="276" w:lineRule="auto"/>
        <w:ind w:left="0" w:right="0"/>
        <w:rPr>
          <w:rFonts w:cs="Times New Roman"/>
          <w:sz w:val="26"/>
          <w:szCs w:val="26"/>
        </w:rPr>
      </w:pPr>
      <w:r w:rsidRPr="00833944">
        <w:rPr>
          <w:rFonts w:cs="Times New Roman"/>
          <w:sz w:val="26"/>
          <w:szCs w:val="26"/>
        </w:rPr>
        <w:t>Most of the establishments reported that sales/production size has decreased during the three months of the lockdown by (93%), with a decline in the average sales/production by 50% compared with normal situation, where establishments operating in construction sector recorded the highest decline of the average sales/production by (56%), followed by establishments operating in the services sector with a decline of (56%).</w:t>
      </w:r>
    </w:p>
    <w:p w:rsidR="00707089" w:rsidRPr="00833944" w:rsidRDefault="00707089" w:rsidP="00FE5683">
      <w:pPr>
        <w:pStyle w:val="BlockText"/>
        <w:tabs>
          <w:tab w:val="right" w:pos="-142"/>
          <w:tab w:val="right" w:pos="426"/>
        </w:tabs>
        <w:autoSpaceDE/>
        <w:autoSpaceDN/>
        <w:spacing w:line="276" w:lineRule="auto"/>
        <w:ind w:left="0" w:right="0"/>
        <w:rPr>
          <w:rFonts w:cs="Times New Roman"/>
          <w:sz w:val="26"/>
          <w:szCs w:val="26"/>
        </w:rPr>
      </w:pPr>
    </w:p>
    <w:p w:rsidR="00D435A5" w:rsidRPr="00833944" w:rsidRDefault="00707089" w:rsidP="00EC19B4">
      <w:pPr>
        <w:pStyle w:val="BlockText"/>
        <w:tabs>
          <w:tab w:val="right" w:pos="-142"/>
          <w:tab w:val="right" w:pos="426"/>
        </w:tabs>
        <w:autoSpaceDE/>
        <w:autoSpaceDN/>
        <w:spacing w:line="276" w:lineRule="auto"/>
        <w:ind w:left="0" w:right="0"/>
        <w:rPr>
          <w:rFonts w:cs="Times New Roman"/>
          <w:sz w:val="26"/>
          <w:szCs w:val="26"/>
          <w:rtl/>
        </w:rPr>
      </w:pPr>
      <w:r w:rsidRPr="00833944">
        <w:rPr>
          <w:rFonts w:cs="Times New Roman"/>
          <w:sz w:val="26"/>
          <w:szCs w:val="26"/>
        </w:rPr>
        <w:t xml:space="preserve">Ministry of National Economy explained that the main reason behind such decline in the production and sales size at the establishments is linked to the decline of consumption in general, where consumption </w:t>
      </w:r>
      <w:r w:rsidR="00EC19B4" w:rsidRPr="00833944">
        <w:rPr>
          <w:rFonts w:cs="Times New Roman"/>
          <w:sz w:val="26"/>
          <w:szCs w:val="26"/>
        </w:rPr>
        <w:t xml:space="preserve">recorded a </w:t>
      </w:r>
      <w:r w:rsidRPr="00833944">
        <w:rPr>
          <w:rFonts w:cs="Times New Roman"/>
          <w:sz w:val="26"/>
          <w:szCs w:val="26"/>
        </w:rPr>
        <w:t xml:space="preserve">decline </w:t>
      </w:r>
      <w:r w:rsidR="00EC19B4" w:rsidRPr="00833944">
        <w:rPr>
          <w:rFonts w:cs="Times New Roman"/>
          <w:sz w:val="26"/>
          <w:szCs w:val="26"/>
        </w:rPr>
        <w:t>of</w:t>
      </w:r>
      <w:r w:rsidRPr="00833944">
        <w:rPr>
          <w:rFonts w:cs="Times New Roman"/>
          <w:sz w:val="26"/>
          <w:szCs w:val="26"/>
        </w:rPr>
        <w:t xml:space="preserve"> more than 5% during the lockdown period. Also, the decline in the production of the construction sector is due to the fact that sectors with high priority needed to secure health and food security for citizens to face the health pandemic during the times of lockdown were operated only.</w:t>
      </w:r>
    </w:p>
    <w:p w:rsidR="00F45241" w:rsidRPr="00833944" w:rsidRDefault="00F45241" w:rsidP="004A251E">
      <w:pPr>
        <w:bidi w:val="0"/>
        <w:spacing w:after="160" w:line="276" w:lineRule="auto"/>
        <w:ind w:right="-180"/>
        <w:jc w:val="both"/>
        <w:rPr>
          <w:rFonts w:eastAsia="Calibri" w:cs="Times New Roman"/>
          <w:sz w:val="26"/>
          <w:szCs w:val="26"/>
          <w:lang w:bidi="ar-EG"/>
        </w:rPr>
      </w:pPr>
      <w:r w:rsidRPr="00833944">
        <w:rPr>
          <w:rFonts w:eastAsia="Calibri" w:cs="Times New Roman"/>
          <w:sz w:val="26"/>
          <w:szCs w:val="26"/>
          <w:lang w:bidi="ar-EG"/>
        </w:rPr>
        <w:t>Moreover, food and pharmaceutical industries, including preventative and medical requirements were operated as well as supply chain industries such as plastic and paper industries, in addition to ensuring the flow of food subsidies/goods movement and facilitating domestic and export trade movement.</w:t>
      </w:r>
    </w:p>
    <w:p w:rsidR="00F45241" w:rsidRPr="00833944" w:rsidRDefault="00F45241" w:rsidP="00FE5683">
      <w:pPr>
        <w:bidi w:val="0"/>
        <w:spacing w:after="160" w:line="276" w:lineRule="auto"/>
        <w:ind w:right="-180"/>
        <w:jc w:val="both"/>
        <w:rPr>
          <w:rFonts w:eastAsia="Calibri" w:cs="Times New Roman"/>
          <w:sz w:val="26"/>
          <w:szCs w:val="26"/>
          <w:rtl/>
        </w:rPr>
      </w:pPr>
      <w:r w:rsidRPr="00833944">
        <w:rPr>
          <w:rFonts w:eastAsia="Calibri" w:cs="Times New Roman"/>
          <w:sz w:val="26"/>
          <w:szCs w:val="26"/>
          <w:lang w:bidi="ar-EG"/>
        </w:rPr>
        <w:t xml:space="preserve">Furthermore, the pandemic negatively impacted several industries, causing them to stop working, especially tourism and crafts, which were stopped completely, while shoe, leather, clothing/garment businesses were stopped partially.    </w:t>
      </w:r>
    </w:p>
    <w:p w:rsidR="0078600B" w:rsidRPr="00DC1621" w:rsidRDefault="0078600B" w:rsidP="00DC1621">
      <w:pPr>
        <w:bidi w:val="0"/>
        <w:spacing w:line="276" w:lineRule="auto"/>
        <w:rPr>
          <w:rFonts w:ascii="Simplified Arabic" w:hAnsi="Simplified Arabic" w:cs="Simplified Arabic"/>
          <w:sz w:val="24"/>
          <w:szCs w:val="24"/>
          <w:rtl/>
        </w:rPr>
      </w:pPr>
    </w:p>
    <w:p w:rsidR="002A5D77" w:rsidRPr="00DC1621" w:rsidRDefault="00535DCE" w:rsidP="00833944">
      <w:pPr>
        <w:bidi w:val="0"/>
        <w:spacing w:line="276" w:lineRule="auto"/>
        <w:ind w:right="-142"/>
        <w:jc w:val="center"/>
        <w:rPr>
          <w:rFonts w:ascii="Simplified Arabic" w:hAnsi="Simplified Arabic" w:cs="Simplified Arabic"/>
          <w:sz w:val="24"/>
          <w:szCs w:val="24"/>
          <w:rtl/>
        </w:rPr>
      </w:pPr>
      <w:r w:rsidRPr="00833944">
        <w:rPr>
          <w:b/>
          <w:bCs/>
          <w:noProof/>
          <w:sz w:val="26"/>
          <w:szCs w:val="26"/>
        </w:rPr>
        <w:lastRenderedPageBreak/>
        <w:drawing>
          <wp:inline distT="0" distB="0" distL="0" distR="0">
            <wp:extent cx="3457575" cy="3228975"/>
            <wp:effectExtent l="0" t="0" r="0" b="0"/>
            <wp:docPr id="1"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B6DC9" w:rsidRPr="00DC1621" w:rsidRDefault="008B6DC9" w:rsidP="00DC1621">
      <w:pPr>
        <w:tabs>
          <w:tab w:val="left" w:pos="-1"/>
        </w:tabs>
        <w:bidi w:val="0"/>
        <w:spacing w:line="276" w:lineRule="auto"/>
        <w:ind w:right="-142"/>
        <w:rPr>
          <w:rFonts w:ascii="Simplified Arabic" w:hAnsi="Simplified Arabic" w:cs="Simplified Arabic"/>
          <w:b/>
          <w:bCs/>
          <w:sz w:val="24"/>
          <w:szCs w:val="24"/>
          <w:rtl/>
        </w:rPr>
      </w:pPr>
    </w:p>
    <w:p w:rsidR="00677B14" w:rsidRPr="00833944" w:rsidRDefault="00677B14" w:rsidP="00FE5683">
      <w:pPr>
        <w:bidi w:val="0"/>
        <w:spacing w:line="276" w:lineRule="auto"/>
        <w:jc w:val="both"/>
        <w:rPr>
          <w:rFonts w:ascii="Simplified Arabic" w:hAnsi="Simplified Arabic" w:cs="Simplified Arabic"/>
          <w:b/>
          <w:bCs/>
          <w:sz w:val="26"/>
          <w:szCs w:val="26"/>
        </w:rPr>
      </w:pPr>
      <w:r w:rsidRPr="00833944">
        <w:rPr>
          <w:rFonts w:ascii="Simplified Arabic" w:hAnsi="Simplified Arabic" w:cs="Simplified Arabic"/>
          <w:b/>
          <w:bCs/>
          <w:sz w:val="26"/>
          <w:szCs w:val="26"/>
        </w:rPr>
        <w:t>Supply Shocks: (63% of establishments reported having difficulties in the supply of inputs and raw materials)</w:t>
      </w:r>
    </w:p>
    <w:p w:rsidR="00677B14" w:rsidRPr="00833944" w:rsidRDefault="00677B14" w:rsidP="00FE5683">
      <w:pPr>
        <w:bidi w:val="0"/>
        <w:spacing w:line="276" w:lineRule="auto"/>
        <w:jc w:val="both"/>
        <w:rPr>
          <w:rFonts w:ascii="Simplified Arabic" w:hAnsi="Simplified Arabic" w:cs="Simplified Arabic"/>
          <w:b/>
          <w:bCs/>
          <w:sz w:val="10"/>
          <w:szCs w:val="10"/>
        </w:rPr>
      </w:pPr>
    </w:p>
    <w:p w:rsidR="00677B14" w:rsidRPr="00833944" w:rsidRDefault="00677B14" w:rsidP="004A251E">
      <w:pPr>
        <w:pStyle w:val="BlockText"/>
        <w:tabs>
          <w:tab w:val="right" w:pos="-142"/>
          <w:tab w:val="right" w:pos="426"/>
        </w:tabs>
        <w:autoSpaceDE/>
        <w:autoSpaceDN/>
        <w:spacing w:line="276" w:lineRule="auto"/>
        <w:ind w:left="0" w:right="0"/>
        <w:rPr>
          <w:rFonts w:ascii="Simplified Arabic" w:hAnsi="Simplified Arabic" w:cs="Simplified Arabic"/>
          <w:sz w:val="26"/>
          <w:szCs w:val="26"/>
        </w:rPr>
      </w:pPr>
      <w:r w:rsidRPr="00833944">
        <w:rPr>
          <w:rFonts w:ascii="Simplified Arabic" w:hAnsi="Simplified Arabic" w:cs="Simplified Arabic"/>
          <w:sz w:val="26"/>
          <w:szCs w:val="26"/>
        </w:rPr>
        <w:t xml:space="preserve"> 63% of the establishments reported having difficulties in the supply of inputs, raw materials or finished goods and purchased materials (69% in </w:t>
      </w:r>
      <w:r w:rsidR="004A251E" w:rsidRPr="00833944">
        <w:rPr>
          <w:rFonts w:ascii="Simplified Arabic" w:hAnsi="Simplified Arabic" w:cs="Simplified Arabic"/>
          <w:sz w:val="26"/>
          <w:szCs w:val="26"/>
        </w:rPr>
        <w:t xml:space="preserve">the </w:t>
      </w:r>
      <w:r w:rsidRPr="00833944">
        <w:rPr>
          <w:rFonts w:ascii="Simplified Arabic" w:hAnsi="Simplified Arabic" w:cs="Simplified Arabic"/>
          <w:sz w:val="26"/>
          <w:szCs w:val="26"/>
        </w:rPr>
        <w:t xml:space="preserve">West </w:t>
      </w:r>
      <w:r w:rsidR="004A251E" w:rsidRPr="00833944">
        <w:rPr>
          <w:rFonts w:ascii="Simplified Arabic" w:hAnsi="Simplified Arabic" w:cs="Simplified Arabic"/>
          <w:sz w:val="26"/>
          <w:szCs w:val="26"/>
        </w:rPr>
        <w:t>B</w:t>
      </w:r>
      <w:r w:rsidRPr="00833944">
        <w:rPr>
          <w:rFonts w:ascii="Simplified Arabic" w:hAnsi="Simplified Arabic" w:cs="Simplified Arabic"/>
          <w:sz w:val="26"/>
          <w:szCs w:val="26"/>
        </w:rPr>
        <w:t xml:space="preserve">ank and 49% in Gaza Strip). Hence, economic activities suffering the most from this difficulty were construction sector with a percentage of (73%), trade sector at (71%) and industry sector at (69%). </w:t>
      </w:r>
    </w:p>
    <w:p w:rsidR="00677B14" w:rsidRPr="00833944" w:rsidRDefault="00677B14" w:rsidP="00FE5683">
      <w:pPr>
        <w:pStyle w:val="BlockText"/>
        <w:tabs>
          <w:tab w:val="right" w:pos="-142"/>
          <w:tab w:val="right" w:pos="426"/>
        </w:tabs>
        <w:autoSpaceDE/>
        <w:autoSpaceDN/>
        <w:spacing w:line="276" w:lineRule="auto"/>
        <w:ind w:left="0" w:right="0"/>
        <w:rPr>
          <w:rFonts w:ascii="Simplified Arabic" w:hAnsi="Simplified Arabic" w:cs="Simplified Arabic"/>
          <w:sz w:val="10"/>
          <w:szCs w:val="10"/>
        </w:rPr>
      </w:pPr>
    </w:p>
    <w:p w:rsidR="00AD2FFE" w:rsidRPr="00833944" w:rsidRDefault="00677B14" w:rsidP="004A251E">
      <w:pPr>
        <w:pStyle w:val="BlockText"/>
        <w:tabs>
          <w:tab w:val="right" w:pos="-142"/>
          <w:tab w:val="right" w:pos="426"/>
        </w:tabs>
        <w:autoSpaceDE/>
        <w:autoSpaceDN/>
        <w:spacing w:line="276" w:lineRule="auto"/>
        <w:ind w:left="0" w:right="0"/>
        <w:rPr>
          <w:rFonts w:ascii="Simplified Arabic" w:hAnsi="Simplified Arabic" w:cs="Simplified Arabic"/>
          <w:sz w:val="26"/>
          <w:szCs w:val="26"/>
        </w:rPr>
      </w:pPr>
      <w:r w:rsidRPr="00833944">
        <w:rPr>
          <w:rFonts w:ascii="Simplified Arabic" w:hAnsi="Simplified Arabic" w:cs="Simplified Arabic"/>
          <w:sz w:val="26"/>
          <w:szCs w:val="26"/>
        </w:rPr>
        <w:t>MONE indicated that the closure of world markets and the conf</w:t>
      </w:r>
      <w:r w:rsidR="004A251E" w:rsidRPr="00833944">
        <w:rPr>
          <w:rFonts w:ascii="Simplified Arabic" w:hAnsi="Simplified Arabic" w:cs="Simplified Arabic"/>
          <w:sz w:val="26"/>
          <w:szCs w:val="26"/>
        </w:rPr>
        <w:t>usion and slowdown</w:t>
      </w:r>
      <w:r w:rsidR="00AD2FFE" w:rsidRPr="00833944">
        <w:rPr>
          <w:rFonts w:ascii="Simplified Arabic" w:hAnsi="Simplified Arabic" w:cs="Simplified Arabic"/>
          <w:sz w:val="26"/>
          <w:szCs w:val="26"/>
        </w:rPr>
        <w:t xml:space="preserve"> resulted from such global closure in the supply chain at the world level was one </w:t>
      </w:r>
      <w:r w:rsidR="004A251E" w:rsidRPr="00833944">
        <w:rPr>
          <w:rFonts w:ascii="Simplified Arabic" w:hAnsi="Simplified Arabic" w:cs="Simplified Arabic"/>
          <w:sz w:val="26"/>
          <w:szCs w:val="26"/>
        </w:rPr>
        <w:t xml:space="preserve">of the </w:t>
      </w:r>
      <w:r w:rsidR="00AD2FFE" w:rsidRPr="00833944">
        <w:rPr>
          <w:rFonts w:ascii="Simplified Arabic" w:hAnsi="Simplified Arabic" w:cs="Simplified Arabic"/>
          <w:sz w:val="26"/>
          <w:szCs w:val="26"/>
        </w:rPr>
        <w:t>main reasons that led to the difficulty of providing production inputs of raw materials</w:t>
      </w:r>
      <w:r w:rsidR="004A251E" w:rsidRPr="00833944">
        <w:rPr>
          <w:rFonts w:ascii="Simplified Arabic" w:hAnsi="Simplified Arabic" w:cs="Simplified Arabic"/>
          <w:sz w:val="26"/>
          <w:szCs w:val="26"/>
        </w:rPr>
        <w:t>.</w:t>
      </w:r>
      <w:r w:rsidR="00AD2FFE" w:rsidRPr="00833944">
        <w:rPr>
          <w:rFonts w:ascii="Simplified Arabic" w:hAnsi="Simplified Arabic" w:cs="Simplified Arabic"/>
          <w:sz w:val="26"/>
          <w:szCs w:val="26"/>
        </w:rPr>
        <w:t xml:space="preserve"> </w:t>
      </w:r>
      <w:r w:rsidR="004A251E" w:rsidRPr="00833944">
        <w:rPr>
          <w:rFonts w:ascii="Simplified Arabic" w:hAnsi="Simplified Arabic" w:cs="Simplified Arabic"/>
          <w:sz w:val="26"/>
          <w:szCs w:val="26"/>
        </w:rPr>
        <w:t>I</w:t>
      </w:r>
      <w:r w:rsidR="00AD2FFE" w:rsidRPr="00833944">
        <w:rPr>
          <w:rFonts w:ascii="Simplified Arabic" w:hAnsi="Simplified Arabic" w:cs="Simplified Arabic"/>
          <w:sz w:val="26"/>
          <w:szCs w:val="26"/>
        </w:rPr>
        <w:t xml:space="preserve">n addition to the countries inability to export basic material </w:t>
      </w:r>
      <w:r w:rsidR="004A251E" w:rsidRPr="00833944">
        <w:rPr>
          <w:rFonts w:ascii="Simplified Arabic" w:hAnsi="Simplified Arabic" w:cs="Simplified Arabic"/>
          <w:sz w:val="26"/>
          <w:szCs w:val="26"/>
        </w:rPr>
        <w:t>because</w:t>
      </w:r>
      <w:r w:rsidR="00AD2FFE" w:rsidRPr="00833944">
        <w:rPr>
          <w:rFonts w:ascii="Simplified Arabic" w:hAnsi="Simplified Arabic" w:cs="Simplified Arabic"/>
          <w:sz w:val="26"/>
          <w:szCs w:val="26"/>
        </w:rPr>
        <w:t xml:space="preserve"> they were suffering from the same pandemic and the economies </w:t>
      </w:r>
      <w:r w:rsidR="004A251E" w:rsidRPr="00833944">
        <w:rPr>
          <w:rFonts w:ascii="Simplified Arabic" w:hAnsi="Simplified Arabic" w:cs="Simplified Arabic"/>
          <w:sz w:val="26"/>
          <w:szCs w:val="26"/>
        </w:rPr>
        <w:t xml:space="preserve">of countries were </w:t>
      </w:r>
      <w:r w:rsidR="00AD2FFE" w:rsidRPr="00833944">
        <w:rPr>
          <w:rFonts w:ascii="Simplified Arabic" w:hAnsi="Simplified Arabic" w:cs="Simplified Arabic"/>
          <w:sz w:val="26"/>
          <w:szCs w:val="26"/>
        </w:rPr>
        <w:t xml:space="preserve">also impacted.   </w:t>
      </w:r>
    </w:p>
    <w:p w:rsidR="00AD2FFE" w:rsidRPr="00833944" w:rsidRDefault="00AD2FFE" w:rsidP="00FE5683">
      <w:pPr>
        <w:pStyle w:val="BlockText"/>
        <w:tabs>
          <w:tab w:val="right" w:pos="-142"/>
          <w:tab w:val="right" w:pos="426"/>
        </w:tabs>
        <w:autoSpaceDE/>
        <w:autoSpaceDN/>
        <w:spacing w:line="276" w:lineRule="auto"/>
        <w:ind w:left="0" w:right="0"/>
        <w:rPr>
          <w:rFonts w:ascii="Simplified Arabic" w:hAnsi="Simplified Arabic" w:cs="Simplified Arabic"/>
          <w:sz w:val="26"/>
          <w:szCs w:val="26"/>
        </w:rPr>
      </w:pPr>
    </w:p>
    <w:p w:rsidR="00677B14" w:rsidRPr="00833944" w:rsidRDefault="002260BC" w:rsidP="00B64E6A">
      <w:pPr>
        <w:pStyle w:val="BlockText"/>
        <w:tabs>
          <w:tab w:val="right" w:pos="-142"/>
          <w:tab w:val="right" w:pos="426"/>
        </w:tabs>
        <w:autoSpaceDE/>
        <w:autoSpaceDN/>
        <w:spacing w:line="276" w:lineRule="auto"/>
        <w:ind w:left="0" w:right="0"/>
        <w:rPr>
          <w:rFonts w:ascii="Simplified Arabic" w:hAnsi="Simplified Arabic" w:cs="Simplified Arabic"/>
          <w:sz w:val="26"/>
          <w:szCs w:val="26"/>
        </w:rPr>
      </w:pPr>
      <w:r w:rsidRPr="00833944">
        <w:rPr>
          <w:rFonts w:ascii="Simplified Arabic" w:hAnsi="Simplified Arabic" w:cs="Simplified Arabic"/>
          <w:sz w:val="26"/>
          <w:szCs w:val="26"/>
        </w:rPr>
        <w:t>Nonetheless, t</w:t>
      </w:r>
      <w:r w:rsidR="00AD2FFE" w:rsidRPr="00833944">
        <w:rPr>
          <w:rFonts w:ascii="Simplified Arabic" w:hAnsi="Simplified Arabic" w:cs="Simplified Arabic"/>
          <w:sz w:val="26"/>
          <w:szCs w:val="26"/>
        </w:rPr>
        <w:t>he</w:t>
      </w:r>
      <w:r w:rsidRPr="00833944">
        <w:rPr>
          <w:rFonts w:ascii="Simplified Arabic" w:hAnsi="Simplified Arabic" w:cs="Simplified Arabic"/>
          <w:sz w:val="26"/>
          <w:szCs w:val="26"/>
        </w:rPr>
        <w:t xml:space="preserve"> great</w:t>
      </w:r>
      <w:r w:rsidR="00AD2FFE" w:rsidRPr="00833944">
        <w:rPr>
          <w:rFonts w:ascii="Simplified Arabic" w:hAnsi="Simplified Arabic" w:cs="Simplified Arabic"/>
          <w:sz w:val="26"/>
          <w:szCs w:val="26"/>
        </w:rPr>
        <w:t xml:space="preserve"> efforts made by MONE to provide the ne</w:t>
      </w:r>
      <w:r w:rsidRPr="00833944">
        <w:rPr>
          <w:rFonts w:ascii="Simplified Arabic" w:hAnsi="Simplified Arabic" w:cs="Simplified Arabic"/>
          <w:sz w:val="26"/>
          <w:szCs w:val="26"/>
        </w:rPr>
        <w:t>cessary raw materials in an exceptional manner, especially those raw materials that are essential for the industry/production of sanitizers and masks, are worth mentioning</w:t>
      </w:r>
      <w:r w:rsidR="00B64E6A" w:rsidRPr="00833944">
        <w:rPr>
          <w:rFonts w:ascii="Simplified Arabic" w:hAnsi="Simplified Arabic" w:cs="Simplified Arabic"/>
          <w:sz w:val="26"/>
          <w:szCs w:val="26"/>
        </w:rPr>
        <w:t>.</w:t>
      </w:r>
      <w:r w:rsidRPr="00833944">
        <w:rPr>
          <w:rFonts w:ascii="Simplified Arabic" w:hAnsi="Simplified Arabic" w:cs="Simplified Arabic"/>
          <w:sz w:val="26"/>
          <w:szCs w:val="26"/>
        </w:rPr>
        <w:t xml:space="preserve"> </w:t>
      </w:r>
      <w:r w:rsidR="00B64E6A" w:rsidRPr="00833944">
        <w:rPr>
          <w:rFonts w:ascii="Simplified Arabic" w:hAnsi="Simplified Arabic" w:cs="Simplified Arabic"/>
          <w:sz w:val="26"/>
          <w:szCs w:val="26"/>
        </w:rPr>
        <w:t>I</w:t>
      </w:r>
      <w:r w:rsidRPr="00833944">
        <w:rPr>
          <w:rFonts w:ascii="Simplified Arabic" w:hAnsi="Simplified Arabic" w:cs="Simplified Arabic"/>
          <w:sz w:val="26"/>
          <w:szCs w:val="26"/>
        </w:rPr>
        <w:t xml:space="preserve">n addition to its efforts in facilitating operating and turning some vital industries, such </w:t>
      </w:r>
      <w:r w:rsidR="004A251E" w:rsidRPr="00833944">
        <w:rPr>
          <w:rFonts w:ascii="Simplified Arabic" w:hAnsi="Simplified Arabic" w:cs="Simplified Arabic"/>
          <w:sz w:val="26"/>
          <w:szCs w:val="26"/>
        </w:rPr>
        <w:t>as</w:t>
      </w:r>
      <w:r w:rsidRPr="00833944">
        <w:rPr>
          <w:rFonts w:ascii="Simplified Arabic" w:hAnsi="Simplified Arabic" w:cs="Simplified Arabic"/>
          <w:sz w:val="26"/>
          <w:szCs w:val="26"/>
        </w:rPr>
        <w:t xml:space="preserve"> garment and cosmetics </w:t>
      </w:r>
      <w:r w:rsidRPr="00833944">
        <w:rPr>
          <w:rFonts w:ascii="Simplified Arabic" w:hAnsi="Simplified Arabic" w:cs="Simplified Arabic"/>
          <w:sz w:val="26"/>
          <w:szCs w:val="26"/>
        </w:rPr>
        <w:lastRenderedPageBreak/>
        <w:t xml:space="preserve">industries to producing necessary medical supplies and requirements, most importantly, sanitizers and masks. It is also worth mentioning that, during the times of the pandemic, about 53 industrial establishments were established and operated that work on the production line of preventative and medical requirements.    </w:t>
      </w:r>
      <w:r w:rsidR="00AD2FFE" w:rsidRPr="00833944">
        <w:rPr>
          <w:rFonts w:ascii="Simplified Arabic" w:hAnsi="Simplified Arabic" w:cs="Simplified Arabic"/>
          <w:sz w:val="26"/>
          <w:szCs w:val="26"/>
        </w:rPr>
        <w:t xml:space="preserve">  </w:t>
      </w:r>
      <w:r w:rsidR="00677B14" w:rsidRPr="00833944">
        <w:rPr>
          <w:rFonts w:ascii="Simplified Arabic" w:hAnsi="Simplified Arabic" w:cs="Simplified Arabic"/>
          <w:sz w:val="26"/>
          <w:szCs w:val="26"/>
        </w:rPr>
        <w:t xml:space="preserve">  </w:t>
      </w:r>
    </w:p>
    <w:p w:rsidR="00677B14" w:rsidRPr="00833944" w:rsidRDefault="00677B14" w:rsidP="00DC1621">
      <w:pPr>
        <w:tabs>
          <w:tab w:val="left" w:pos="-1"/>
        </w:tabs>
        <w:bidi w:val="0"/>
        <w:spacing w:line="276" w:lineRule="auto"/>
        <w:ind w:right="-142"/>
        <w:rPr>
          <w:rFonts w:ascii="Simplified Arabic" w:hAnsi="Simplified Arabic" w:cs="Simplified Arabic"/>
          <w:b/>
          <w:bCs/>
          <w:sz w:val="26"/>
          <w:szCs w:val="26"/>
          <w:rtl/>
        </w:rPr>
      </w:pPr>
    </w:p>
    <w:p w:rsidR="00EC3EA6" w:rsidRPr="00833944" w:rsidRDefault="00EC3EA6" w:rsidP="00FE5683">
      <w:pPr>
        <w:tabs>
          <w:tab w:val="center" w:pos="4606"/>
        </w:tabs>
        <w:bidi w:val="0"/>
        <w:spacing w:line="276" w:lineRule="auto"/>
        <w:jc w:val="both"/>
        <w:rPr>
          <w:rFonts w:ascii="Simplified Arabic" w:hAnsi="Simplified Arabic" w:cs="Simplified Arabic"/>
          <w:b/>
          <w:bCs/>
          <w:sz w:val="26"/>
          <w:szCs w:val="26"/>
        </w:rPr>
      </w:pPr>
      <w:r w:rsidRPr="00833944">
        <w:rPr>
          <w:rFonts w:ascii="Simplified Arabic" w:hAnsi="Simplified Arabic" w:cs="Simplified Arabic"/>
          <w:b/>
          <w:bCs/>
          <w:sz w:val="26"/>
          <w:szCs w:val="26"/>
        </w:rPr>
        <w:t>Financial shocks: (89% of the establishments are facing a decline in the availability of cash flow)</w:t>
      </w:r>
    </w:p>
    <w:p w:rsidR="00EC3EA6" w:rsidRPr="00833944" w:rsidRDefault="00EC3EA6" w:rsidP="00FE5683">
      <w:pPr>
        <w:pStyle w:val="BlockText"/>
        <w:tabs>
          <w:tab w:val="right" w:pos="-142"/>
          <w:tab w:val="right" w:pos="426"/>
        </w:tabs>
        <w:autoSpaceDE/>
        <w:autoSpaceDN/>
        <w:spacing w:line="276" w:lineRule="auto"/>
        <w:ind w:left="0" w:right="0"/>
        <w:rPr>
          <w:rFonts w:ascii="Simplified Arabic" w:hAnsi="Simplified Arabic" w:cs="Simplified Arabic"/>
          <w:sz w:val="26"/>
          <w:szCs w:val="26"/>
        </w:rPr>
      </w:pPr>
      <w:r w:rsidRPr="00833944">
        <w:rPr>
          <w:rFonts w:ascii="Simplified Arabic" w:hAnsi="Simplified Arabic" w:cs="Simplified Arabic"/>
          <w:sz w:val="26"/>
          <w:szCs w:val="26"/>
        </w:rPr>
        <w:t xml:space="preserve">89% of the establishments are facing a decline in the availability of cash flow, which affected the percentage </w:t>
      </w:r>
      <w:r w:rsidR="00E33D82" w:rsidRPr="00833944">
        <w:rPr>
          <w:rFonts w:ascii="Simplified Arabic" w:hAnsi="Simplified Arabic" w:cs="Simplified Arabic"/>
          <w:sz w:val="26"/>
          <w:szCs w:val="26"/>
        </w:rPr>
        <w:t>of</w:t>
      </w:r>
      <w:r w:rsidRPr="00833944">
        <w:rPr>
          <w:rFonts w:ascii="Simplified Arabic" w:hAnsi="Simplified Arabic" w:cs="Simplified Arabic"/>
          <w:sz w:val="26"/>
          <w:szCs w:val="26"/>
        </w:rPr>
        <w:t xml:space="preserve"> returned </w:t>
      </w:r>
      <w:r w:rsidR="00E33D82" w:rsidRPr="00833944">
        <w:rPr>
          <w:rFonts w:ascii="Simplified Arabic" w:hAnsi="Simplified Arabic" w:cs="Simplified Arabic"/>
          <w:sz w:val="26"/>
          <w:szCs w:val="26"/>
        </w:rPr>
        <w:t>checks that</w:t>
      </w:r>
      <w:r w:rsidRPr="00833944">
        <w:rPr>
          <w:rFonts w:ascii="Simplified Arabic" w:hAnsi="Simplified Arabic" w:cs="Simplified Arabic"/>
          <w:sz w:val="26"/>
          <w:szCs w:val="26"/>
        </w:rPr>
        <w:t xml:space="preserve"> increased to reach</w:t>
      </w:r>
      <w:r w:rsidR="00E33D82" w:rsidRPr="00833944">
        <w:rPr>
          <w:rFonts w:ascii="Simplified Arabic" w:hAnsi="Simplified Arabic" w:cs="Simplified Arabic"/>
          <w:sz w:val="26"/>
          <w:szCs w:val="26"/>
        </w:rPr>
        <w:t xml:space="preserve"> 36%</w:t>
      </w:r>
      <w:r w:rsidRPr="00833944">
        <w:rPr>
          <w:rFonts w:ascii="Simplified Arabic" w:hAnsi="Simplified Arabic" w:cs="Simplified Arabic"/>
          <w:sz w:val="26"/>
          <w:szCs w:val="26"/>
        </w:rPr>
        <w:t xml:space="preserve"> (48% in the West Bank and 10% in Gaza </w:t>
      </w:r>
      <w:r w:rsidR="00E33D82" w:rsidRPr="00833944">
        <w:rPr>
          <w:rFonts w:ascii="Simplified Arabic" w:hAnsi="Simplified Arabic" w:cs="Simplified Arabic"/>
          <w:sz w:val="26"/>
          <w:szCs w:val="26"/>
        </w:rPr>
        <w:t>S</w:t>
      </w:r>
      <w:r w:rsidRPr="00833944">
        <w:rPr>
          <w:rFonts w:ascii="Simplified Arabic" w:hAnsi="Simplified Arabic" w:cs="Simplified Arabic"/>
          <w:sz w:val="26"/>
          <w:szCs w:val="26"/>
        </w:rPr>
        <w:t>trip)</w:t>
      </w:r>
      <w:r w:rsidR="00E33D82" w:rsidRPr="00833944">
        <w:rPr>
          <w:rFonts w:ascii="Simplified Arabic" w:hAnsi="Simplified Arabic" w:cs="Simplified Arabic"/>
          <w:sz w:val="26"/>
          <w:szCs w:val="26"/>
        </w:rPr>
        <w:t>. Also,</w:t>
      </w:r>
      <w:r w:rsidRPr="00833944">
        <w:rPr>
          <w:rFonts w:ascii="Simplified Arabic" w:hAnsi="Simplified Arabic" w:cs="Simplified Arabic"/>
          <w:sz w:val="26"/>
          <w:szCs w:val="26"/>
        </w:rPr>
        <w:t xml:space="preserve"> 59% of the establishments reported having a difficulty in the </w:t>
      </w:r>
      <w:r w:rsidR="00E33D82" w:rsidRPr="00833944">
        <w:rPr>
          <w:rFonts w:ascii="Simplified Arabic" w:hAnsi="Simplified Arabic" w:cs="Simplified Arabic"/>
          <w:sz w:val="26"/>
          <w:szCs w:val="26"/>
        </w:rPr>
        <w:t>provision</w:t>
      </w:r>
      <w:r w:rsidRPr="00833944">
        <w:rPr>
          <w:rFonts w:ascii="Simplified Arabic" w:hAnsi="Simplified Arabic" w:cs="Simplified Arabic"/>
          <w:sz w:val="26"/>
          <w:szCs w:val="26"/>
        </w:rPr>
        <w:t xml:space="preserve"> of financial services </w:t>
      </w:r>
      <w:r w:rsidR="00E33D82" w:rsidRPr="00833944">
        <w:rPr>
          <w:rFonts w:ascii="Simplified Arabic" w:hAnsi="Simplified Arabic" w:cs="Simplified Arabic"/>
          <w:sz w:val="26"/>
          <w:szCs w:val="26"/>
        </w:rPr>
        <w:t xml:space="preserve">that </w:t>
      </w:r>
      <w:r w:rsidRPr="00833944">
        <w:rPr>
          <w:rFonts w:ascii="Simplified Arabic" w:hAnsi="Simplified Arabic" w:cs="Simplified Arabic"/>
          <w:sz w:val="26"/>
          <w:szCs w:val="26"/>
        </w:rPr>
        <w:t xml:space="preserve">are </w:t>
      </w:r>
      <w:r w:rsidR="00E33D82" w:rsidRPr="00833944">
        <w:rPr>
          <w:rFonts w:ascii="Simplified Arabic" w:hAnsi="Simplified Arabic" w:cs="Simplified Arabic"/>
          <w:sz w:val="26"/>
          <w:szCs w:val="26"/>
        </w:rPr>
        <w:t>usually</w:t>
      </w:r>
      <w:r w:rsidRPr="00833944">
        <w:rPr>
          <w:rFonts w:ascii="Simplified Arabic" w:hAnsi="Simplified Arabic" w:cs="Simplified Arabic"/>
          <w:sz w:val="26"/>
          <w:szCs w:val="26"/>
        </w:rPr>
        <w:t xml:space="preserve"> available</w:t>
      </w:r>
      <w:r w:rsidR="00E33D82" w:rsidRPr="00833944">
        <w:rPr>
          <w:rFonts w:ascii="Simplified Arabic" w:hAnsi="Simplified Arabic" w:cs="Simplified Arabic"/>
          <w:sz w:val="26"/>
          <w:szCs w:val="26"/>
        </w:rPr>
        <w:t xml:space="preserve"> in the normal situation</w:t>
      </w:r>
      <w:r w:rsidRPr="00833944">
        <w:rPr>
          <w:rFonts w:ascii="Simplified Arabic" w:hAnsi="Simplified Arabic" w:cs="Simplified Arabic"/>
          <w:sz w:val="26"/>
          <w:szCs w:val="26"/>
        </w:rPr>
        <w:t>.</w:t>
      </w:r>
    </w:p>
    <w:p w:rsidR="000D673D" w:rsidRPr="00833944" w:rsidRDefault="000D673D" w:rsidP="00FE5683">
      <w:pPr>
        <w:pStyle w:val="BlockText"/>
        <w:tabs>
          <w:tab w:val="right" w:pos="-142"/>
          <w:tab w:val="right" w:pos="426"/>
        </w:tabs>
        <w:autoSpaceDE/>
        <w:autoSpaceDN/>
        <w:spacing w:line="276" w:lineRule="auto"/>
        <w:ind w:left="0" w:right="0"/>
        <w:rPr>
          <w:rFonts w:ascii="Simplified Arabic" w:hAnsi="Simplified Arabic" w:cs="Simplified Arabic"/>
          <w:sz w:val="10"/>
          <w:szCs w:val="10"/>
        </w:rPr>
      </w:pPr>
    </w:p>
    <w:p w:rsidR="000D673D" w:rsidRPr="00833944" w:rsidRDefault="000D673D" w:rsidP="00FE5683">
      <w:pPr>
        <w:pStyle w:val="BlockText"/>
        <w:tabs>
          <w:tab w:val="right" w:pos="-142"/>
          <w:tab w:val="right" w:pos="426"/>
        </w:tabs>
        <w:autoSpaceDE/>
        <w:autoSpaceDN/>
        <w:spacing w:line="276" w:lineRule="auto"/>
        <w:ind w:left="0" w:right="0"/>
        <w:rPr>
          <w:rFonts w:ascii="Simplified Arabic" w:hAnsi="Simplified Arabic" w:cs="Simplified Arabic"/>
          <w:sz w:val="26"/>
          <w:szCs w:val="26"/>
        </w:rPr>
      </w:pPr>
      <w:r w:rsidRPr="00833944">
        <w:rPr>
          <w:rFonts w:ascii="Simplified Arabic" w:hAnsi="Simplified Arabic" w:cs="Simplified Arabic"/>
          <w:sz w:val="26"/>
          <w:szCs w:val="26"/>
        </w:rPr>
        <w:t>Accordingly, the government, with guidance from the Palestinian leadership, took several steps and measure</w:t>
      </w:r>
      <w:r w:rsidR="00B64E6A" w:rsidRPr="00833944">
        <w:rPr>
          <w:rFonts w:ascii="Simplified Arabic" w:hAnsi="Simplified Arabic" w:cs="Simplified Arabic"/>
          <w:sz w:val="26"/>
          <w:szCs w:val="26"/>
        </w:rPr>
        <w:t>s</w:t>
      </w:r>
      <w:r w:rsidRPr="00833944">
        <w:rPr>
          <w:rFonts w:ascii="Simplified Arabic" w:hAnsi="Simplified Arabic" w:cs="Simplified Arabic"/>
          <w:sz w:val="26"/>
          <w:szCs w:val="26"/>
        </w:rPr>
        <w:t xml:space="preserve"> to face the unavailability of cash flow during the lockdown period, in terms of shifting the financial support provided from projects funded by donors to face the health pandemic and to provide cash flow for establishments and individuals to ensure the continuity of their businesses. Additionally, some facilitations were made for companies to hold the meetings of the </w:t>
      </w:r>
      <w:r w:rsidR="007E478B" w:rsidRPr="00833944">
        <w:rPr>
          <w:rFonts w:ascii="Simplified Arabic" w:hAnsi="Simplified Arabic" w:cs="Simplified Arabic"/>
          <w:sz w:val="26"/>
          <w:szCs w:val="26"/>
        </w:rPr>
        <w:t>general</w:t>
      </w:r>
      <w:r w:rsidRPr="00833944">
        <w:rPr>
          <w:rFonts w:ascii="Simplified Arabic" w:hAnsi="Simplified Arabic" w:cs="Simplified Arabic"/>
          <w:sz w:val="26"/>
          <w:szCs w:val="26"/>
        </w:rPr>
        <w:t xml:space="preserve"> </w:t>
      </w:r>
      <w:r w:rsidR="007E478B" w:rsidRPr="00833944">
        <w:rPr>
          <w:rFonts w:ascii="Simplified Arabic" w:hAnsi="Simplified Arabic" w:cs="Simplified Arabic"/>
          <w:sz w:val="26"/>
          <w:szCs w:val="26"/>
        </w:rPr>
        <w:t xml:space="preserve">bodies in accordance to the health measures requirements, in order to distribute profits on stakeholders, where the total of distributed profits reached USD 130 million, and the number of beneficiaries reached 46 thousand, as well as accelerating the authentication/accreditation of funding non-profit organizations in order to pump cash into the Palestinian market at a value of  USD 25 million, as most of it was concentrated in the southern governorates.  </w:t>
      </w:r>
      <w:r w:rsidRPr="00833944">
        <w:rPr>
          <w:rFonts w:ascii="Simplified Arabic" w:hAnsi="Simplified Arabic" w:cs="Simplified Arabic"/>
          <w:sz w:val="26"/>
          <w:szCs w:val="26"/>
        </w:rPr>
        <w:t xml:space="preserve">   </w:t>
      </w:r>
    </w:p>
    <w:p w:rsidR="00EC3EA6" w:rsidRPr="00833944" w:rsidRDefault="00EC3EA6" w:rsidP="00DC1621">
      <w:pPr>
        <w:tabs>
          <w:tab w:val="left" w:pos="-1"/>
        </w:tabs>
        <w:bidi w:val="0"/>
        <w:spacing w:line="276" w:lineRule="auto"/>
        <w:ind w:left="-1" w:right="-142"/>
        <w:rPr>
          <w:rFonts w:ascii="Simplified Arabic" w:eastAsia="Calibri" w:hAnsi="Simplified Arabic" w:cs="Simplified Arabic"/>
          <w:sz w:val="26"/>
          <w:szCs w:val="26"/>
          <w:rtl/>
        </w:rPr>
      </w:pPr>
    </w:p>
    <w:p w:rsidR="002A5D77" w:rsidRPr="00DC1621" w:rsidRDefault="00535DCE" w:rsidP="00833944">
      <w:pPr>
        <w:tabs>
          <w:tab w:val="left" w:pos="-1"/>
        </w:tabs>
        <w:bidi w:val="0"/>
        <w:spacing w:line="276" w:lineRule="auto"/>
        <w:ind w:left="-1"/>
        <w:jc w:val="center"/>
        <w:rPr>
          <w:rFonts w:ascii="Simplified Arabic" w:hAnsi="Simplified Arabic" w:cs="Simplified Arabic"/>
          <w:sz w:val="24"/>
          <w:szCs w:val="24"/>
          <w:rtl/>
        </w:rPr>
      </w:pPr>
      <w:r w:rsidRPr="00833944">
        <w:rPr>
          <w:b/>
          <w:bCs/>
          <w:noProof/>
          <w:sz w:val="26"/>
          <w:szCs w:val="26"/>
        </w:rPr>
        <w:lastRenderedPageBreak/>
        <w:drawing>
          <wp:inline distT="0" distB="0" distL="0" distR="0">
            <wp:extent cx="3514725" cy="2571750"/>
            <wp:effectExtent l="0" t="0" r="0" b="0"/>
            <wp:docPr id="2"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3D82" w:rsidRPr="00833944" w:rsidRDefault="00E33D82" w:rsidP="00FE5683">
      <w:pPr>
        <w:bidi w:val="0"/>
        <w:spacing w:line="276" w:lineRule="auto"/>
        <w:jc w:val="both"/>
        <w:rPr>
          <w:rFonts w:ascii="Simplified Arabic" w:hAnsi="Simplified Arabic" w:cs="Simplified Arabic"/>
          <w:sz w:val="26"/>
          <w:szCs w:val="26"/>
        </w:rPr>
      </w:pPr>
      <w:r w:rsidRPr="00833944">
        <w:rPr>
          <w:rFonts w:ascii="Simplified Arabic" w:hAnsi="Simplified Arabic" w:cs="Simplified Arabic"/>
          <w:b/>
          <w:bCs/>
          <w:sz w:val="26"/>
          <w:szCs w:val="26"/>
        </w:rPr>
        <w:t>Financial Adjustment Mechanism:</w:t>
      </w:r>
      <w:r w:rsidRPr="00833944">
        <w:rPr>
          <w:rFonts w:ascii="Simplified Arabic" w:hAnsi="Simplified Arabic" w:cs="Simplified Arabic"/>
          <w:sz w:val="26"/>
          <w:szCs w:val="26"/>
        </w:rPr>
        <w:t xml:space="preserve"> (</w:t>
      </w:r>
      <w:r w:rsidRPr="00833944">
        <w:rPr>
          <w:rFonts w:ascii="Simplified Arabic" w:hAnsi="Simplified Arabic" w:cs="Simplified Arabic"/>
          <w:sz w:val="26"/>
          <w:szCs w:val="26"/>
          <w:rtl/>
        </w:rPr>
        <w:t>37</w:t>
      </w:r>
      <w:r w:rsidRPr="00833944">
        <w:rPr>
          <w:rFonts w:ascii="Simplified Arabic" w:hAnsi="Simplified Arabic" w:cs="Simplified Arabic"/>
          <w:sz w:val="26"/>
          <w:szCs w:val="26"/>
        </w:rPr>
        <w:t>% of the establishments had to have delay</w:t>
      </w:r>
      <w:r w:rsidRPr="00833944">
        <w:rPr>
          <w:rFonts w:ascii="Simplified Arabic" w:hAnsi="Simplified Arabic" w:cs="Simplified Arabic"/>
          <w:b/>
          <w:bCs/>
          <w:sz w:val="26"/>
          <w:szCs w:val="26"/>
        </w:rPr>
        <w:t xml:space="preserve"> </w:t>
      </w:r>
      <w:r w:rsidRPr="00833944">
        <w:rPr>
          <w:rFonts w:ascii="Simplified Arabic" w:hAnsi="Simplified Arabic" w:cs="Simplified Arabic"/>
          <w:sz w:val="26"/>
          <w:szCs w:val="26"/>
        </w:rPr>
        <w:t>payments to suppliers and employees to face shortage in cash flow)</w:t>
      </w:r>
    </w:p>
    <w:p w:rsidR="00E33D82" w:rsidRPr="00833944" w:rsidRDefault="00E33D82" w:rsidP="00FE5683">
      <w:pPr>
        <w:pStyle w:val="BlockText"/>
        <w:tabs>
          <w:tab w:val="right" w:pos="-142"/>
          <w:tab w:val="right" w:pos="426"/>
        </w:tabs>
        <w:autoSpaceDE/>
        <w:autoSpaceDN/>
        <w:spacing w:line="276" w:lineRule="auto"/>
        <w:ind w:left="0" w:right="0"/>
        <w:rPr>
          <w:rFonts w:ascii="Simplified Arabic" w:hAnsi="Simplified Arabic" w:cs="Simplified Arabic"/>
          <w:sz w:val="10"/>
          <w:szCs w:val="10"/>
        </w:rPr>
      </w:pPr>
      <w:r w:rsidRPr="00833944">
        <w:rPr>
          <w:rFonts w:ascii="Simplified Arabic" w:hAnsi="Simplified Arabic" w:cs="Simplified Arabic"/>
          <w:sz w:val="10"/>
          <w:szCs w:val="10"/>
        </w:rPr>
        <w:t xml:space="preserve"> </w:t>
      </w:r>
    </w:p>
    <w:p w:rsidR="00E33D82" w:rsidRPr="00833944" w:rsidRDefault="00E33D82" w:rsidP="00FE5683">
      <w:pPr>
        <w:pStyle w:val="BlockText"/>
        <w:tabs>
          <w:tab w:val="right" w:pos="-142"/>
          <w:tab w:val="right" w:pos="426"/>
        </w:tabs>
        <w:autoSpaceDE/>
        <w:autoSpaceDN/>
        <w:spacing w:line="276" w:lineRule="auto"/>
        <w:ind w:left="0" w:right="0"/>
        <w:rPr>
          <w:rFonts w:ascii="Simplified Arabic" w:hAnsi="Simplified Arabic" w:cs="Simplified Arabic"/>
          <w:sz w:val="26"/>
          <w:szCs w:val="26"/>
        </w:rPr>
      </w:pPr>
      <w:r w:rsidRPr="00833944">
        <w:rPr>
          <w:rFonts w:ascii="Simplified Arabic" w:hAnsi="Simplified Arabic" w:cs="Simplified Arabic"/>
          <w:sz w:val="26"/>
          <w:szCs w:val="26"/>
          <w:rtl/>
        </w:rPr>
        <w:t>37</w:t>
      </w:r>
      <w:r w:rsidRPr="00833944">
        <w:rPr>
          <w:rFonts w:ascii="Simplified Arabic" w:hAnsi="Simplified Arabic" w:cs="Simplified Arabic"/>
          <w:sz w:val="26"/>
          <w:szCs w:val="26"/>
        </w:rPr>
        <w:t xml:space="preserve">% of establishments had to have delay payments to suppliers and employees, whereas </w:t>
      </w:r>
      <w:r w:rsidRPr="00833944">
        <w:rPr>
          <w:rFonts w:ascii="Simplified Arabic" w:hAnsi="Simplified Arabic" w:cs="Simplified Arabic"/>
          <w:sz w:val="26"/>
          <w:szCs w:val="26"/>
          <w:rtl/>
        </w:rPr>
        <w:t>36</w:t>
      </w:r>
      <w:r w:rsidRPr="00833944">
        <w:rPr>
          <w:rFonts w:ascii="Simplified Arabic" w:hAnsi="Simplified Arabic" w:cs="Simplified Arabic"/>
          <w:sz w:val="26"/>
          <w:szCs w:val="26"/>
        </w:rPr>
        <w:t>% of them had to get loans from friends, family, relatives to cover the shortage in cash flow.</w:t>
      </w:r>
    </w:p>
    <w:p w:rsidR="00C63082" w:rsidRPr="00833944" w:rsidRDefault="00C63082" w:rsidP="00FE5683">
      <w:pPr>
        <w:tabs>
          <w:tab w:val="left" w:pos="-1"/>
        </w:tabs>
        <w:bidi w:val="0"/>
        <w:spacing w:line="276" w:lineRule="auto"/>
        <w:jc w:val="both"/>
        <w:rPr>
          <w:rFonts w:ascii="Simplified Arabic" w:hAnsi="Simplified Arabic" w:cs="Simplified Arabic"/>
          <w:b/>
          <w:bCs/>
          <w:sz w:val="26"/>
          <w:szCs w:val="26"/>
          <w:rtl/>
        </w:rPr>
      </w:pPr>
    </w:p>
    <w:p w:rsidR="005D168A" w:rsidRPr="00833944" w:rsidRDefault="005D168A" w:rsidP="00FE5683">
      <w:pPr>
        <w:pStyle w:val="BlockText"/>
        <w:tabs>
          <w:tab w:val="right" w:pos="-142"/>
          <w:tab w:val="right" w:pos="426"/>
        </w:tabs>
        <w:autoSpaceDE/>
        <w:autoSpaceDN/>
        <w:spacing w:line="276" w:lineRule="auto"/>
        <w:ind w:left="0" w:right="720"/>
        <w:rPr>
          <w:rFonts w:ascii="Simplified Arabic" w:hAnsi="Simplified Arabic" w:cs="Simplified Arabic"/>
          <w:b/>
          <w:bCs/>
          <w:sz w:val="26"/>
          <w:szCs w:val="26"/>
        </w:rPr>
      </w:pPr>
      <w:r w:rsidRPr="00833944">
        <w:rPr>
          <w:rFonts w:ascii="Simplified Arabic" w:hAnsi="Simplified Arabic" w:cs="Simplified Arabic"/>
          <w:b/>
          <w:bCs/>
          <w:sz w:val="26"/>
          <w:szCs w:val="26"/>
        </w:rPr>
        <w:t xml:space="preserve">Impact on </w:t>
      </w:r>
      <w:r w:rsidR="000D673D" w:rsidRPr="00833944">
        <w:rPr>
          <w:rFonts w:ascii="Simplified Arabic" w:hAnsi="Simplified Arabic" w:cs="Simplified Arabic"/>
          <w:b/>
          <w:bCs/>
          <w:sz w:val="26"/>
          <w:szCs w:val="26"/>
        </w:rPr>
        <w:t>e</w:t>
      </w:r>
      <w:r w:rsidRPr="00833944">
        <w:rPr>
          <w:rFonts w:ascii="Simplified Arabic" w:hAnsi="Simplified Arabic" w:cs="Simplified Arabic"/>
          <w:b/>
          <w:bCs/>
          <w:sz w:val="26"/>
          <w:szCs w:val="26"/>
        </w:rPr>
        <w:t xml:space="preserve">mployment: (14% of establishments </w:t>
      </w:r>
      <w:r w:rsidR="000D673D" w:rsidRPr="00833944">
        <w:rPr>
          <w:rFonts w:ascii="Simplified Arabic" w:hAnsi="Simplified Arabic" w:cs="Simplified Arabic"/>
          <w:b/>
          <w:bCs/>
          <w:sz w:val="26"/>
          <w:szCs w:val="26"/>
        </w:rPr>
        <w:t>had</w:t>
      </w:r>
      <w:r w:rsidRPr="00833944">
        <w:rPr>
          <w:rFonts w:ascii="Simplified Arabic" w:hAnsi="Simplified Arabic" w:cs="Simplified Arabic"/>
          <w:b/>
          <w:bCs/>
          <w:sz w:val="26"/>
          <w:szCs w:val="26"/>
        </w:rPr>
        <w:t xml:space="preserve"> to </w:t>
      </w:r>
      <w:r w:rsidR="000D673D" w:rsidRPr="00833944">
        <w:rPr>
          <w:rFonts w:ascii="Simplified Arabic" w:hAnsi="Simplified Arabic" w:cs="Simplified Arabic"/>
          <w:b/>
          <w:bCs/>
          <w:sz w:val="26"/>
          <w:szCs w:val="26"/>
        </w:rPr>
        <w:t>let their employees go in order to face the financial</w:t>
      </w:r>
      <w:r w:rsidRPr="00833944">
        <w:rPr>
          <w:rFonts w:ascii="Simplified Arabic" w:hAnsi="Simplified Arabic" w:cs="Simplified Arabic"/>
          <w:b/>
          <w:bCs/>
          <w:sz w:val="26"/>
          <w:szCs w:val="26"/>
        </w:rPr>
        <w:t xml:space="preserve"> crisis)</w:t>
      </w:r>
    </w:p>
    <w:p w:rsidR="005D168A" w:rsidRPr="00833944" w:rsidRDefault="005D168A" w:rsidP="00FE5683">
      <w:pPr>
        <w:pStyle w:val="BlockText"/>
        <w:tabs>
          <w:tab w:val="right" w:pos="-142"/>
          <w:tab w:val="right" w:pos="426"/>
        </w:tabs>
        <w:autoSpaceDE/>
        <w:autoSpaceDN/>
        <w:spacing w:line="276" w:lineRule="auto"/>
        <w:ind w:left="0" w:right="0"/>
        <w:rPr>
          <w:rFonts w:ascii="Simplified Arabic" w:hAnsi="Simplified Arabic" w:cs="Simplified Arabic"/>
          <w:b/>
          <w:bCs/>
          <w:sz w:val="10"/>
          <w:szCs w:val="10"/>
        </w:rPr>
      </w:pPr>
    </w:p>
    <w:p w:rsidR="005D168A" w:rsidRPr="00833944" w:rsidRDefault="005D168A" w:rsidP="00FE5683">
      <w:pPr>
        <w:pStyle w:val="BlockText"/>
        <w:tabs>
          <w:tab w:val="right" w:pos="-142"/>
          <w:tab w:val="right" w:pos="426"/>
        </w:tabs>
        <w:autoSpaceDE/>
        <w:autoSpaceDN/>
        <w:spacing w:line="276" w:lineRule="auto"/>
        <w:ind w:left="0" w:right="0"/>
        <w:rPr>
          <w:rFonts w:ascii="Simplified Arabic" w:hAnsi="Simplified Arabic" w:cs="Simplified Arabic"/>
          <w:sz w:val="26"/>
          <w:szCs w:val="26"/>
        </w:rPr>
      </w:pPr>
      <w:r w:rsidRPr="00833944">
        <w:rPr>
          <w:rFonts w:ascii="Simplified Arabic" w:hAnsi="Simplified Arabic" w:cs="Simplified Arabic"/>
          <w:noProof/>
          <w:sz w:val="26"/>
          <w:szCs w:val="26"/>
          <w:lang w:eastAsia="en-US"/>
        </w:rPr>
        <w:t>As</w:t>
      </w:r>
      <w:r w:rsidRPr="00833944">
        <w:rPr>
          <w:rFonts w:ascii="Simplified Arabic" w:hAnsi="Simplified Arabic" w:cs="Simplified Arabic"/>
          <w:sz w:val="26"/>
          <w:szCs w:val="26"/>
        </w:rPr>
        <w:t xml:space="preserve"> a response to COVID-19</w:t>
      </w:r>
      <w:r w:rsidRPr="00833944">
        <w:rPr>
          <w:rFonts w:ascii="Simplified Arabic" w:hAnsi="Simplified Arabic" w:cs="Simplified Arabic"/>
          <w:b/>
          <w:bCs/>
          <w:sz w:val="26"/>
          <w:szCs w:val="26"/>
        </w:rPr>
        <w:t xml:space="preserve"> </w:t>
      </w:r>
      <w:r w:rsidRPr="00833944">
        <w:rPr>
          <w:rFonts w:ascii="Simplified Arabic" w:hAnsi="Simplified Arabic" w:cs="Simplified Arabic"/>
          <w:sz w:val="26"/>
          <w:szCs w:val="26"/>
        </w:rPr>
        <w:t xml:space="preserve">pandemic, 14% of the establishments </w:t>
      </w:r>
      <w:r w:rsidR="000D673D" w:rsidRPr="00833944">
        <w:rPr>
          <w:rFonts w:ascii="Simplified Arabic" w:hAnsi="Simplified Arabic" w:cs="Simplified Arabic"/>
          <w:sz w:val="26"/>
          <w:szCs w:val="26"/>
        </w:rPr>
        <w:t>had</w:t>
      </w:r>
      <w:r w:rsidRPr="00833944">
        <w:rPr>
          <w:rFonts w:ascii="Simplified Arabic" w:hAnsi="Simplified Arabic" w:cs="Simplified Arabic"/>
          <w:sz w:val="26"/>
          <w:szCs w:val="26"/>
        </w:rPr>
        <w:t xml:space="preserve"> </w:t>
      </w:r>
      <w:r w:rsidR="000D673D" w:rsidRPr="00833944">
        <w:rPr>
          <w:rFonts w:ascii="Simplified Arabic" w:hAnsi="Simplified Arabic" w:cs="Simplified Arabic"/>
          <w:sz w:val="26"/>
          <w:szCs w:val="26"/>
        </w:rPr>
        <w:t>to dismiss and let go</w:t>
      </w:r>
      <w:r w:rsidRPr="00833944">
        <w:rPr>
          <w:rFonts w:ascii="Simplified Arabic" w:hAnsi="Simplified Arabic" w:cs="Simplified Arabic"/>
          <w:sz w:val="26"/>
          <w:szCs w:val="26"/>
        </w:rPr>
        <w:t xml:space="preserve"> their</w:t>
      </w:r>
      <w:r w:rsidR="000D673D" w:rsidRPr="00833944">
        <w:rPr>
          <w:rFonts w:ascii="Simplified Arabic" w:hAnsi="Simplified Arabic" w:cs="Simplified Arabic"/>
          <w:sz w:val="26"/>
          <w:szCs w:val="26"/>
        </w:rPr>
        <w:t xml:space="preserve"> employees to face the financial crisis resulted from the Coronavirus pandemic. </w:t>
      </w:r>
    </w:p>
    <w:p w:rsidR="005D168A" w:rsidRPr="00833944" w:rsidRDefault="005D168A" w:rsidP="00FE5683">
      <w:pPr>
        <w:pStyle w:val="BlockText"/>
        <w:tabs>
          <w:tab w:val="right" w:pos="-142"/>
          <w:tab w:val="right" w:pos="426"/>
        </w:tabs>
        <w:autoSpaceDE/>
        <w:autoSpaceDN/>
        <w:spacing w:line="276" w:lineRule="auto"/>
        <w:ind w:left="0" w:right="0"/>
        <w:rPr>
          <w:rFonts w:ascii="Simplified Arabic" w:hAnsi="Simplified Arabic" w:cs="Simplified Arabic"/>
          <w:sz w:val="26"/>
          <w:szCs w:val="26"/>
        </w:rPr>
      </w:pPr>
      <w:r w:rsidRPr="00833944">
        <w:rPr>
          <w:rFonts w:ascii="Simplified Arabic" w:hAnsi="Simplified Arabic" w:cs="Simplified Arabic"/>
          <w:sz w:val="26"/>
          <w:szCs w:val="26"/>
        </w:rPr>
        <w:t xml:space="preserve">Whereas 9% of the establishments </w:t>
      </w:r>
      <w:r w:rsidR="000D673D" w:rsidRPr="00833944">
        <w:rPr>
          <w:rFonts w:ascii="Simplified Arabic" w:hAnsi="Simplified Arabic" w:cs="Simplified Arabic"/>
          <w:sz w:val="26"/>
          <w:szCs w:val="26"/>
        </w:rPr>
        <w:t>reduced</w:t>
      </w:r>
      <w:r w:rsidRPr="00833944">
        <w:rPr>
          <w:rFonts w:ascii="Simplified Arabic" w:hAnsi="Simplified Arabic" w:cs="Simplified Arabic"/>
          <w:sz w:val="26"/>
          <w:szCs w:val="26"/>
        </w:rPr>
        <w:t xml:space="preserve"> the salaries and wages of their employees</w:t>
      </w:r>
      <w:r w:rsidR="000D673D" w:rsidRPr="00833944">
        <w:rPr>
          <w:rFonts w:ascii="Simplified Arabic" w:hAnsi="Simplified Arabic" w:cs="Simplified Arabic"/>
          <w:sz w:val="26"/>
          <w:szCs w:val="26"/>
        </w:rPr>
        <w:t>, and 11% of them gave their</w:t>
      </w:r>
      <w:r w:rsidRPr="00833944">
        <w:rPr>
          <w:rFonts w:ascii="Simplified Arabic" w:hAnsi="Simplified Arabic" w:cs="Simplified Arabic"/>
          <w:sz w:val="26"/>
          <w:szCs w:val="26"/>
        </w:rPr>
        <w:t xml:space="preserve"> employees </w:t>
      </w:r>
      <w:r w:rsidR="000D673D" w:rsidRPr="00833944">
        <w:rPr>
          <w:rFonts w:ascii="Simplified Arabic" w:hAnsi="Simplified Arabic" w:cs="Simplified Arabic"/>
          <w:sz w:val="26"/>
          <w:szCs w:val="26"/>
        </w:rPr>
        <w:t>unpaid leave while</w:t>
      </w:r>
      <w:r w:rsidRPr="00833944">
        <w:rPr>
          <w:rFonts w:ascii="Simplified Arabic" w:hAnsi="Simplified Arabic" w:cs="Simplified Arabic"/>
          <w:sz w:val="26"/>
          <w:szCs w:val="26"/>
        </w:rPr>
        <w:t xml:space="preserve"> </w:t>
      </w:r>
      <w:r w:rsidR="000D673D" w:rsidRPr="00833944">
        <w:rPr>
          <w:rFonts w:ascii="Simplified Arabic" w:hAnsi="Simplified Arabic" w:cs="Simplified Arabic"/>
          <w:sz w:val="26"/>
          <w:szCs w:val="26"/>
        </w:rPr>
        <w:t>9% of them gave their employees a</w:t>
      </w:r>
      <w:r w:rsidRPr="00833944">
        <w:rPr>
          <w:rFonts w:ascii="Simplified Arabic" w:hAnsi="Simplified Arabic" w:cs="Simplified Arabic"/>
          <w:sz w:val="26"/>
          <w:szCs w:val="26"/>
        </w:rPr>
        <w:t xml:space="preserve"> </w:t>
      </w:r>
      <w:r w:rsidR="000D673D" w:rsidRPr="00833944">
        <w:rPr>
          <w:rFonts w:ascii="Simplified Arabic" w:hAnsi="Simplified Arabic" w:cs="Simplified Arabic"/>
          <w:sz w:val="26"/>
          <w:szCs w:val="26"/>
        </w:rPr>
        <w:t>paid leave.</w:t>
      </w:r>
    </w:p>
    <w:p w:rsidR="00DC1621" w:rsidRPr="00833944" w:rsidRDefault="00DC1621" w:rsidP="00FE5683">
      <w:pPr>
        <w:pStyle w:val="BlockText"/>
        <w:tabs>
          <w:tab w:val="right" w:pos="-142"/>
          <w:tab w:val="right" w:pos="426"/>
        </w:tabs>
        <w:autoSpaceDE/>
        <w:autoSpaceDN/>
        <w:spacing w:line="276" w:lineRule="auto"/>
        <w:ind w:left="0" w:right="0"/>
        <w:rPr>
          <w:rFonts w:ascii="Simplified Arabic" w:hAnsi="Simplified Arabic" w:cs="Simplified Arabic"/>
          <w:sz w:val="10"/>
          <w:szCs w:val="10"/>
        </w:rPr>
      </w:pPr>
    </w:p>
    <w:p w:rsidR="002A5D77" w:rsidRPr="00833944" w:rsidRDefault="00DC1621" w:rsidP="00FE5683">
      <w:pPr>
        <w:tabs>
          <w:tab w:val="left" w:pos="-1"/>
        </w:tabs>
        <w:bidi w:val="0"/>
        <w:spacing w:line="276" w:lineRule="auto"/>
        <w:jc w:val="both"/>
        <w:rPr>
          <w:rFonts w:ascii="Simplified Arabic" w:hAnsi="Simplified Arabic" w:cs="Simplified Arabic"/>
          <w:sz w:val="26"/>
          <w:szCs w:val="26"/>
          <w:rtl/>
        </w:rPr>
      </w:pPr>
      <w:r w:rsidRPr="00833944">
        <w:rPr>
          <w:rFonts w:ascii="Simplified Arabic" w:hAnsi="Simplified Arabic" w:cs="Simplified Arabic"/>
          <w:b/>
          <w:bCs/>
          <w:sz w:val="26"/>
          <w:szCs w:val="26"/>
        </w:rPr>
        <w:t>Use of Digital Solutions: (12% of the establishments started using or have increased the use of digital solutions as a response to COVID-19 outbreak)</w:t>
      </w:r>
    </w:p>
    <w:p w:rsidR="000B7B9B" w:rsidRPr="00833944" w:rsidRDefault="000B7B9B" w:rsidP="00FE5683">
      <w:pPr>
        <w:tabs>
          <w:tab w:val="left" w:pos="-1"/>
        </w:tabs>
        <w:bidi w:val="0"/>
        <w:spacing w:line="276" w:lineRule="auto"/>
        <w:jc w:val="both"/>
        <w:rPr>
          <w:rFonts w:ascii="Simplified Arabic" w:hAnsi="Simplified Arabic" w:cs="Simplified Arabic"/>
          <w:b/>
          <w:bCs/>
          <w:sz w:val="10"/>
          <w:szCs w:val="10"/>
        </w:rPr>
      </w:pPr>
    </w:p>
    <w:p w:rsidR="000B7B9B" w:rsidRPr="00833944" w:rsidRDefault="000B7B9B" w:rsidP="00FE5683">
      <w:pPr>
        <w:tabs>
          <w:tab w:val="left" w:pos="-1"/>
        </w:tabs>
        <w:bidi w:val="0"/>
        <w:spacing w:line="276" w:lineRule="auto"/>
        <w:jc w:val="both"/>
        <w:rPr>
          <w:rFonts w:ascii="Simplified Arabic" w:hAnsi="Simplified Arabic" w:cs="Simplified Arabic"/>
          <w:sz w:val="26"/>
          <w:szCs w:val="26"/>
        </w:rPr>
      </w:pPr>
      <w:r w:rsidRPr="00833944">
        <w:rPr>
          <w:rFonts w:ascii="Simplified Arabic" w:hAnsi="Simplified Arabic" w:cs="Simplified Arabic"/>
          <w:sz w:val="26"/>
          <w:szCs w:val="26"/>
        </w:rPr>
        <w:t xml:space="preserve"> 12% of </w:t>
      </w:r>
      <w:r w:rsidR="00DC1621" w:rsidRPr="00833944">
        <w:rPr>
          <w:rFonts w:ascii="Simplified Arabic" w:hAnsi="Simplified Arabic" w:cs="Simplified Arabic"/>
          <w:sz w:val="26"/>
          <w:szCs w:val="26"/>
        </w:rPr>
        <w:t xml:space="preserve">the </w:t>
      </w:r>
      <w:r w:rsidRPr="00833944">
        <w:rPr>
          <w:rFonts w:ascii="Simplified Arabic" w:hAnsi="Simplified Arabic" w:cs="Simplified Arabic"/>
          <w:sz w:val="26"/>
          <w:szCs w:val="26"/>
        </w:rPr>
        <w:t>establishments started using or have increased the use of internet, online social media networks, specialized apps or digital platforms in response to COVID-19 outbreak; whereas the main use of such digital solutions was for marketing with a</w:t>
      </w:r>
      <w:r w:rsidRPr="00833944">
        <w:rPr>
          <w:rFonts w:ascii="Simplified Arabic" w:hAnsi="Simplified Arabic" w:cs="Simplified Arabic"/>
          <w:b/>
          <w:bCs/>
          <w:sz w:val="26"/>
          <w:szCs w:val="26"/>
        </w:rPr>
        <w:t xml:space="preserve"> </w:t>
      </w:r>
      <w:r w:rsidRPr="00833944">
        <w:rPr>
          <w:rFonts w:ascii="Simplified Arabic" w:hAnsi="Simplified Arabic" w:cs="Simplified Arabic"/>
          <w:sz w:val="26"/>
          <w:szCs w:val="26"/>
        </w:rPr>
        <w:t xml:space="preserve">percentage of 67%, </w:t>
      </w:r>
      <w:r w:rsidRPr="00833944">
        <w:rPr>
          <w:rFonts w:ascii="Simplified Arabic" w:hAnsi="Simplified Arabic" w:cs="Simplified Arabic"/>
          <w:sz w:val="26"/>
          <w:szCs w:val="26"/>
        </w:rPr>
        <w:lastRenderedPageBreak/>
        <w:t>54% for business administration and 44% for sale.</w:t>
      </w:r>
      <w:r w:rsidR="00DC1621" w:rsidRPr="00833944">
        <w:rPr>
          <w:rFonts w:ascii="Simplified Arabic" w:hAnsi="Simplified Arabic" w:cs="Simplified Arabic"/>
          <w:sz w:val="26"/>
          <w:szCs w:val="26"/>
        </w:rPr>
        <w:t xml:space="preserve"> According to the results of the survey, there is a direction by the government to turn into digital economy, where MONE managed to make its services available online to ensure the fulfillment of transactions, especially import and export operations. Moreover, there are relentless efforts made by MONE to provide technical support for establishments for training them on the requirements of shifting to online services and qualify staffs to face the emerging needs. </w:t>
      </w:r>
    </w:p>
    <w:p w:rsidR="000B7B9B" w:rsidRPr="00833944" w:rsidRDefault="000B7B9B" w:rsidP="00FE5683">
      <w:pPr>
        <w:tabs>
          <w:tab w:val="left" w:pos="-1"/>
        </w:tabs>
        <w:bidi w:val="0"/>
        <w:spacing w:line="276" w:lineRule="auto"/>
        <w:jc w:val="both"/>
        <w:rPr>
          <w:rFonts w:ascii="Simplified Arabic" w:hAnsi="Simplified Arabic" w:cs="Simplified Arabic"/>
          <w:sz w:val="26"/>
          <w:szCs w:val="26"/>
        </w:rPr>
      </w:pPr>
    </w:p>
    <w:p w:rsidR="000B7B9B" w:rsidRPr="00833944" w:rsidRDefault="00DC1621" w:rsidP="00817961">
      <w:pPr>
        <w:tabs>
          <w:tab w:val="left" w:pos="-1"/>
        </w:tabs>
        <w:bidi w:val="0"/>
        <w:spacing w:line="276" w:lineRule="auto"/>
        <w:jc w:val="both"/>
        <w:rPr>
          <w:rFonts w:ascii="Simplified Arabic" w:hAnsi="Simplified Arabic" w:cs="Simplified Arabic"/>
          <w:sz w:val="26"/>
          <w:szCs w:val="26"/>
        </w:rPr>
      </w:pPr>
      <w:r w:rsidRPr="00833944">
        <w:rPr>
          <w:rFonts w:ascii="Simplified Arabic" w:hAnsi="Simplified Arabic" w:cs="Simplified Arabic"/>
          <w:sz w:val="26"/>
          <w:szCs w:val="26"/>
        </w:rPr>
        <w:t>During the last three months</w:t>
      </w:r>
      <w:r w:rsidR="000B7B9B" w:rsidRPr="00833944">
        <w:rPr>
          <w:rFonts w:ascii="Simplified Arabic" w:hAnsi="Simplified Arabic" w:cs="Simplified Arabic"/>
          <w:sz w:val="26"/>
          <w:szCs w:val="26"/>
        </w:rPr>
        <w:t xml:space="preserve"> </w:t>
      </w:r>
      <w:r w:rsidRPr="00833944">
        <w:rPr>
          <w:rFonts w:ascii="Simplified Arabic" w:hAnsi="Simplified Arabic" w:cs="Simplified Arabic"/>
          <w:sz w:val="26"/>
          <w:szCs w:val="26"/>
        </w:rPr>
        <w:t>(</w:t>
      </w:r>
      <w:r w:rsidR="000B7B9B" w:rsidRPr="00833944">
        <w:rPr>
          <w:rFonts w:ascii="Simplified Arabic" w:hAnsi="Simplified Arabic" w:cs="Simplified Arabic"/>
          <w:sz w:val="26"/>
          <w:szCs w:val="26"/>
        </w:rPr>
        <w:t>88 days</w:t>
      </w:r>
      <w:r w:rsidRPr="00833944">
        <w:rPr>
          <w:rFonts w:ascii="Simplified Arabic" w:hAnsi="Simplified Arabic" w:cs="Simplified Arabic"/>
          <w:sz w:val="26"/>
          <w:szCs w:val="26"/>
        </w:rPr>
        <w:t>) starting from</w:t>
      </w:r>
      <w:r w:rsidR="000B7B9B" w:rsidRPr="00833944">
        <w:rPr>
          <w:rFonts w:ascii="Simplified Arabic" w:hAnsi="Simplified Arabic" w:cs="Simplified Arabic"/>
          <w:sz w:val="26"/>
          <w:szCs w:val="26"/>
        </w:rPr>
        <w:t xml:space="preserve"> March 5</w:t>
      </w:r>
      <w:r w:rsidR="000B7B9B" w:rsidRPr="00833944">
        <w:rPr>
          <w:rFonts w:ascii="Simplified Arabic" w:hAnsi="Simplified Arabic" w:cs="Simplified Arabic"/>
          <w:sz w:val="26"/>
          <w:szCs w:val="26"/>
          <w:vertAlign w:val="superscript"/>
        </w:rPr>
        <w:t>th</w:t>
      </w:r>
      <w:r w:rsidR="000B7B9B" w:rsidRPr="00833944">
        <w:rPr>
          <w:rFonts w:ascii="Simplified Arabic" w:hAnsi="Simplified Arabic" w:cs="Simplified Arabic"/>
          <w:sz w:val="26"/>
          <w:szCs w:val="26"/>
        </w:rPr>
        <w:t xml:space="preserve"> </w:t>
      </w:r>
      <w:r w:rsidRPr="00833944">
        <w:rPr>
          <w:rFonts w:ascii="Simplified Arabic" w:hAnsi="Simplified Arabic" w:cs="Simplified Arabic"/>
          <w:sz w:val="26"/>
          <w:szCs w:val="26"/>
        </w:rPr>
        <w:t>until</w:t>
      </w:r>
      <w:r w:rsidR="000B7B9B" w:rsidRPr="00833944">
        <w:rPr>
          <w:rFonts w:ascii="Simplified Arabic" w:hAnsi="Simplified Arabic" w:cs="Simplified Arabic"/>
          <w:sz w:val="26"/>
          <w:szCs w:val="26"/>
        </w:rPr>
        <w:t xml:space="preserve"> May 31</w:t>
      </w:r>
      <w:r w:rsidR="000B7B9B" w:rsidRPr="00833944">
        <w:rPr>
          <w:rFonts w:ascii="Simplified Arabic" w:hAnsi="Simplified Arabic" w:cs="Simplified Arabic"/>
          <w:sz w:val="26"/>
          <w:szCs w:val="26"/>
          <w:vertAlign w:val="superscript"/>
        </w:rPr>
        <w:t>st</w:t>
      </w:r>
      <w:r w:rsidR="000B7B9B" w:rsidRPr="00833944">
        <w:rPr>
          <w:rFonts w:ascii="Simplified Arabic" w:hAnsi="Simplified Arabic" w:cs="Simplified Arabic"/>
          <w:sz w:val="26"/>
          <w:szCs w:val="26"/>
        </w:rPr>
        <w:t>, 2020), establishments reported that the percentage of employees who are currently working remotely from home was</w:t>
      </w:r>
      <w:r w:rsidR="000B7B9B" w:rsidRPr="00833944">
        <w:rPr>
          <w:rFonts w:ascii="Simplified Arabic" w:hAnsi="Simplified Arabic" w:cs="Simplified Arabic"/>
          <w:b/>
          <w:bCs/>
          <w:sz w:val="26"/>
          <w:szCs w:val="26"/>
        </w:rPr>
        <w:t xml:space="preserve"> </w:t>
      </w:r>
      <w:r w:rsidR="000B7B9B" w:rsidRPr="00833944">
        <w:rPr>
          <w:rFonts w:ascii="Simplified Arabic" w:hAnsi="Simplified Arabic" w:cs="Simplified Arabic"/>
          <w:sz w:val="26"/>
          <w:szCs w:val="26"/>
        </w:rPr>
        <w:t xml:space="preserve">5% of the total number of employees; mainly in the telecommunication sector (17% of the total number of employees) and construction sector (12% of the total number of employees). The main results </w:t>
      </w:r>
      <w:r w:rsidRPr="00833944">
        <w:rPr>
          <w:rFonts w:ascii="Simplified Arabic" w:hAnsi="Simplified Arabic" w:cs="Simplified Arabic"/>
          <w:sz w:val="26"/>
          <w:szCs w:val="26"/>
        </w:rPr>
        <w:t xml:space="preserve">also </w:t>
      </w:r>
      <w:r w:rsidR="000B7B9B" w:rsidRPr="00833944">
        <w:rPr>
          <w:rFonts w:ascii="Simplified Arabic" w:hAnsi="Simplified Arabic" w:cs="Simplified Arabic"/>
          <w:sz w:val="26"/>
          <w:szCs w:val="26"/>
        </w:rPr>
        <w:t xml:space="preserve">showed that </w:t>
      </w:r>
      <w:r w:rsidRPr="00833944">
        <w:rPr>
          <w:rFonts w:ascii="Simplified Arabic" w:hAnsi="Simplified Arabic" w:cs="Simplified Arabic"/>
          <w:sz w:val="26"/>
          <w:szCs w:val="26"/>
        </w:rPr>
        <w:t xml:space="preserve">the </w:t>
      </w:r>
      <w:r w:rsidR="000B7B9B" w:rsidRPr="00833944">
        <w:rPr>
          <w:rFonts w:ascii="Simplified Arabic" w:hAnsi="Simplified Arabic" w:cs="Simplified Arabic"/>
          <w:sz w:val="26"/>
          <w:szCs w:val="26"/>
        </w:rPr>
        <w:t xml:space="preserve">highest percentage of employees </w:t>
      </w:r>
      <w:r w:rsidRPr="00833944">
        <w:rPr>
          <w:rFonts w:ascii="Simplified Arabic" w:hAnsi="Simplified Arabic" w:cs="Simplified Arabic"/>
          <w:sz w:val="26"/>
          <w:szCs w:val="26"/>
        </w:rPr>
        <w:t xml:space="preserve">who were </w:t>
      </w:r>
      <w:r w:rsidR="000B7B9B" w:rsidRPr="00833944">
        <w:rPr>
          <w:rFonts w:ascii="Simplified Arabic" w:hAnsi="Simplified Arabic" w:cs="Simplified Arabic"/>
          <w:sz w:val="26"/>
          <w:szCs w:val="26"/>
        </w:rPr>
        <w:t xml:space="preserve">working remotely from home </w:t>
      </w:r>
      <w:r w:rsidRPr="00833944">
        <w:rPr>
          <w:rFonts w:ascii="Simplified Arabic" w:hAnsi="Simplified Arabic" w:cs="Simplified Arabic"/>
          <w:sz w:val="26"/>
          <w:szCs w:val="26"/>
        </w:rPr>
        <w:t xml:space="preserve">was among large establishments with a percentage of </w:t>
      </w:r>
      <w:r w:rsidR="000B7B9B" w:rsidRPr="00833944">
        <w:rPr>
          <w:rFonts w:ascii="Simplified Arabic" w:hAnsi="Simplified Arabic" w:cs="Simplified Arabic"/>
          <w:sz w:val="26"/>
          <w:szCs w:val="26"/>
        </w:rPr>
        <w:t>(14%)</w:t>
      </w:r>
      <w:r w:rsidRPr="00833944">
        <w:rPr>
          <w:rFonts w:ascii="Simplified Arabic" w:hAnsi="Simplified Arabic" w:cs="Simplified Arabic"/>
          <w:sz w:val="26"/>
          <w:szCs w:val="26"/>
        </w:rPr>
        <w:t>.</w:t>
      </w:r>
    </w:p>
    <w:p w:rsidR="002A5D77" w:rsidRPr="00833944" w:rsidRDefault="002A5D77" w:rsidP="00FE5683">
      <w:pPr>
        <w:bidi w:val="0"/>
        <w:spacing w:line="276" w:lineRule="auto"/>
        <w:jc w:val="both"/>
        <w:rPr>
          <w:rFonts w:ascii="Simplified Arabic" w:hAnsi="Simplified Arabic" w:cs="Simplified Arabic"/>
          <w:sz w:val="26"/>
          <w:szCs w:val="26"/>
        </w:rPr>
      </w:pPr>
      <w:r w:rsidRPr="00833944">
        <w:rPr>
          <w:rFonts w:ascii="Simplified Arabic" w:hAnsi="Simplified Arabic" w:cs="Simplified Arabic"/>
          <w:sz w:val="26"/>
          <w:szCs w:val="26"/>
          <w:rtl/>
        </w:rPr>
        <w:t xml:space="preserve"> </w:t>
      </w:r>
    </w:p>
    <w:p w:rsidR="00833944" w:rsidRDefault="00093483" w:rsidP="00817961">
      <w:pPr>
        <w:bidi w:val="0"/>
        <w:spacing w:line="276" w:lineRule="auto"/>
        <w:jc w:val="both"/>
        <w:rPr>
          <w:rFonts w:ascii="Simplified Arabic" w:hAnsi="Simplified Arabic" w:cs="Simplified Arabic"/>
          <w:b/>
          <w:bCs/>
          <w:sz w:val="26"/>
          <w:szCs w:val="26"/>
        </w:rPr>
      </w:pPr>
      <w:r w:rsidRPr="00833944">
        <w:rPr>
          <w:rFonts w:ascii="Simplified Arabic" w:hAnsi="Simplified Arabic" w:cs="Simplified Arabic"/>
          <w:b/>
          <w:bCs/>
          <w:sz w:val="26"/>
          <w:szCs w:val="26"/>
        </w:rPr>
        <w:t>Needed policies: (72% of establishments chose utility subsidies as the most needed policies to support their businesses)</w:t>
      </w:r>
    </w:p>
    <w:p w:rsidR="00093483" w:rsidRPr="00833944" w:rsidRDefault="00093483" w:rsidP="00833944">
      <w:pPr>
        <w:bidi w:val="0"/>
        <w:spacing w:line="276" w:lineRule="auto"/>
        <w:jc w:val="both"/>
        <w:rPr>
          <w:rFonts w:ascii="Simplified Arabic" w:hAnsi="Simplified Arabic" w:cs="Simplified Arabic"/>
          <w:sz w:val="26"/>
          <w:szCs w:val="26"/>
        </w:rPr>
      </w:pPr>
      <w:r w:rsidRPr="00833944">
        <w:rPr>
          <w:rFonts w:ascii="Simplified Arabic" w:hAnsi="Simplified Arabic" w:cs="Simplified Arabic"/>
          <w:sz w:val="26"/>
          <w:szCs w:val="26"/>
        </w:rPr>
        <w:br/>
        <w:t>72% of the establishments chose utility subsidies such</w:t>
      </w:r>
      <w:r w:rsidR="00817961" w:rsidRPr="00833944">
        <w:rPr>
          <w:rFonts w:ascii="Simplified Arabic" w:hAnsi="Simplified Arabic" w:cs="Simplified Arabic"/>
          <w:sz w:val="26"/>
          <w:szCs w:val="26"/>
        </w:rPr>
        <w:t xml:space="preserve"> as </w:t>
      </w:r>
      <w:r w:rsidRPr="00833944">
        <w:rPr>
          <w:rFonts w:ascii="Simplified Arabic" w:hAnsi="Simplified Arabic" w:cs="Simplified Arabic"/>
          <w:sz w:val="26"/>
          <w:szCs w:val="26"/>
        </w:rPr>
        <w:t>electricity, water, wastewater, internet services, and others, as the most needed policies to support their businesses over COVID</w:t>
      </w:r>
      <w:r w:rsidR="00817961" w:rsidRPr="00833944">
        <w:rPr>
          <w:rFonts w:ascii="Simplified Arabic" w:hAnsi="Simplified Arabic" w:cs="Simplified Arabic"/>
          <w:sz w:val="26"/>
          <w:szCs w:val="26"/>
        </w:rPr>
        <w:t>-</w:t>
      </w:r>
      <w:r w:rsidRPr="00833944">
        <w:rPr>
          <w:rFonts w:ascii="Simplified Arabic" w:hAnsi="Simplified Arabic" w:cs="Simplified Arabic"/>
          <w:sz w:val="26"/>
          <w:szCs w:val="26"/>
        </w:rPr>
        <w:t>19 crisis. While 53% of the establishments chose exemptions or tax deductions, followed by salary subsidies with 53% and 51% for rental deferral.</w:t>
      </w:r>
    </w:p>
    <w:p w:rsidR="004A1E02" w:rsidRPr="00833944" w:rsidRDefault="001A0995" w:rsidP="001A0995">
      <w:pPr>
        <w:bidi w:val="0"/>
        <w:spacing w:line="276" w:lineRule="auto"/>
        <w:jc w:val="both"/>
        <w:rPr>
          <w:rFonts w:ascii="Simplified Arabic" w:hAnsi="Simplified Arabic" w:cs="Simplified Arabic"/>
          <w:sz w:val="26"/>
          <w:szCs w:val="26"/>
          <w:lang w:bidi="ar-EG"/>
        </w:rPr>
      </w:pPr>
      <w:r w:rsidRPr="00833944">
        <w:rPr>
          <w:rFonts w:ascii="Simplified Arabic" w:hAnsi="Simplified Arabic" w:cs="Simplified Arabic"/>
          <w:sz w:val="26"/>
          <w:szCs w:val="26"/>
          <w:lang w:bidi="ar-EG"/>
        </w:rPr>
        <w:t xml:space="preserve">Furthermore, </w:t>
      </w:r>
      <w:r w:rsidR="006B30B0" w:rsidRPr="00833944">
        <w:rPr>
          <w:rFonts w:ascii="Simplified Arabic" w:hAnsi="Simplified Arabic" w:cs="Simplified Arabic"/>
          <w:sz w:val="26"/>
          <w:szCs w:val="26"/>
          <w:lang w:bidi="ar-EG"/>
        </w:rPr>
        <w:t>(MONE)</w:t>
      </w:r>
      <w:r w:rsidRPr="00833944">
        <w:rPr>
          <w:rFonts w:ascii="Simplified Arabic" w:hAnsi="Simplified Arabic" w:cs="Simplified Arabic"/>
          <w:sz w:val="26"/>
          <w:szCs w:val="26"/>
          <w:lang w:bidi="ar-EG"/>
        </w:rPr>
        <w:t xml:space="preserve"> </w:t>
      </w:r>
      <w:r w:rsidR="006B30B0" w:rsidRPr="00833944">
        <w:rPr>
          <w:rFonts w:ascii="Simplified Arabic" w:hAnsi="Simplified Arabic" w:cs="Simplified Arabic"/>
          <w:sz w:val="26"/>
          <w:szCs w:val="26"/>
          <w:lang w:bidi="ar-EG"/>
        </w:rPr>
        <w:t xml:space="preserve">considered that those priorities might identify the interventions that are to be designed with donor partners in order to face the effects of the health pandemic. </w:t>
      </w:r>
      <w:r w:rsidRPr="00833944">
        <w:rPr>
          <w:rFonts w:ascii="Simplified Arabic" w:hAnsi="Simplified Arabic" w:cs="Simplified Arabic"/>
          <w:sz w:val="26"/>
          <w:szCs w:val="26"/>
          <w:lang w:bidi="ar-EG"/>
        </w:rPr>
        <w:t xml:space="preserve">The ministry </w:t>
      </w:r>
      <w:r w:rsidR="006B30B0" w:rsidRPr="00833944">
        <w:rPr>
          <w:rFonts w:ascii="Simplified Arabic" w:hAnsi="Simplified Arabic" w:cs="Simplified Arabic"/>
          <w:sz w:val="26"/>
          <w:szCs w:val="26"/>
          <w:lang w:bidi="ar-EG"/>
        </w:rPr>
        <w:t xml:space="preserve">confirmed the readiness and willingness of the World Bank to increase its support of USD 9 million, including programs for supporting establishments negatively impacted by the health pandemic of COVID 19. </w:t>
      </w:r>
    </w:p>
    <w:p w:rsidR="000B7B9B" w:rsidRPr="00833944" w:rsidRDefault="00093483" w:rsidP="00FE5683">
      <w:pPr>
        <w:pStyle w:val="BlockText"/>
        <w:tabs>
          <w:tab w:val="right" w:pos="0"/>
        </w:tabs>
        <w:autoSpaceDE/>
        <w:autoSpaceDN/>
        <w:spacing w:line="276" w:lineRule="auto"/>
        <w:ind w:left="0" w:right="720"/>
        <w:rPr>
          <w:rFonts w:ascii="Simplified Arabic" w:hAnsi="Simplified Arabic" w:cs="Simplified Arabic"/>
          <w:b/>
          <w:bCs/>
          <w:sz w:val="26"/>
          <w:szCs w:val="26"/>
        </w:rPr>
      </w:pPr>
      <w:r w:rsidRPr="00833944">
        <w:rPr>
          <w:rFonts w:ascii="Simplified Arabic" w:hAnsi="Simplified Arabic" w:cs="Simplified Arabic"/>
          <w:b/>
          <w:bCs/>
          <w:sz w:val="26"/>
          <w:szCs w:val="26"/>
        </w:rPr>
        <w:lastRenderedPageBreak/>
        <w:t>Future vision</w:t>
      </w:r>
      <w:r w:rsidR="000B7B9B" w:rsidRPr="00833944">
        <w:rPr>
          <w:rFonts w:ascii="Simplified Arabic" w:hAnsi="Simplified Arabic" w:cs="Simplified Arabic"/>
          <w:b/>
          <w:bCs/>
          <w:sz w:val="26"/>
          <w:szCs w:val="26"/>
        </w:rPr>
        <w:t>:</w:t>
      </w:r>
      <w:r w:rsidR="000B7B9B" w:rsidRPr="00833944">
        <w:rPr>
          <w:rFonts w:ascii="Simplified Arabic" w:hAnsi="Simplified Arabic" w:cs="Simplified Arabic"/>
          <w:sz w:val="26"/>
          <w:szCs w:val="26"/>
        </w:rPr>
        <w:t xml:space="preserve"> </w:t>
      </w:r>
      <w:r w:rsidR="000B7B9B" w:rsidRPr="00833944">
        <w:rPr>
          <w:rFonts w:ascii="Simplified Arabic" w:hAnsi="Simplified Arabic" w:cs="Simplified Arabic"/>
          <w:b/>
          <w:bCs/>
          <w:sz w:val="26"/>
          <w:szCs w:val="26"/>
        </w:rPr>
        <w:t>(47% of the establishments expect a decline in production for the next 3 months compared to the same period last year)</w:t>
      </w:r>
    </w:p>
    <w:p w:rsidR="000B7B9B" w:rsidRPr="00833944" w:rsidRDefault="000B7B9B" w:rsidP="00FE5683">
      <w:pPr>
        <w:pStyle w:val="BlockText"/>
        <w:tabs>
          <w:tab w:val="right" w:pos="-142"/>
          <w:tab w:val="right" w:pos="426"/>
        </w:tabs>
        <w:autoSpaceDE/>
        <w:autoSpaceDN/>
        <w:spacing w:line="276" w:lineRule="auto"/>
        <w:ind w:right="720"/>
        <w:rPr>
          <w:rFonts w:ascii="Simplified Arabic" w:hAnsi="Simplified Arabic" w:cs="Simplified Arabic"/>
          <w:b/>
          <w:bCs/>
          <w:sz w:val="26"/>
          <w:szCs w:val="26"/>
        </w:rPr>
      </w:pPr>
    </w:p>
    <w:p w:rsidR="000B7B9B" w:rsidRPr="00833944" w:rsidRDefault="000B7B9B" w:rsidP="00FE5683">
      <w:pPr>
        <w:pStyle w:val="BlockText"/>
        <w:tabs>
          <w:tab w:val="right" w:pos="-142"/>
          <w:tab w:val="right" w:pos="426"/>
        </w:tabs>
        <w:autoSpaceDE/>
        <w:autoSpaceDN/>
        <w:spacing w:line="276" w:lineRule="auto"/>
        <w:ind w:left="0" w:right="0"/>
        <w:rPr>
          <w:rFonts w:ascii="Simplified Arabic" w:hAnsi="Simplified Arabic" w:cs="Simplified Arabic"/>
          <w:sz w:val="26"/>
          <w:szCs w:val="26"/>
        </w:rPr>
      </w:pPr>
      <w:r w:rsidRPr="00833944">
        <w:rPr>
          <w:rFonts w:ascii="Simplified Arabic" w:hAnsi="Simplified Arabic" w:cs="Simplified Arabic"/>
          <w:sz w:val="26"/>
          <w:szCs w:val="26"/>
        </w:rPr>
        <w:t xml:space="preserve">The expected percentage change in production for the next </w:t>
      </w:r>
      <w:r w:rsidR="00093483" w:rsidRPr="00833944">
        <w:rPr>
          <w:rFonts w:ascii="Simplified Arabic" w:hAnsi="Simplified Arabic" w:cs="Simplified Arabic"/>
          <w:sz w:val="26"/>
          <w:szCs w:val="26"/>
        </w:rPr>
        <w:t>three</w:t>
      </w:r>
      <w:r w:rsidRPr="00833944">
        <w:rPr>
          <w:rFonts w:ascii="Simplified Arabic" w:hAnsi="Simplified Arabic" w:cs="Simplified Arabic"/>
          <w:sz w:val="26"/>
          <w:szCs w:val="26"/>
        </w:rPr>
        <w:t xml:space="preserve"> months</w:t>
      </w:r>
      <w:r w:rsidR="00093483" w:rsidRPr="00833944">
        <w:rPr>
          <w:rFonts w:ascii="Simplified Arabic" w:hAnsi="Simplified Arabic" w:cs="Simplified Arabic"/>
          <w:sz w:val="26"/>
          <w:szCs w:val="26"/>
        </w:rPr>
        <w:t>*</w:t>
      </w:r>
      <w:r w:rsidRPr="00833944">
        <w:rPr>
          <w:rFonts w:ascii="Simplified Arabic" w:hAnsi="Simplified Arabic" w:cs="Simplified Arabic"/>
          <w:sz w:val="26"/>
          <w:szCs w:val="26"/>
        </w:rPr>
        <w:t xml:space="preserve"> that establishments anticipated to be was a decline by 47% compared to the same period last year. </w:t>
      </w:r>
      <w:r w:rsidR="00093483" w:rsidRPr="00833944">
        <w:rPr>
          <w:rFonts w:ascii="Simplified Arabic" w:hAnsi="Simplified Arabic" w:cs="Simplified Arabic"/>
          <w:sz w:val="26"/>
          <w:szCs w:val="26"/>
        </w:rPr>
        <w:t xml:space="preserve">As for the number of </w:t>
      </w:r>
      <w:r w:rsidRPr="00833944">
        <w:rPr>
          <w:rFonts w:ascii="Simplified Arabic" w:hAnsi="Simplified Arabic" w:cs="Simplified Arabic"/>
          <w:sz w:val="26"/>
          <w:szCs w:val="26"/>
        </w:rPr>
        <w:t xml:space="preserve"> </w:t>
      </w:r>
      <w:r w:rsidR="00093483" w:rsidRPr="00833944">
        <w:rPr>
          <w:rFonts w:ascii="Simplified Arabic" w:hAnsi="Simplified Arabic" w:cs="Simplified Arabic"/>
          <w:sz w:val="26"/>
          <w:szCs w:val="26"/>
        </w:rPr>
        <w:t xml:space="preserve">employees, </w:t>
      </w:r>
      <w:r w:rsidRPr="00833944">
        <w:rPr>
          <w:rFonts w:ascii="Simplified Arabic" w:hAnsi="Simplified Arabic" w:cs="Simplified Arabic"/>
          <w:sz w:val="26"/>
          <w:szCs w:val="26"/>
        </w:rPr>
        <w:t xml:space="preserve">they expected that </w:t>
      </w:r>
      <w:r w:rsidR="00093483" w:rsidRPr="00833944">
        <w:rPr>
          <w:rFonts w:ascii="Simplified Arabic" w:hAnsi="Simplified Arabic" w:cs="Simplified Arabic"/>
          <w:sz w:val="26"/>
          <w:szCs w:val="26"/>
        </w:rPr>
        <w:t>it</w:t>
      </w:r>
      <w:r w:rsidRPr="00833944">
        <w:rPr>
          <w:rFonts w:ascii="Simplified Arabic" w:hAnsi="Simplified Arabic" w:cs="Simplified Arabic"/>
          <w:sz w:val="26"/>
          <w:szCs w:val="26"/>
        </w:rPr>
        <w:t xml:space="preserve"> will decline by 24%.</w:t>
      </w:r>
    </w:p>
    <w:p w:rsidR="00975C2E" w:rsidRPr="00833944" w:rsidRDefault="00975C2E" w:rsidP="00DC1621">
      <w:pPr>
        <w:tabs>
          <w:tab w:val="left" w:pos="-1"/>
        </w:tabs>
        <w:bidi w:val="0"/>
        <w:spacing w:line="276" w:lineRule="auto"/>
        <w:ind w:left="-1"/>
        <w:rPr>
          <w:rFonts w:ascii="Simplified Arabic" w:hAnsi="Simplified Arabic" w:cs="Simplified Arabic"/>
          <w:sz w:val="26"/>
          <w:szCs w:val="26"/>
          <w:rtl/>
        </w:rPr>
      </w:pPr>
    </w:p>
    <w:tbl>
      <w:tblPr>
        <w:bidiVisual/>
        <w:tblW w:w="0" w:type="auto"/>
        <w:tblInd w:w="-1" w:type="dxa"/>
        <w:tblLook w:val="04A0" w:firstRow="1" w:lastRow="0" w:firstColumn="1" w:lastColumn="0" w:noHBand="0" w:noVBand="1"/>
      </w:tblPr>
      <w:tblGrid>
        <w:gridCol w:w="2599"/>
        <w:gridCol w:w="1725"/>
      </w:tblGrid>
      <w:tr w:rsidR="00115611" w:rsidRPr="00833944" w:rsidTr="00817961">
        <w:tc>
          <w:tcPr>
            <w:tcW w:w="2599" w:type="dxa"/>
            <w:shd w:val="clear" w:color="auto" w:fill="auto"/>
          </w:tcPr>
          <w:p w:rsidR="00115611" w:rsidRPr="00833944" w:rsidRDefault="00115611" w:rsidP="00DC1621">
            <w:pPr>
              <w:bidi w:val="0"/>
              <w:spacing w:line="276" w:lineRule="auto"/>
              <w:rPr>
                <w:rFonts w:ascii="Simplified Arabic" w:hAnsi="Simplified Arabic" w:cs="Simplified Arabic"/>
                <w:sz w:val="26"/>
                <w:szCs w:val="26"/>
                <w:rtl/>
              </w:rPr>
            </w:pPr>
          </w:p>
        </w:tc>
        <w:tc>
          <w:tcPr>
            <w:tcW w:w="1725" w:type="dxa"/>
            <w:shd w:val="clear" w:color="auto" w:fill="auto"/>
          </w:tcPr>
          <w:p w:rsidR="00115611" w:rsidRPr="00833944" w:rsidRDefault="00115611" w:rsidP="00DC1621">
            <w:pPr>
              <w:pStyle w:val="ListParagraph"/>
              <w:tabs>
                <w:tab w:val="left" w:pos="-1"/>
                <w:tab w:val="left" w:pos="282"/>
              </w:tabs>
              <w:bidi w:val="0"/>
              <w:spacing w:line="276" w:lineRule="auto"/>
              <w:ind w:left="0"/>
              <w:rPr>
                <w:rFonts w:ascii="Simplified Arabic" w:hAnsi="Simplified Arabic" w:cs="Simplified Arabic"/>
                <w:sz w:val="26"/>
                <w:szCs w:val="26"/>
                <w:rtl/>
              </w:rPr>
            </w:pPr>
          </w:p>
        </w:tc>
      </w:tr>
    </w:tbl>
    <w:p w:rsidR="00115611" w:rsidRPr="00833944" w:rsidRDefault="00093483" w:rsidP="00817961">
      <w:pPr>
        <w:bidi w:val="0"/>
        <w:spacing w:line="276" w:lineRule="auto"/>
        <w:rPr>
          <w:rFonts w:ascii="Simplified Arabic" w:hAnsi="Simplified Arabic" w:cs="Simplified Arabic"/>
          <w:b/>
          <w:bCs/>
          <w:sz w:val="26"/>
          <w:szCs w:val="26"/>
        </w:rPr>
      </w:pPr>
      <w:r w:rsidRPr="00833944">
        <w:rPr>
          <w:rFonts w:ascii="Simplified Arabic" w:hAnsi="Simplified Arabic" w:cs="Simplified Arabic"/>
          <w:b/>
          <w:bCs/>
          <w:sz w:val="26"/>
          <w:szCs w:val="26"/>
        </w:rPr>
        <w:t>Note</w:t>
      </w:r>
      <w:r w:rsidR="002779FD" w:rsidRPr="00833944">
        <w:rPr>
          <w:rFonts w:ascii="Simplified Arabic" w:hAnsi="Simplified Arabic" w:cs="Simplified Arabic"/>
          <w:b/>
          <w:bCs/>
          <w:sz w:val="26"/>
          <w:szCs w:val="26"/>
          <w:rtl/>
        </w:rPr>
        <w:t>:</w:t>
      </w:r>
    </w:p>
    <w:p w:rsidR="00771944" w:rsidRPr="00833944" w:rsidRDefault="00093483" w:rsidP="00817961">
      <w:pPr>
        <w:bidi w:val="0"/>
        <w:spacing w:line="276" w:lineRule="auto"/>
        <w:rPr>
          <w:rFonts w:ascii="Simplified Arabic" w:hAnsi="Simplified Arabic" w:cs="Simplified Arabic"/>
          <w:b/>
          <w:bCs/>
          <w:sz w:val="24"/>
          <w:szCs w:val="24"/>
        </w:rPr>
      </w:pPr>
      <w:r w:rsidRPr="00833944">
        <w:rPr>
          <w:rFonts w:ascii="Simplified Arabic" w:hAnsi="Simplified Arabic" w:cs="Simplified Arabic"/>
          <w:b/>
          <w:bCs/>
          <w:sz w:val="24"/>
          <w:szCs w:val="24"/>
        </w:rPr>
        <w:t>* The next three months are the months following the lockdown period after 31/5/2020</w:t>
      </w:r>
      <w:r w:rsidR="00817961" w:rsidRPr="00833944">
        <w:rPr>
          <w:rFonts w:ascii="Simplified Arabic" w:hAnsi="Simplified Arabic" w:cs="Simplified Arabic"/>
          <w:b/>
          <w:bCs/>
          <w:sz w:val="24"/>
          <w:szCs w:val="24"/>
        </w:rPr>
        <w:t>.</w:t>
      </w:r>
    </w:p>
    <w:p w:rsidR="00771944" w:rsidRPr="00833944" w:rsidRDefault="00771944" w:rsidP="00817961">
      <w:pPr>
        <w:bidi w:val="0"/>
        <w:spacing w:line="276" w:lineRule="auto"/>
        <w:rPr>
          <w:rFonts w:ascii="Simplified Arabic" w:hAnsi="Simplified Arabic" w:cs="Simplified Arabic"/>
          <w:b/>
          <w:bCs/>
          <w:sz w:val="26"/>
          <w:szCs w:val="26"/>
          <w:rtl/>
        </w:rPr>
      </w:pPr>
    </w:p>
    <w:p w:rsidR="00771944" w:rsidRPr="00833944" w:rsidRDefault="00771944" w:rsidP="00DC1621">
      <w:pPr>
        <w:bidi w:val="0"/>
        <w:spacing w:line="276" w:lineRule="auto"/>
        <w:rPr>
          <w:rFonts w:ascii="Simplified Arabic" w:hAnsi="Simplified Arabic" w:cs="Simplified Arabic"/>
          <w:b/>
          <w:bCs/>
          <w:sz w:val="26"/>
          <w:szCs w:val="26"/>
        </w:rPr>
      </w:pPr>
    </w:p>
    <w:sectPr w:rsidR="00771944" w:rsidRPr="00833944" w:rsidSect="00833944">
      <w:footerReference w:type="default" r:id="rId10"/>
      <w:pgSz w:w="11906" w:h="16838" w:code="9"/>
      <w:pgMar w:top="1440" w:right="992" w:bottom="1440" w:left="1134" w:header="680" w:footer="680" w:gutter="0"/>
      <w:cols w:space="426"/>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D47" w:rsidRDefault="00812D47" w:rsidP="007E6B57">
      <w:r>
        <w:separator/>
      </w:r>
    </w:p>
  </w:endnote>
  <w:endnote w:type="continuationSeparator" w:id="0">
    <w:p w:rsidR="00812D47" w:rsidRDefault="00812D47" w:rsidP="007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44" w:rsidRDefault="00833944">
    <w:pPr>
      <w:pStyle w:val="Footer"/>
      <w:jc w:val="center"/>
    </w:pPr>
    <w:r>
      <w:fldChar w:fldCharType="begin"/>
    </w:r>
    <w:r>
      <w:instrText xml:space="preserve"> PAGE   \* MERGEFORMAT </w:instrText>
    </w:r>
    <w:r>
      <w:fldChar w:fldCharType="separate"/>
    </w:r>
    <w:r w:rsidR="00535DCE">
      <w:rPr>
        <w:noProof/>
        <w:rtl/>
      </w:rPr>
      <w:t>1</w:t>
    </w:r>
    <w:r>
      <w:rPr>
        <w:noProof/>
      </w:rPr>
      <w:fldChar w:fldCharType="end"/>
    </w:r>
  </w:p>
  <w:p w:rsidR="00833944" w:rsidRDefault="0083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D47" w:rsidRDefault="00812D47" w:rsidP="007E6B57">
      <w:r>
        <w:separator/>
      </w:r>
    </w:p>
  </w:footnote>
  <w:footnote w:type="continuationSeparator" w:id="0">
    <w:p w:rsidR="00812D47" w:rsidRDefault="00812D47" w:rsidP="007E6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C46"/>
    <w:multiLevelType w:val="multilevel"/>
    <w:tmpl w:val="35DA66E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5279CB"/>
    <w:multiLevelType w:val="multilevel"/>
    <w:tmpl w:val="43403F3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B835D14"/>
    <w:multiLevelType w:val="hybridMultilevel"/>
    <w:tmpl w:val="016A7AC2"/>
    <w:lvl w:ilvl="0" w:tplc="292E22DE">
      <w:numFmt w:val="bullet"/>
      <w:lvlText w:val=""/>
      <w:lvlJc w:val="left"/>
      <w:pPr>
        <w:ind w:left="359" w:hanging="360"/>
      </w:pPr>
      <w:rPr>
        <w:rFonts w:ascii="Symbol" w:eastAsia="Times New Roman" w:hAnsi="Symbol" w:cs="Simplified Arabic"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 w15:restartNumberingAfterBreak="0">
    <w:nsid w:val="3BCC2FA3"/>
    <w:multiLevelType w:val="hybridMultilevel"/>
    <w:tmpl w:val="DC4CF254"/>
    <w:lvl w:ilvl="0" w:tplc="8FF0513C">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518BF"/>
    <w:multiLevelType w:val="hybridMultilevel"/>
    <w:tmpl w:val="A03A6F58"/>
    <w:lvl w:ilvl="0" w:tplc="4990A26C">
      <w:numFmt w:val="bullet"/>
      <w:lvlText w:val=""/>
      <w:lvlJc w:val="left"/>
      <w:pPr>
        <w:ind w:left="840" w:hanging="360"/>
      </w:pPr>
      <w:rPr>
        <w:rFonts w:ascii="Symbol" w:eastAsia="Times New Roman" w:hAnsi="Symbol" w:cs="Simplified Arabic"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52C526C8"/>
    <w:multiLevelType w:val="multilevel"/>
    <w:tmpl w:val="E17A9D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6" w15:restartNumberingAfterBreak="0">
    <w:nsid w:val="5D7803B7"/>
    <w:multiLevelType w:val="multilevel"/>
    <w:tmpl w:val="391EC1DE"/>
    <w:lvl w:ilvl="0">
      <w:start w:val="1"/>
      <w:numFmt w:val="decimal"/>
      <w:lvlText w:val="%1."/>
      <w:lvlJc w:val="left"/>
      <w:pPr>
        <w:ind w:left="108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5DCF0BAF"/>
    <w:multiLevelType w:val="multilevel"/>
    <w:tmpl w:val="F81E54C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D95BE4"/>
    <w:multiLevelType w:val="multilevel"/>
    <w:tmpl w:val="25FCA840"/>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6A682A"/>
    <w:multiLevelType w:val="multilevel"/>
    <w:tmpl w:val="A2FE64F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C1B1985"/>
    <w:multiLevelType w:val="hybridMultilevel"/>
    <w:tmpl w:val="B5A29428"/>
    <w:lvl w:ilvl="0" w:tplc="2BAA6E9C">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4D0FC0"/>
    <w:multiLevelType w:val="multilevel"/>
    <w:tmpl w:val="C8D6516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11"/>
  </w:num>
  <w:num w:numId="4">
    <w:abstractNumId w:val="9"/>
  </w:num>
  <w:num w:numId="5">
    <w:abstractNumId w:val="0"/>
  </w:num>
  <w:num w:numId="6">
    <w:abstractNumId w:val="7"/>
  </w:num>
  <w:num w:numId="7">
    <w:abstractNumId w:val="8"/>
  </w:num>
  <w:num w:numId="8">
    <w:abstractNumId w:val="6"/>
  </w:num>
  <w:num w:numId="9">
    <w:abstractNumId w:val="2"/>
  </w:num>
  <w:num w:numId="10">
    <w:abstractNumId w:val="1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77"/>
    <w:rsid w:val="00017F0F"/>
    <w:rsid w:val="00027173"/>
    <w:rsid w:val="00044633"/>
    <w:rsid w:val="0007698B"/>
    <w:rsid w:val="00093483"/>
    <w:rsid w:val="000A78F1"/>
    <w:rsid w:val="000B7B9B"/>
    <w:rsid w:val="000C4D66"/>
    <w:rsid w:val="000D109E"/>
    <w:rsid w:val="000D673D"/>
    <w:rsid w:val="000E1452"/>
    <w:rsid w:val="00115611"/>
    <w:rsid w:val="00181DB8"/>
    <w:rsid w:val="001A0995"/>
    <w:rsid w:val="001C0458"/>
    <w:rsid w:val="001E1F8E"/>
    <w:rsid w:val="002260BC"/>
    <w:rsid w:val="0024059F"/>
    <w:rsid w:val="0025708B"/>
    <w:rsid w:val="00276BC6"/>
    <w:rsid w:val="002779FD"/>
    <w:rsid w:val="00297553"/>
    <w:rsid w:val="002A5D77"/>
    <w:rsid w:val="002A7222"/>
    <w:rsid w:val="002B065E"/>
    <w:rsid w:val="002B62F6"/>
    <w:rsid w:val="002C06FD"/>
    <w:rsid w:val="002D4B16"/>
    <w:rsid w:val="002D7CBC"/>
    <w:rsid w:val="002E68CC"/>
    <w:rsid w:val="00317C8C"/>
    <w:rsid w:val="00350996"/>
    <w:rsid w:val="00371A2E"/>
    <w:rsid w:val="00384351"/>
    <w:rsid w:val="003D1D46"/>
    <w:rsid w:val="003E7544"/>
    <w:rsid w:val="003F040D"/>
    <w:rsid w:val="003F1AC0"/>
    <w:rsid w:val="00405B02"/>
    <w:rsid w:val="004067CB"/>
    <w:rsid w:val="0046410E"/>
    <w:rsid w:val="00465570"/>
    <w:rsid w:val="004A1E02"/>
    <w:rsid w:val="004A251E"/>
    <w:rsid w:val="004A5FBC"/>
    <w:rsid w:val="004B7A30"/>
    <w:rsid w:val="004C776E"/>
    <w:rsid w:val="004D4129"/>
    <w:rsid w:val="004E78F5"/>
    <w:rsid w:val="00505ACC"/>
    <w:rsid w:val="005240F8"/>
    <w:rsid w:val="00525CBD"/>
    <w:rsid w:val="00535DCE"/>
    <w:rsid w:val="0055722C"/>
    <w:rsid w:val="00584418"/>
    <w:rsid w:val="00593AE7"/>
    <w:rsid w:val="005A6199"/>
    <w:rsid w:val="005B2711"/>
    <w:rsid w:val="005D0305"/>
    <w:rsid w:val="005D168A"/>
    <w:rsid w:val="005D63C0"/>
    <w:rsid w:val="005E24CA"/>
    <w:rsid w:val="00636157"/>
    <w:rsid w:val="00657807"/>
    <w:rsid w:val="00677B14"/>
    <w:rsid w:val="006B30B0"/>
    <w:rsid w:val="006D3AE3"/>
    <w:rsid w:val="00707089"/>
    <w:rsid w:val="00723553"/>
    <w:rsid w:val="007300C3"/>
    <w:rsid w:val="007450B3"/>
    <w:rsid w:val="00771944"/>
    <w:rsid w:val="0078600B"/>
    <w:rsid w:val="007B3084"/>
    <w:rsid w:val="007E478B"/>
    <w:rsid w:val="007E6B57"/>
    <w:rsid w:val="00812D47"/>
    <w:rsid w:val="008152A3"/>
    <w:rsid w:val="00817137"/>
    <w:rsid w:val="00817961"/>
    <w:rsid w:val="00822438"/>
    <w:rsid w:val="008303D4"/>
    <w:rsid w:val="00833944"/>
    <w:rsid w:val="00842B1C"/>
    <w:rsid w:val="00866D11"/>
    <w:rsid w:val="0088199A"/>
    <w:rsid w:val="00890ED8"/>
    <w:rsid w:val="00895A96"/>
    <w:rsid w:val="008B6DC9"/>
    <w:rsid w:val="008D7366"/>
    <w:rsid w:val="009036EE"/>
    <w:rsid w:val="00926F02"/>
    <w:rsid w:val="00955941"/>
    <w:rsid w:val="009654A2"/>
    <w:rsid w:val="00975C2E"/>
    <w:rsid w:val="009A2D73"/>
    <w:rsid w:val="009C437E"/>
    <w:rsid w:val="009E0673"/>
    <w:rsid w:val="00A07522"/>
    <w:rsid w:val="00A51D5B"/>
    <w:rsid w:val="00A64F68"/>
    <w:rsid w:val="00AC5153"/>
    <w:rsid w:val="00AD2FFE"/>
    <w:rsid w:val="00AF1E27"/>
    <w:rsid w:val="00B16D03"/>
    <w:rsid w:val="00B31488"/>
    <w:rsid w:val="00B400AE"/>
    <w:rsid w:val="00B41D27"/>
    <w:rsid w:val="00B44153"/>
    <w:rsid w:val="00B64E6A"/>
    <w:rsid w:val="00B8716A"/>
    <w:rsid w:val="00B924EC"/>
    <w:rsid w:val="00BC41CB"/>
    <w:rsid w:val="00BD6EB4"/>
    <w:rsid w:val="00BF7DF1"/>
    <w:rsid w:val="00C447E5"/>
    <w:rsid w:val="00C63082"/>
    <w:rsid w:val="00C75D18"/>
    <w:rsid w:val="00C950E0"/>
    <w:rsid w:val="00D13AA1"/>
    <w:rsid w:val="00D435A5"/>
    <w:rsid w:val="00D5285C"/>
    <w:rsid w:val="00D576A2"/>
    <w:rsid w:val="00D9417F"/>
    <w:rsid w:val="00DB3B64"/>
    <w:rsid w:val="00DC1621"/>
    <w:rsid w:val="00DF1A71"/>
    <w:rsid w:val="00E04B7A"/>
    <w:rsid w:val="00E33D82"/>
    <w:rsid w:val="00E81EBF"/>
    <w:rsid w:val="00E8768B"/>
    <w:rsid w:val="00EA78D7"/>
    <w:rsid w:val="00EC153D"/>
    <w:rsid w:val="00EC19B4"/>
    <w:rsid w:val="00EC3EA6"/>
    <w:rsid w:val="00EE510F"/>
    <w:rsid w:val="00F01BA1"/>
    <w:rsid w:val="00F45241"/>
    <w:rsid w:val="00F66FFD"/>
    <w:rsid w:val="00F9724C"/>
    <w:rsid w:val="00FB4E86"/>
    <w:rsid w:val="00FD41BB"/>
    <w:rsid w:val="00FE4A7E"/>
    <w:rsid w:val="00FE5683"/>
    <w:rsid w:val="00FE5A37"/>
    <w:rsid w:val="00FE6AF0"/>
    <w:rsid w:val="00FF146E"/>
    <w:rsid w:val="00FF45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D22D2E-A23E-4F92-9CE4-94615922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77"/>
    <w:pPr>
      <w:bidi/>
    </w:pPr>
    <w:rPr>
      <w:rFonts w:ascii="Times New Roman" w:eastAsia="Times New Roman" w:hAnsi="Times New Roman" w:cs="Traditional Arab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D77"/>
    <w:pPr>
      <w:ind w:left="720"/>
      <w:contextualSpacing/>
    </w:pPr>
  </w:style>
  <w:style w:type="paragraph" w:styleId="Header">
    <w:name w:val="header"/>
    <w:basedOn w:val="Normal"/>
    <w:link w:val="HeaderChar"/>
    <w:uiPriority w:val="99"/>
    <w:unhideWhenUsed/>
    <w:rsid w:val="007E6B57"/>
    <w:pPr>
      <w:tabs>
        <w:tab w:val="center" w:pos="4153"/>
        <w:tab w:val="right" w:pos="8306"/>
      </w:tabs>
    </w:pPr>
  </w:style>
  <w:style w:type="character" w:customStyle="1" w:styleId="HeaderChar">
    <w:name w:val="Header Char"/>
    <w:link w:val="Header"/>
    <w:uiPriority w:val="99"/>
    <w:rsid w:val="007E6B57"/>
    <w:rPr>
      <w:rFonts w:ascii="Times New Roman" w:eastAsia="Times New Roman" w:hAnsi="Times New Roman" w:cs="Traditional Arabic"/>
      <w:sz w:val="20"/>
      <w:szCs w:val="20"/>
    </w:rPr>
  </w:style>
  <w:style w:type="paragraph" w:styleId="Footer">
    <w:name w:val="footer"/>
    <w:basedOn w:val="Normal"/>
    <w:link w:val="FooterChar"/>
    <w:uiPriority w:val="99"/>
    <w:unhideWhenUsed/>
    <w:rsid w:val="007E6B57"/>
    <w:pPr>
      <w:tabs>
        <w:tab w:val="center" w:pos="4153"/>
        <w:tab w:val="right" w:pos="8306"/>
      </w:tabs>
    </w:pPr>
  </w:style>
  <w:style w:type="character" w:customStyle="1" w:styleId="FooterChar">
    <w:name w:val="Footer Char"/>
    <w:link w:val="Footer"/>
    <w:uiPriority w:val="99"/>
    <w:rsid w:val="007E6B57"/>
    <w:rPr>
      <w:rFonts w:ascii="Times New Roman" w:eastAsia="Times New Roman" w:hAnsi="Times New Roman" w:cs="Traditional Arabic"/>
      <w:sz w:val="20"/>
      <w:szCs w:val="20"/>
    </w:rPr>
  </w:style>
  <w:style w:type="paragraph" w:styleId="BodyText">
    <w:name w:val="Body Text"/>
    <w:basedOn w:val="Normal"/>
    <w:link w:val="BodyTextChar"/>
    <w:semiHidden/>
    <w:rsid w:val="00115611"/>
    <w:pPr>
      <w:jc w:val="lowKashida"/>
    </w:pPr>
    <w:rPr>
      <w:rFonts w:cs="Simplified Arabic"/>
      <w:snapToGrid w:val="0"/>
    </w:rPr>
  </w:style>
  <w:style w:type="character" w:customStyle="1" w:styleId="BodyTextChar">
    <w:name w:val="Body Text Char"/>
    <w:link w:val="BodyText"/>
    <w:semiHidden/>
    <w:rsid w:val="00115611"/>
    <w:rPr>
      <w:rFonts w:ascii="Times New Roman" w:eastAsia="Times New Roman" w:hAnsi="Times New Roman" w:cs="Simplified Arabic"/>
      <w:snapToGrid/>
      <w:sz w:val="20"/>
      <w:szCs w:val="20"/>
    </w:rPr>
  </w:style>
  <w:style w:type="paragraph" w:styleId="BodyText2">
    <w:name w:val="Body Text 2"/>
    <w:basedOn w:val="Normal"/>
    <w:link w:val="BodyText2Char"/>
    <w:uiPriority w:val="99"/>
    <w:unhideWhenUsed/>
    <w:rsid w:val="00115611"/>
    <w:pPr>
      <w:spacing w:after="120" w:line="480" w:lineRule="auto"/>
    </w:pPr>
    <w:rPr>
      <w:rFonts w:cs="Times New Roman"/>
      <w:sz w:val="24"/>
      <w:szCs w:val="24"/>
      <w:lang w:eastAsia="ar-SA"/>
    </w:rPr>
  </w:style>
  <w:style w:type="character" w:customStyle="1" w:styleId="BodyText2Char">
    <w:name w:val="Body Text 2 Char"/>
    <w:link w:val="BodyText2"/>
    <w:uiPriority w:val="99"/>
    <w:rsid w:val="00115611"/>
    <w:rPr>
      <w:rFonts w:ascii="Times New Roman" w:eastAsia="Times New Roman" w:hAnsi="Times New Roman" w:cs="Times New Roman"/>
      <w:sz w:val="24"/>
      <w:szCs w:val="24"/>
      <w:lang w:eastAsia="ar-SA"/>
    </w:rPr>
  </w:style>
  <w:style w:type="table" w:styleId="TableGrid">
    <w:name w:val="Table Grid"/>
    <w:basedOn w:val="TableNormal"/>
    <w:uiPriority w:val="59"/>
    <w:rsid w:val="0011561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611"/>
    <w:rPr>
      <w:color w:val="0000FF"/>
      <w:u w:val="single"/>
    </w:rPr>
  </w:style>
  <w:style w:type="paragraph" w:styleId="BalloonText">
    <w:name w:val="Balloon Text"/>
    <w:basedOn w:val="Normal"/>
    <w:link w:val="BalloonTextChar"/>
    <w:uiPriority w:val="99"/>
    <w:semiHidden/>
    <w:unhideWhenUsed/>
    <w:rsid w:val="00C447E5"/>
    <w:rPr>
      <w:rFonts w:ascii="Segoe UI" w:hAnsi="Segoe UI" w:cs="Segoe UI"/>
      <w:sz w:val="18"/>
      <w:szCs w:val="18"/>
    </w:rPr>
  </w:style>
  <w:style w:type="character" w:customStyle="1" w:styleId="BalloonTextChar">
    <w:name w:val="Balloon Text Char"/>
    <w:link w:val="BalloonText"/>
    <w:uiPriority w:val="99"/>
    <w:semiHidden/>
    <w:rsid w:val="00C447E5"/>
    <w:rPr>
      <w:rFonts w:ascii="Segoe UI" w:eastAsia="Times New Roman" w:hAnsi="Segoe UI" w:cs="Segoe UI"/>
      <w:sz w:val="18"/>
      <w:szCs w:val="18"/>
    </w:rPr>
  </w:style>
  <w:style w:type="paragraph" w:styleId="BlockText">
    <w:name w:val="Block Text"/>
    <w:basedOn w:val="Normal"/>
    <w:rsid w:val="00DB3B64"/>
    <w:pPr>
      <w:autoSpaceDE w:val="0"/>
      <w:autoSpaceDN w:val="0"/>
      <w:bidi w:val="0"/>
      <w:ind w:left="1418" w:right="1416"/>
      <w:jc w:val="both"/>
    </w:pPr>
    <w:rPr>
      <w:sz w:val="28"/>
      <w:szCs w:val="3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864098302591072"/>
          <c:y val="4.9344531933508587E-2"/>
          <c:w val="0.86175117383683464"/>
          <c:h val="0.69699116528997795"/>
        </c:manualLayout>
      </c:layout>
      <c:barChart>
        <c:barDir val="col"/>
        <c:grouping val="clustered"/>
        <c:varyColors val="0"/>
        <c:ser>
          <c:idx val="0"/>
          <c:order val="0"/>
          <c:tx>
            <c:strRef>
              <c:f>Sheet1!$A$2</c:f>
              <c:strCache>
                <c:ptCount val="1"/>
                <c:pt idx="0">
                  <c:v>Percentage of  establishment having a decline in production for the last 88 days (5/3-31/5/2020) compared with the normal situation</c:v>
                </c:pt>
              </c:strCache>
            </c:strRef>
          </c:tx>
          <c:spPr>
            <a:solidFill>
              <a:srgbClr val="4F81BD"/>
            </a:solidFill>
            <a:ln w="25383">
              <a:noFill/>
            </a:ln>
          </c:spPr>
          <c:invertIfNegative val="0"/>
          <c:dLbls>
            <c:spPr>
              <a:noFill/>
              <a:ln w="25383">
                <a:noFill/>
              </a:ln>
            </c:spPr>
            <c:txPr>
              <a:bodyPr rot="0" vert="horz"/>
              <a:lstStyle/>
              <a:p>
                <a:pPr>
                  <a:defRPr/>
                </a:pPr>
                <a:endParaRPr lang="ar-S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industry</c:v>
                </c:pt>
                <c:pt idx="1">
                  <c:v>construction</c:v>
                </c:pt>
                <c:pt idx="2">
                  <c:v>Trade</c:v>
                </c:pt>
                <c:pt idx="3">
                  <c:v>Service</c:v>
                </c:pt>
                <c:pt idx="4">
                  <c:v>transport</c:v>
                </c:pt>
                <c:pt idx="5">
                  <c:v>telecommunication</c:v>
                </c:pt>
              </c:strCache>
            </c:strRef>
          </c:cat>
          <c:val>
            <c:numRef>
              <c:f>Sheet1!$B$2:$G$2</c:f>
              <c:numCache>
                <c:formatCode>General</c:formatCode>
                <c:ptCount val="6"/>
                <c:pt idx="0">
                  <c:v>93</c:v>
                </c:pt>
                <c:pt idx="1">
                  <c:v>95</c:v>
                </c:pt>
                <c:pt idx="2">
                  <c:v>92</c:v>
                </c:pt>
                <c:pt idx="3">
                  <c:v>95</c:v>
                </c:pt>
                <c:pt idx="4">
                  <c:v>91</c:v>
                </c:pt>
                <c:pt idx="5">
                  <c:v>92</c:v>
                </c:pt>
              </c:numCache>
            </c:numRef>
          </c:val>
          <c:extLst>
            <c:ext xmlns:c16="http://schemas.microsoft.com/office/drawing/2014/chart" uri="{C3380CC4-5D6E-409C-BE32-E72D297353CC}">
              <c16:uniqueId val="{00000000-4433-4CCF-A307-4132B6E3F997}"/>
            </c:ext>
          </c:extLst>
        </c:ser>
        <c:ser>
          <c:idx val="1"/>
          <c:order val="1"/>
          <c:tx>
            <c:strRef>
              <c:f>Sheet1!$A$3</c:f>
              <c:strCache>
                <c:ptCount val="1"/>
                <c:pt idx="0">
                  <c:v>Average percentage change of establishment's production for the last 88 days (5/3-31/5/2020) compared with the normal situation</c:v>
                </c:pt>
              </c:strCache>
            </c:strRef>
          </c:tx>
          <c:spPr>
            <a:solidFill>
              <a:srgbClr val="C0504D"/>
            </a:solidFill>
            <a:ln w="25383">
              <a:noFill/>
            </a:ln>
          </c:spPr>
          <c:invertIfNegative val="0"/>
          <c:dLbls>
            <c:dLbl>
              <c:idx val="5"/>
              <c:layout>
                <c:manualLayout>
                  <c:x val="2.0185235466256373E-2"/>
                  <c:y val="3.2106078483308854E-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33-4CCF-A307-4132B6E3F997}"/>
                </c:ext>
              </c:extLst>
            </c:dLbl>
            <c:spPr>
              <a:noFill/>
              <a:ln w="25383">
                <a:noFill/>
              </a:ln>
            </c:spPr>
            <c:txPr>
              <a:bodyPr rot="0" vert="horz"/>
              <a:lstStyle/>
              <a:p>
                <a:pPr>
                  <a:defRPr/>
                </a:pPr>
                <a:endParaRPr lang="ar-S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industry</c:v>
                </c:pt>
                <c:pt idx="1">
                  <c:v>construction</c:v>
                </c:pt>
                <c:pt idx="2">
                  <c:v>Trade</c:v>
                </c:pt>
                <c:pt idx="3">
                  <c:v>Service</c:v>
                </c:pt>
                <c:pt idx="4">
                  <c:v>transport</c:v>
                </c:pt>
                <c:pt idx="5">
                  <c:v>telecommunication</c:v>
                </c:pt>
              </c:strCache>
            </c:strRef>
          </c:cat>
          <c:val>
            <c:numRef>
              <c:f>Sheet1!$B$3:$G$3</c:f>
              <c:numCache>
                <c:formatCode>General</c:formatCode>
                <c:ptCount val="6"/>
                <c:pt idx="0">
                  <c:v>-48.7</c:v>
                </c:pt>
                <c:pt idx="1">
                  <c:v>-56.1</c:v>
                </c:pt>
                <c:pt idx="2">
                  <c:v>-48.3</c:v>
                </c:pt>
                <c:pt idx="3">
                  <c:v>-55.5</c:v>
                </c:pt>
                <c:pt idx="4">
                  <c:v>-43.1</c:v>
                </c:pt>
                <c:pt idx="5">
                  <c:v>-54.5</c:v>
                </c:pt>
              </c:numCache>
            </c:numRef>
          </c:val>
          <c:extLst>
            <c:ext xmlns:c16="http://schemas.microsoft.com/office/drawing/2014/chart" uri="{C3380CC4-5D6E-409C-BE32-E72D297353CC}">
              <c16:uniqueId val="{00000002-4433-4CCF-A307-4132B6E3F997}"/>
            </c:ext>
          </c:extLst>
        </c:ser>
        <c:dLbls>
          <c:showLegendKey val="0"/>
          <c:showVal val="0"/>
          <c:showCatName val="0"/>
          <c:showSerName val="0"/>
          <c:showPercent val="0"/>
          <c:showBubbleSize val="0"/>
        </c:dLbls>
        <c:gapWidth val="219"/>
        <c:overlap val="-27"/>
        <c:axId val="189083416"/>
        <c:axId val="1"/>
      </c:barChart>
      <c:catAx>
        <c:axId val="189083416"/>
        <c:scaling>
          <c:orientation val="minMax"/>
        </c:scaling>
        <c:delete val="0"/>
        <c:axPos val="b"/>
        <c:numFmt formatCode="General" sourceLinked="1"/>
        <c:majorTickMark val="none"/>
        <c:minorTickMark val="none"/>
        <c:tickLblPos val="nextTo"/>
        <c:spPr>
          <a:noFill/>
          <a:ln w="9519" cap="flat" cmpd="sng" algn="ctr">
            <a:solidFill>
              <a:schemeClr val="tx1">
                <a:lumMod val="15000"/>
                <a:lumOff val="85000"/>
              </a:schemeClr>
            </a:solidFill>
            <a:round/>
          </a:ln>
          <a:effectLst/>
        </c:spPr>
        <c:txPr>
          <a:bodyPr rot="5400000"/>
          <a:lstStyle/>
          <a:p>
            <a:pPr>
              <a:defRPr sz="889" baseline="0"/>
            </a:pPr>
            <a:endParaRPr lang="ar-SA"/>
          </a:p>
        </c:txPr>
        <c:crossAx val="1"/>
        <c:crosses val="autoZero"/>
        <c:auto val="1"/>
        <c:lblAlgn val="ctr"/>
        <c:lblOffset val="2"/>
        <c:tickLblSkip val="1"/>
        <c:noMultiLvlLbl val="0"/>
      </c:catAx>
      <c:valAx>
        <c:axId val="1"/>
        <c:scaling>
          <c:orientation val="minMax"/>
        </c:scaling>
        <c:delete val="0"/>
        <c:axPos val="l"/>
        <c:majorGridlines>
          <c:spPr>
            <a:ln w="9519" cap="flat" cmpd="sng" algn="ctr">
              <a:solidFill>
                <a:schemeClr val="tx1">
                  <a:lumMod val="15000"/>
                  <a:lumOff val="85000"/>
                </a:schemeClr>
              </a:solidFill>
              <a:round/>
            </a:ln>
            <a:effectLst/>
          </c:spPr>
        </c:majorGridlines>
        <c:title>
          <c:tx>
            <c:rich>
              <a:bodyPr/>
              <a:lstStyle/>
              <a:p>
                <a:pPr>
                  <a:defRPr sz="899" b="1" i="0" u="none" strike="noStrike" baseline="0">
                    <a:solidFill>
                      <a:srgbClr val="000000"/>
                    </a:solidFill>
                    <a:latin typeface="Arial"/>
                    <a:ea typeface="Arial"/>
                    <a:cs typeface="Arial"/>
                  </a:defRPr>
                </a:pPr>
                <a:r>
                  <a:rPr lang="en-US"/>
                  <a:t>Percentage(%)</a:t>
                </a:r>
              </a:p>
            </c:rich>
          </c:tx>
          <c:overlay val="0"/>
          <c:spPr>
            <a:noFill/>
            <a:ln>
              <a:solidFill>
                <a:schemeClr val="tx1"/>
              </a:solidFill>
            </a:ln>
            <a:effectLst/>
          </c:spPr>
        </c:title>
        <c:numFmt formatCode="General" sourceLinked="1"/>
        <c:majorTickMark val="none"/>
        <c:minorTickMark val="none"/>
        <c:tickLblPos val="nextTo"/>
        <c:spPr>
          <a:ln w="9519">
            <a:noFill/>
          </a:ln>
        </c:spPr>
        <c:txPr>
          <a:bodyPr rot="-60000000" vert="horz"/>
          <a:lstStyle/>
          <a:p>
            <a:pPr>
              <a:defRPr/>
            </a:pPr>
            <a:endParaRPr lang="ar-SA"/>
          </a:p>
        </c:txPr>
        <c:crossAx val="189083416"/>
        <c:crossesAt val="1"/>
        <c:crossBetween val="between"/>
      </c:valAx>
      <c:spPr>
        <a:noFill/>
        <a:ln w="25383">
          <a:noFill/>
        </a:ln>
      </c:spPr>
    </c:plotArea>
    <c:legend>
      <c:legendPos val="b"/>
      <c:legendEntry>
        <c:idx val="1"/>
        <c:txPr>
          <a:bodyPr rot="0" vert="horz"/>
          <a:lstStyle/>
          <a:p>
            <a:pPr>
              <a:defRPr sz="849" baseline="0"/>
            </a:pPr>
            <a:endParaRPr lang="ar-SA"/>
          </a:p>
        </c:txPr>
      </c:legendEntry>
      <c:layout>
        <c:manualLayout>
          <c:xMode val="edge"/>
          <c:yMode val="edge"/>
          <c:wMode val="edge"/>
          <c:hMode val="edge"/>
          <c:x val="0"/>
          <c:y val="0.77311410541767378"/>
          <c:w val="1"/>
          <c:h val="1"/>
        </c:manualLayout>
      </c:layout>
      <c:overlay val="0"/>
      <c:spPr>
        <a:noFill/>
        <a:ln>
          <a:solidFill>
            <a:schemeClr val="tx1"/>
          </a:solidFill>
        </a:ln>
        <a:effectLst/>
      </c:spPr>
      <c:txPr>
        <a:bodyPr rot="0" vert="horz"/>
        <a:lstStyle/>
        <a:p>
          <a:pPr>
            <a:defRPr sz="849" baseline="0"/>
          </a:pPr>
          <a:endParaRPr lang="ar-SA"/>
        </a:p>
      </c:txPr>
    </c:legend>
    <c:plotVisOnly val="1"/>
    <c:dispBlanksAs val="gap"/>
    <c:showDLblsOverMax val="0"/>
  </c:chart>
  <c:spPr>
    <a:solidFill>
      <a:schemeClr val="bg1"/>
    </a:solidFill>
    <a:ln>
      <a:noFill/>
    </a:ln>
    <a:effectLst/>
  </c:spPr>
  <c:txPr>
    <a:bodyPr/>
    <a:lstStyle/>
    <a:p>
      <a:pPr>
        <a:defRPr sz="899">
          <a:latin typeface="Arial" panose="020B0604020202020204" pitchFamily="34" charset="0"/>
          <a:cs typeface="Arial" panose="020B0604020202020204" pitchFamily="34" charset="0"/>
        </a:defRPr>
      </a:pPr>
      <a:endParaRPr lang="ar-S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West Bank</c:v>
                </c:pt>
              </c:strCache>
            </c:strRef>
          </c:tx>
          <c:spPr>
            <a:solidFill>
              <a:schemeClr val="tx2">
                <a:lumMod val="60000"/>
                <a:lumOff val="40000"/>
                <a:alpha val="81000"/>
              </a:schemeClr>
            </a:solidFill>
            <a:ln>
              <a:noFill/>
            </a:ln>
            <a:effectLst/>
          </c:spPr>
          <c:invertIfNegative val="0"/>
          <c:dLbls>
            <c:spPr>
              <a:noFill/>
              <a:ln w="25379">
                <a:noFill/>
              </a:ln>
            </c:spPr>
            <c:txPr>
              <a:bodyPr wrap="square" lIns="38100" tIns="19050" rIns="38100" bIns="19050" anchor="ctr">
                <a:spAutoFit/>
              </a:bodyPr>
              <a:lstStyle/>
              <a:p>
                <a:pPr>
                  <a:defRPr sz="899">
                    <a:latin typeface="Arial" panose="020B0604020202020204" pitchFamily="34" charset="0"/>
                    <a:cs typeface="Arial" panose="020B0604020202020204" pitchFamily="34" charset="0"/>
                  </a:defRPr>
                </a:pPr>
                <a:endParaRPr lang="ar-S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Percentage of  establishments having a decrease in Cash flow availability</c:v>
                </c:pt>
                <c:pt idx="1">
                  <c:v>Percentage of  establishments having a decrease in Supply of financial services normally available</c:v>
                </c:pt>
                <c:pt idx="2">
                  <c:v>Percentage of  establishments having an increase in Returned checks</c:v>
                </c:pt>
              </c:strCache>
            </c:strRef>
          </c:cat>
          <c:val>
            <c:numRef>
              <c:f>Sheet1!$B$2:$B$4</c:f>
              <c:numCache>
                <c:formatCode>General</c:formatCode>
                <c:ptCount val="3"/>
                <c:pt idx="0">
                  <c:v>91</c:v>
                </c:pt>
                <c:pt idx="1">
                  <c:v>59</c:v>
                </c:pt>
                <c:pt idx="2">
                  <c:v>48</c:v>
                </c:pt>
              </c:numCache>
            </c:numRef>
          </c:val>
          <c:extLst>
            <c:ext xmlns:c16="http://schemas.microsoft.com/office/drawing/2014/chart" uri="{C3380CC4-5D6E-409C-BE32-E72D297353CC}">
              <c16:uniqueId val="{00000000-BD55-4A48-8BFA-FFF4C54F426D}"/>
            </c:ext>
          </c:extLst>
        </c:ser>
        <c:ser>
          <c:idx val="1"/>
          <c:order val="1"/>
          <c:tx>
            <c:strRef>
              <c:f>Sheet1!$C$1</c:f>
              <c:strCache>
                <c:ptCount val="1"/>
                <c:pt idx="0">
                  <c:v>Gaza Strip</c:v>
                </c:pt>
              </c:strCache>
            </c:strRef>
          </c:tx>
          <c:spPr>
            <a:solidFill>
              <a:srgbClr val="800000">
                <a:alpha val="53000"/>
              </a:srgbClr>
            </a:solidFill>
            <a:ln>
              <a:noFill/>
            </a:ln>
            <a:effectLst/>
          </c:spPr>
          <c:invertIfNegative val="0"/>
          <c:dLbls>
            <c:spPr>
              <a:noFill/>
              <a:ln w="25379">
                <a:noFill/>
              </a:ln>
            </c:spPr>
            <c:txPr>
              <a:bodyPr wrap="square" lIns="38100" tIns="19050" rIns="38100" bIns="19050" anchor="ctr">
                <a:spAutoFit/>
              </a:bodyPr>
              <a:lstStyle/>
              <a:p>
                <a:pPr>
                  <a:defRPr sz="899">
                    <a:latin typeface="Arial" panose="020B0604020202020204" pitchFamily="34" charset="0"/>
                    <a:cs typeface="Arial" panose="020B0604020202020204" pitchFamily="34" charset="0"/>
                  </a:defRPr>
                </a:pPr>
                <a:endParaRPr lang="ar-S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Percentage of  establishments having a decrease in Cash flow availability</c:v>
                </c:pt>
                <c:pt idx="1">
                  <c:v>Percentage of  establishments having a decrease in Supply of financial services normally available</c:v>
                </c:pt>
                <c:pt idx="2">
                  <c:v>Percentage of  establishments having an increase in Returned checks</c:v>
                </c:pt>
              </c:strCache>
            </c:strRef>
          </c:cat>
          <c:val>
            <c:numRef>
              <c:f>Sheet1!$C$2:$C$4</c:f>
              <c:numCache>
                <c:formatCode>General</c:formatCode>
                <c:ptCount val="3"/>
                <c:pt idx="0">
                  <c:v>84</c:v>
                </c:pt>
                <c:pt idx="1">
                  <c:v>61</c:v>
                </c:pt>
                <c:pt idx="2">
                  <c:v>10</c:v>
                </c:pt>
              </c:numCache>
            </c:numRef>
          </c:val>
          <c:extLst>
            <c:ext xmlns:c16="http://schemas.microsoft.com/office/drawing/2014/chart" uri="{C3380CC4-5D6E-409C-BE32-E72D297353CC}">
              <c16:uniqueId val="{00000001-BD55-4A48-8BFA-FFF4C54F426D}"/>
            </c:ext>
          </c:extLst>
        </c:ser>
        <c:dLbls>
          <c:showLegendKey val="0"/>
          <c:showVal val="0"/>
          <c:showCatName val="0"/>
          <c:showSerName val="0"/>
          <c:showPercent val="0"/>
          <c:showBubbleSize val="0"/>
        </c:dLbls>
        <c:gapWidth val="219"/>
        <c:overlap val="-27"/>
        <c:axId val="150716528"/>
        <c:axId val="1"/>
      </c:barChart>
      <c:catAx>
        <c:axId val="150716528"/>
        <c:scaling>
          <c:orientation val="minMax"/>
        </c:scaling>
        <c:delete val="0"/>
        <c:axPos val="b"/>
        <c:numFmt formatCode="General" sourceLinked="1"/>
        <c:majorTickMark val="none"/>
        <c:minorTickMark val="none"/>
        <c:tickLblPos val="nextTo"/>
        <c:spPr>
          <a:noFill/>
          <a:ln w="9517"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ar-SA"/>
          </a:p>
        </c:txPr>
        <c:crossAx val="1"/>
        <c:crosses val="autoZero"/>
        <c:auto val="1"/>
        <c:lblAlgn val="ctr"/>
        <c:lblOffset val="100"/>
        <c:noMultiLvlLbl val="0"/>
      </c:catAx>
      <c:valAx>
        <c:axId val="1"/>
        <c:scaling>
          <c:orientation val="minMax"/>
        </c:scaling>
        <c:delete val="0"/>
        <c:axPos val="l"/>
        <c:majorGridlines>
          <c:spPr>
            <a:ln w="9517" cap="flat" cmpd="sng" algn="ctr">
              <a:solidFill>
                <a:schemeClr val="tx1">
                  <a:lumMod val="15000"/>
                  <a:lumOff val="85000"/>
                </a:schemeClr>
              </a:solidFill>
              <a:round/>
            </a:ln>
            <a:effectLst/>
          </c:spPr>
        </c:majorGridlines>
        <c:title>
          <c:tx>
            <c:rich>
              <a:bodyPr/>
              <a:lstStyle/>
              <a:p>
                <a:pPr>
                  <a:defRPr sz="899" b="1" i="0" u="none" strike="noStrike" baseline="0">
                    <a:solidFill>
                      <a:srgbClr val="333333"/>
                    </a:solidFill>
                    <a:latin typeface="Arial"/>
                    <a:ea typeface="Arial"/>
                    <a:cs typeface="Arial"/>
                  </a:defRPr>
                </a:pPr>
                <a:r>
                  <a:rPr lang="en-US"/>
                  <a:t>percentage (%)</a:t>
                </a:r>
              </a:p>
            </c:rich>
          </c:tx>
          <c:overlay val="0"/>
          <c:spPr>
            <a:noFill/>
            <a:ln>
              <a:solidFill>
                <a:schemeClr val="tx1"/>
              </a:solidFill>
            </a:ln>
            <a:effectLst/>
          </c:spPr>
        </c:title>
        <c:numFmt formatCode="General" sourceLinked="1"/>
        <c:majorTickMark val="none"/>
        <c:minorTickMark val="none"/>
        <c:tickLblPos val="nextTo"/>
        <c:spPr>
          <a:ln w="9517">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ar-SA"/>
          </a:p>
        </c:txPr>
        <c:crossAx val="150716528"/>
        <c:crosses val="autoZero"/>
        <c:crossBetween val="between"/>
      </c:valAx>
      <c:spPr>
        <a:noFill/>
        <a:ln w="25379">
          <a:noFill/>
        </a:ln>
      </c:spPr>
    </c:plotArea>
    <c:legend>
      <c:legendPos val="b"/>
      <c:overlay val="0"/>
      <c:spPr>
        <a:noFill/>
        <a:ln>
          <a:solidFill>
            <a:schemeClr val="tx1"/>
          </a:solid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ar-SA"/>
        </a:p>
      </c:txPr>
    </c:legend>
    <c:plotVisOnly val="1"/>
    <c:dispBlanksAs val="gap"/>
    <c:showDLblsOverMax val="0"/>
  </c:chart>
  <c:spPr>
    <a:solidFill>
      <a:schemeClr val="bg1"/>
    </a:solidFill>
    <a:ln>
      <a:noFill/>
    </a:ln>
    <a:effectLst/>
  </c:spPr>
  <c:txPr>
    <a:bodyPr/>
    <a:lstStyle/>
    <a:p>
      <a:pPr>
        <a:defRPr/>
      </a:pPr>
      <a:endParaRPr lang="ar-SA"/>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BC75C-8BDC-4FD9-BDBD-1C4BEA10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1737</Words>
  <Characters>9904</Characters>
  <Application>Microsoft Office Word</Application>
  <DocSecurity>0</DocSecurity>
  <Lines>82</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Osaid Al_Arda</dc:creator>
  <cp:keywords/>
  <cp:lastModifiedBy>Adham Dwikat</cp:lastModifiedBy>
  <cp:revision>2</cp:revision>
  <cp:lastPrinted>2020-11-10T11:22:00Z</cp:lastPrinted>
  <dcterms:created xsi:type="dcterms:W3CDTF">2020-11-16T10:16:00Z</dcterms:created>
  <dcterms:modified xsi:type="dcterms:W3CDTF">2020-11-16T10:16:00Z</dcterms:modified>
</cp:coreProperties>
</file>