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9B" w:rsidRDefault="009A689B" w:rsidP="00E52BB1">
      <w:pPr>
        <w:bidi w:val="0"/>
        <w:jc w:val="lowKashida"/>
        <w:rPr>
          <w:b/>
          <w:bCs/>
        </w:rPr>
      </w:pPr>
      <w:bookmarkStart w:id="0" w:name="_GoBack"/>
    </w:p>
    <w:p w:rsidR="009A689B" w:rsidRDefault="009A689B" w:rsidP="009A689B">
      <w:pPr>
        <w:bidi w:val="0"/>
        <w:jc w:val="center"/>
        <w:rPr>
          <w:rFonts w:ascii="Arial" w:hAnsi="Arial" w:cs="Arial"/>
          <w:b/>
          <w:bCs/>
          <w:color w:val="000000"/>
          <w:sz w:val="32"/>
          <w:szCs w:val="32"/>
        </w:rPr>
      </w:pPr>
      <w:r>
        <w:rPr>
          <w:b/>
          <w:bCs/>
          <w:color w:val="000000"/>
          <w:sz w:val="32"/>
          <w:szCs w:val="32"/>
        </w:rPr>
        <w:t>Palestinian Central Bureau of Statistics (PCBS)</w:t>
      </w:r>
    </w:p>
    <w:p w:rsidR="009A689B" w:rsidRDefault="009A689B" w:rsidP="009A689B">
      <w:pPr>
        <w:bidi w:val="0"/>
        <w:jc w:val="center"/>
        <w:rPr>
          <w:rFonts w:ascii="Calibri" w:hAnsi="Calibri" w:cs="Calibri"/>
          <w:b/>
          <w:bCs/>
          <w:color w:val="000000"/>
          <w:sz w:val="16"/>
          <w:szCs w:val="16"/>
          <w:rtl/>
        </w:rPr>
      </w:pPr>
    </w:p>
    <w:p w:rsidR="009A689B" w:rsidRPr="006100B0" w:rsidRDefault="009A689B" w:rsidP="009A689B">
      <w:pPr>
        <w:bidi w:val="0"/>
        <w:jc w:val="center"/>
        <w:rPr>
          <w:b/>
          <w:bCs/>
          <w:color w:val="000000"/>
          <w:sz w:val="30"/>
          <w:szCs w:val="30"/>
          <w:rtl/>
        </w:rPr>
      </w:pPr>
      <w:r w:rsidRPr="006100B0">
        <w:rPr>
          <w:b/>
          <w:bCs/>
          <w:sz w:val="30"/>
          <w:szCs w:val="30"/>
        </w:rPr>
        <w:t>Sharp Increase</w:t>
      </w:r>
      <w:r w:rsidRPr="006100B0">
        <w:rPr>
          <w:b/>
          <w:bCs/>
          <w:sz w:val="30"/>
          <w:szCs w:val="30"/>
          <w:rtl/>
        </w:rPr>
        <w:t xml:space="preserve"> </w:t>
      </w:r>
      <w:r w:rsidRPr="006100B0">
        <w:rPr>
          <w:b/>
          <w:bCs/>
          <w:sz w:val="30"/>
          <w:szCs w:val="30"/>
        </w:rPr>
        <w:t xml:space="preserve">in the </w:t>
      </w:r>
      <w:r w:rsidRPr="006100B0">
        <w:rPr>
          <w:b/>
          <w:bCs/>
          <w:color w:val="000000"/>
          <w:sz w:val="30"/>
          <w:szCs w:val="30"/>
        </w:rPr>
        <w:t xml:space="preserve">Consumer Price Index </w:t>
      </w:r>
      <w:r w:rsidRPr="006100B0">
        <w:rPr>
          <w:b/>
          <w:bCs/>
          <w:sz w:val="30"/>
          <w:szCs w:val="30"/>
        </w:rPr>
        <w:t>(CPI)</w:t>
      </w:r>
      <w:r w:rsidRPr="006100B0">
        <w:rPr>
          <w:b/>
          <w:bCs/>
          <w:color w:val="000000"/>
          <w:sz w:val="30"/>
          <w:szCs w:val="30"/>
        </w:rPr>
        <w:t xml:space="preserve"> </w:t>
      </w:r>
      <w:r w:rsidRPr="006100B0">
        <w:rPr>
          <w:b/>
          <w:bCs/>
          <w:sz w:val="30"/>
          <w:szCs w:val="30"/>
        </w:rPr>
        <w:t>September</w:t>
      </w:r>
      <w:r w:rsidRPr="006100B0">
        <w:rPr>
          <w:b/>
          <w:bCs/>
          <w:color w:val="000000"/>
          <w:sz w:val="30"/>
          <w:szCs w:val="30"/>
        </w:rPr>
        <w:t>, 09</w:t>
      </w:r>
      <w:r w:rsidRPr="006100B0">
        <w:rPr>
          <w:b/>
          <w:bCs/>
          <w:color w:val="000000"/>
          <w:sz w:val="30"/>
          <w:szCs w:val="30"/>
          <w:rtl/>
        </w:rPr>
        <w:t>/</w:t>
      </w:r>
      <w:r w:rsidRPr="006100B0">
        <w:rPr>
          <w:b/>
          <w:bCs/>
          <w:color w:val="000000"/>
          <w:sz w:val="30"/>
          <w:szCs w:val="30"/>
        </w:rPr>
        <w:t>2020</w:t>
      </w:r>
    </w:p>
    <w:p w:rsidR="009A689B" w:rsidRDefault="009A689B" w:rsidP="009A689B">
      <w:pPr>
        <w:bidi w:val="0"/>
        <w:jc w:val="both"/>
        <w:rPr>
          <w:b/>
          <w:bCs/>
          <w:sz w:val="16"/>
          <w:szCs w:val="16"/>
        </w:rPr>
      </w:pPr>
    </w:p>
    <w:p w:rsidR="009A689B" w:rsidRPr="00CD3C48" w:rsidRDefault="009A689B" w:rsidP="009A689B">
      <w:pPr>
        <w:bidi w:val="0"/>
        <w:jc w:val="lowKashida"/>
        <w:rPr>
          <w:b/>
          <w:bCs/>
          <w:sz w:val="16"/>
          <w:szCs w:val="16"/>
        </w:rPr>
      </w:pPr>
    </w:p>
    <w:p w:rsidR="00E52BB1" w:rsidRPr="003B0FAF" w:rsidRDefault="00E52BB1" w:rsidP="009A689B">
      <w:pPr>
        <w:bidi w:val="0"/>
        <w:jc w:val="lowKashida"/>
        <w:rPr>
          <w:b/>
          <w:bCs/>
          <w:sz w:val="8"/>
          <w:szCs w:val="8"/>
        </w:rPr>
      </w:pPr>
    </w:p>
    <w:p w:rsidR="00B97F74" w:rsidRPr="009A689B" w:rsidRDefault="00D870F0" w:rsidP="009A689B">
      <w:pPr>
        <w:bidi w:val="0"/>
        <w:jc w:val="lowKashida"/>
        <w:rPr>
          <w:b/>
          <w:bCs/>
          <w:sz w:val="26"/>
          <w:szCs w:val="26"/>
        </w:rPr>
      </w:pPr>
      <w:r w:rsidRPr="009A689B">
        <w:rPr>
          <w:sz w:val="26"/>
          <w:szCs w:val="26"/>
        </w:rPr>
        <w:t>T</w:t>
      </w:r>
      <w:r w:rsidR="004079A5" w:rsidRPr="009A689B">
        <w:rPr>
          <w:sz w:val="26"/>
          <w:szCs w:val="26"/>
        </w:rPr>
        <w:t xml:space="preserve">he overall </w:t>
      </w:r>
      <w:r w:rsidR="00230FBE" w:rsidRPr="009A689B">
        <w:rPr>
          <w:sz w:val="26"/>
          <w:szCs w:val="26"/>
        </w:rPr>
        <w:t>CPI</w:t>
      </w:r>
      <w:r w:rsidR="004079A5" w:rsidRPr="009A689B">
        <w:rPr>
          <w:sz w:val="26"/>
          <w:szCs w:val="26"/>
        </w:rPr>
        <w:t xml:space="preserve"> fo</w:t>
      </w:r>
      <w:r w:rsidR="00F40B11" w:rsidRPr="009A689B">
        <w:rPr>
          <w:sz w:val="26"/>
          <w:szCs w:val="26"/>
        </w:rPr>
        <w:t xml:space="preserve">r </w:t>
      </w:r>
      <w:r w:rsidR="006F0B8C" w:rsidRPr="009A689B">
        <w:rPr>
          <w:sz w:val="26"/>
          <w:szCs w:val="26"/>
        </w:rPr>
        <w:t>Palestine</w:t>
      </w:r>
      <w:r w:rsidR="00F40B11" w:rsidRPr="009A689B">
        <w:rPr>
          <w:sz w:val="26"/>
          <w:szCs w:val="26"/>
        </w:rPr>
        <w:t xml:space="preserve"> </w:t>
      </w:r>
      <w:r w:rsidR="001A1C4F" w:rsidRPr="009A689B">
        <w:rPr>
          <w:sz w:val="26"/>
          <w:szCs w:val="26"/>
        </w:rPr>
        <w:t xml:space="preserve">during </w:t>
      </w:r>
      <w:r w:rsidR="00787E2D" w:rsidRPr="009A689B">
        <w:rPr>
          <w:sz w:val="26"/>
          <w:szCs w:val="26"/>
        </w:rPr>
        <w:t>September</w:t>
      </w:r>
      <w:r w:rsidR="00C24603" w:rsidRPr="009A689B">
        <w:rPr>
          <w:sz w:val="26"/>
          <w:szCs w:val="26"/>
        </w:rPr>
        <w:t xml:space="preserve"> </w:t>
      </w:r>
      <w:r w:rsidR="005C035D" w:rsidRPr="009A689B">
        <w:rPr>
          <w:sz w:val="26"/>
          <w:szCs w:val="26"/>
        </w:rPr>
        <w:t>20</w:t>
      </w:r>
      <w:r w:rsidR="00E12DB8" w:rsidRPr="009A689B">
        <w:rPr>
          <w:sz w:val="26"/>
          <w:szCs w:val="26"/>
        </w:rPr>
        <w:t>20</w:t>
      </w:r>
      <w:r w:rsidR="003559C9" w:rsidRPr="009A689B">
        <w:rPr>
          <w:b/>
          <w:bCs/>
          <w:sz w:val="26"/>
          <w:szCs w:val="26"/>
        </w:rPr>
        <w:t xml:space="preserve"> </w:t>
      </w:r>
      <w:r w:rsidR="00787E2D" w:rsidRPr="009A689B">
        <w:rPr>
          <w:b/>
          <w:bCs/>
          <w:sz w:val="26"/>
          <w:szCs w:val="26"/>
        </w:rPr>
        <w:t xml:space="preserve">Recorded a Sharp </w:t>
      </w:r>
      <w:r w:rsidR="0040593A" w:rsidRPr="009A689B">
        <w:rPr>
          <w:b/>
          <w:bCs/>
          <w:sz w:val="26"/>
          <w:szCs w:val="26"/>
        </w:rPr>
        <w:t>In</w:t>
      </w:r>
      <w:r w:rsidR="00510A89" w:rsidRPr="009A689B">
        <w:rPr>
          <w:b/>
          <w:bCs/>
          <w:sz w:val="26"/>
          <w:szCs w:val="26"/>
        </w:rPr>
        <w:t>crease</w:t>
      </w:r>
      <w:r w:rsidR="00E52BB1" w:rsidRPr="009A689B">
        <w:rPr>
          <w:b/>
          <w:bCs/>
          <w:sz w:val="26"/>
          <w:szCs w:val="26"/>
        </w:rPr>
        <w:t xml:space="preserve"> by </w:t>
      </w:r>
      <w:r w:rsidR="00787E2D" w:rsidRPr="009A689B">
        <w:rPr>
          <w:b/>
          <w:bCs/>
          <w:sz w:val="26"/>
          <w:szCs w:val="26"/>
        </w:rPr>
        <w:t>1.26</w:t>
      </w:r>
      <w:r w:rsidR="00E52BB1" w:rsidRPr="009A689B">
        <w:rPr>
          <w:b/>
          <w:bCs/>
          <w:sz w:val="26"/>
          <w:szCs w:val="26"/>
        </w:rPr>
        <w:t xml:space="preserve">% </w:t>
      </w:r>
      <w:r w:rsidR="004079A5" w:rsidRPr="009A689B">
        <w:rPr>
          <w:sz w:val="26"/>
          <w:szCs w:val="26"/>
        </w:rPr>
        <w:t xml:space="preserve">compared </w:t>
      </w:r>
      <w:r w:rsidR="00E939CB" w:rsidRPr="009A689B">
        <w:rPr>
          <w:sz w:val="26"/>
          <w:szCs w:val="26"/>
        </w:rPr>
        <w:t>with</w:t>
      </w:r>
      <w:r w:rsidR="004079A5" w:rsidRPr="009A689B">
        <w:rPr>
          <w:sz w:val="26"/>
          <w:szCs w:val="26"/>
        </w:rPr>
        <w:t xml:space="preserve"> </w:t>
      </w:r>
      <w:r w:rsidR="00787E2D" w:rsidRPr="009A689B">
        <w:rPr>
          <w:sz w:val="26"/>
          <w:szCs w:val="26"/>
        </w:rPr>
        <w:t>August</w:t>
      </w:r>
      <w:r w:rsidR="004079A5" w:rsidRPr="009A689B">
        <w:rPr>
          <w:sz w:val="26"/>
          <w:szCs w:val="26"/>
        </w:rPr>
        <w:t xml:space="preserve"> </w:t>
      </w:r>
      <w:r w:rsidR="00571434" w:rsidRPr="009A689B">
        <w:rPr>
          <w:sz w:val="26"/>
          <w:szCs w:val="26"/>
        </w:rPr>
        <w:t>2020</w:t>
      </w:r>
      <w:r w:rsidR="00285A6B" w:rsidRPr="009A689B">
        <w:rPr>
          <w:sz w:val="26"/>
          <w:szCs w:val="26"/>
        </w:rPr>
        <w:t xml:space="preserve"> (</w:t>
      </w:r>
      <w:r w:rsidR="006916A1" w:rsidRPr="009A689B">
        <w:rPr>
          <w:sz w:val="26"/>
          <w:szCs w:val="26"/>
        </w:rPr>
        <w:t xml:space="preserve">by </w:t>
      </w:r>
      <w:r w:rsidR="00787E2D" w:rsidRPr="009A689B">
        <w:rPr>
          <w:sz w:val="26"/>
          <w:szCs w:val="26"/>
        </w:rPr>
        <w:t>1.57</w:t>
      </w:r>
      <w:r w:rsidR="006916A1" w:rsidRPr="009A689B">
        <w:rPr>
          <w:sz w:val="26"/>
          <w:szCs w:val="26"/>
        </w:rPr>
        <w:t xml:space="preserve">% </w:t>
      </w:r>
      <w:r w:rsidR="00BD020B" w:rsidRPr="009A689B">
        <w:rPr>
          <w:sz w:val="26"/>
          <w:szCs w:val="26"/>
        </w:rPr>
        <w:t xml:space="preserve">in </w:t>
      </w:r>
      <w:r w:rsidR="00787E2D" w:rsidRPr="009A689B">
        <w:rPr>
          <w:sz w:val="26"/>
          <w:szCs w:val="26"/>
        </w:rPr>
        <w:t>Gaza Strip</w:t>
      </w:r>
      <w:r w:rsidR="00BD020B" w:rsidRPr="009A689B">
        <w:rPr>
          <w:sz w:val="26"/>
          <w:szCs w:val="26"/>
        </w:rPr>
        <w:t xml:space="preserve">, by </w:t>
      </w:r>
      <w:r w:rsidR="00787E2D" w:rsidRPr="009A689B">
        <w:rPr>
          <w:sz w:val="26"/>
          <w:szCs w:val="26"/>
        </w:rPr>
        <w:t>1.32</w:t>
      </w:r>
      <w:r w:rsidR="00BD020B" w:rsidRPr="009A689B">
        <w:rPr>
          <w:sz w:val="26"/>
          <w:szCs w:val="26"/>
        </w:rPr>
        <w:t xml:space="preserve">% </w:t>
      </w:r>
      <w:r w:rsidR="00571434" w:rsidRPr="009A689B">
        <w:rPr>
          <w:sz w:val="26"/>
          <w:szCs w:val="26"/>
        </w:rPr>
        <w:t>in</w:t>
      </w:r>
      <w:r w:rsidR="00787E2D" w:rsidRPr="009A689B">
        <w:rPr>
          <w:sz w:val="26"/>
          <w:szCs w:val="26"/>
        </w:rPr>
        <w:t xml:space="preserve"> the West Bank**</w:t>
      </w:r>
      <w:r w:rsidR="00E52BB1" w:rsidRPr="009A689B">
        <w:rPr>
          <w:sz w:val="26"/>
          <w:szCs w:val="26"/>
        </w:rPr>
        <w:t xml:space="preserve">, </w:t>
      </w:r>
      <w:r w:rsidR="00787E2D" w:rsidRPr="009A689B">
        <w:rPr>
          <w:sz w:val="26"/>
          <w:szCs w:val="26"/>
        </w:rPr>
        <w:t xml:space="preserve">and </w:t>
      </w:r>
      <w:r w:rsidR="00E12DB8" w:rsidRPr="009A689B">
        <w:rPr>
          <w:sz w:val="26"/>
          <w:szCs w:val="26"/>
        </w:rPr>
        <w:t xml:space="preserve">by </w:t>
      </w:r>
      <w:r w:rsidR="00787E2D" w:rsidRPr="009A689B">
        <w:rPr>
          <w:sz w:val="26"/>
          <w:szCs w:val="26"/>
        </w:rPr>
        <w:t>0.44</w:t>
      </w:r>
      <w:r w:rsidR="00E12DB8" w:rsidRPr="009A689B">
        <w:rPr>
          <w:sz w:val="26"/>
          <w:szCs w:val="26"/>
        </w:rPr>
        <w:t xml:space="preserve">% </w:t>
      </w:r>
      <w:r w:rsidR="00571434" w:rsidRPr="009A689B">
        <w:rPr>
          <w:sz w:val="26"/>
          <w:szCs w:val="26"/>
        </w:rPr>
        <w:t>in</w:t>
      </w:r>
      <w:r w:rsidR="00E52BB1" w:rsidRPr="009A689B">
        <w:rPr>
          <w:sz w:val="26"/>
          <w:szCs w:val="26"/>
        </w:rPr>
        <w:t xml:space="preserve"> </w:t>
      </w:r>
      <w:r w:rsidR="00787E2D" w:rsidRPr="009A689B">
        <w:rPr>
          <w:sz w:val="26"/>
          <w:szCs w:val="26"/>
        </w:rPr>
        <w:t>Jerusalem J1*</w:t>
      </w:r>
      <w:r w:rsidR="00AE2C56" w:rsidRPr="009A689B">
        <w:rPr>
          <w:sz w:val="26"/>
          <w:szCs w:val="26"/>
        </w:rPr>
        <w:t>).</w:t>
      </w:r>
      <w:r w:rsidR="00FF3F67" w:rsidRPr="009A689B">
        <w:rPr>
          <w:sz w:val="26"/>
          <w:szCs w:val="26"/>
        </w:rPr>
        <w:t xml:space="preserve"> </w:t>
      </w:r>
    </w:p>
    <w:p w:rsidR="006134BE" w:rsidRPr="00CD3C48" w:rsidRDefault="006134BE" w:rsidP="006134BE">
      <w:pPr>
        <w:bidi w:val="0"/>
        <w:spacing w:line="360" w:lineRule="auto"/>
        <w:jc w:val="lowKashida"/>
        <w:rPr>
          <w:sz w:val="16"/>
          <w:szCs w:val="16"/>
        </w:rPr>
      </w:pPr>
    </w:p>
    <w:p w:rsidR="00B97F74" w:rsidRPr="009A689B" w:rsidRDefault="00B97F74" w:rsidP="009A689B">
      <w:pPr>
        <w:bidi w:val="0"/>
        <w:jc w:val="lowKashida"/>
        <w:rPr>
          <w:sz w:val="26"/>
          <w:szCs w:val="26"/>
        </w:rPr>
      </w:pPr>
      <w:r w:rsidRPr="009A689B">
        <w:rPr>
          <w:sz w:val="26"/>
          <w:szCs w:val="26"/>
        </w:rPr>
        <w:t>The change</w:t>
      </w:r>
      <w:r w:rsidR="005C035D" w:rsidRPr="009A689B">
        <w:rPr>
          <w:sz w:val="26"/>
          <w:szCs w:val="26"/>
        </w:rPr>
        <w:t>s</w:t>
      </w:r>
      <w:r w:rsidRPr="009A689B">
        <w:rPr>
          <w:sz w:val="26"/>
          <w:szCs w:val="26"/>
        </w:rPr>
        <w:t xml:space="preserve"> in </w:t>
      </w:r>
      <w:r w:rsidR="005C035D" w:rsidRPr="009A689B">
        <w:rPr>
          <w:sz w:val="26"/>
          <w:szCs w:val="26"/>
        </w:rPr>
        <w:t>Palestinian CPI</w:t>
      </w:r>
      <w:r w:rsidRPr="009A689B">
        <w:rPr>
          <w:sz w:val="26"/>
          <w:szCs w:val="26"/>
        </w:rPr>
        <w:t xml:space="preserve"> for </w:t>
      </w:r>
      <w:r w:rsidR="00787E2D" w:rsidRPr="009A689B">
        <w:rPr>
          <w:sz w:val="26"/>
          <w:szCs w:val="26"/>
        </w:rPr>
        <w:t>September</w:t>
      </w:r>
      <w:r w:rsidR="007D49C3" w:rsidRPr="009A689B">
        <w:rPr>
          <w:sz w:val="26"/>
          <w:szCs w:val="26"/>
        </w:rPr>
        <w:t xml:space="preserve"> </w:t>
      </w:r>
      <w:r w:rsidR="005C035D" w:rsidRPr="009A689B">
        <w:rPr>
          <w:sz w:val="26"/>
          <w:szCs w:val="26"/>
        </w:rPr>
        <w:t>20</w:t>
      </w:r>
      <w:r w:rsidR="003018D3" w:rsidRPr="009A689B">
        <w:rPr>
          <w:sz w:val="26"/>
          <w:szCs w:val="26"/>
        </w:rPr>
        <w:t>20</w:t>
      </w:r>
      <w:r w:rsidRPr="009A689B">
        <w:rPr>
          <w:sz w:val="26"/>
          <w:szCs w:val="26"/>
        </w:rPr>
        <w:t xml:space="preserve"> </w:t>
      </w:r>
      <w:r w:rsidR="00235C91" w:rsidRPr="009A689B">
        <w:rPr>
          <w:sz w:val="26"/>
          <w:szCs w:val="26"/>
        </w:rPr>
        <w:t>were</w:t>
      </w:r>
      <w:r w:rsidR="009F28F3" w:rsidRPr="009A689B">
        <w:rPr>
          <w:sz w:val="26"/>
          <w:szCs w:val="26"/>
        </w:rPr>
        <w:t xml:space="preserve"> </w:t>
      </w:r>
      <w:r w:rsidRPr="009A689B">
        <w:rPr>
          <w:sz w:val="26"/>
          <w:szCs w:val="26"/>
        </w:rPr>
        <w:t>traced back to changes in prices of the following expenditure sub groups compared with previous month:</w:t>
      </w:r>
      <w:r w:rsidR="002A4B4B" w:rsidRPr="009A689B">
        <w:rPr>
          <w:b/>
          <w:bCs/>
          <w:noProof/>
          <w:sz w:val="26"/>
          <w:szCs w:val="26"/>
          <w:lang w:eastAsia="en-US"/>
        </w:rPr>
        <w:t xml:space="preserve"> </w:t>
      </w:r>
    </w:p>
    <w:p w:rsidR="00B97F74" w:rsidRPr="009A689B" w:rsidRDefault="00B97F74" w:rsidP="00B97F74">
      <w:pPr>
        <w:bidi w:val="0"/>
        <w:jc w:val="both"/>
        <w:rPr>
          <w:sz w:val="26"/>
          <w:szCs w:val="26"/>
        </w:rPr>
      </w:pPr>
    </w:p>
    <w:tbl>
      <w:tblPr>
        <w:tblW w:w="5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8"/>
        <w:gridCol w:w="2575"/>
      </w:tblGrid>
      <w:tr w:rsidR="00B97F74" w:rsidRPr="009A689B" w:rsidTr="00CD3C48">
        <w:trPr>
          <w:trHeight w:hRule="exact" w:val="347"/>
          <w:tblHeader/>
          <w:jc w:val="center"/>
        </w:trPr>
        <w:tc>
          <w:tcPr>
            <w:tcW w:w="2668" w:type="dxa"/>
            <w:vAlign w:val="center"/>
          </w:tcPr>
          <w:p w:rsidR="00B97F74" w:rsidRPr="009A689B" w:rsidRDefault="00B97F74" w:rsidP="00306885">
            <w:pPr>
              <w:pStyle w:val="BodyText3"/>
              <w:bidi w:val="0"/>
              <w:rPr>
                <w:sz w:val="26"/>
                <w:szCs w:val="26"/>
              </w:rPr>
            </w:pPr>
            <w:r w:rsidRPr="009A689B">
              <w:rPr>
                <w:b/>
                <w:bCs/>
                <w:sz w:val="26"/>
                <w:szCs w:val="26"/>
              </w:rPr>
              <w:t>Sub Groups</w:t>
            </w:r>
          </w:p>
        </w:tc>
        <w:tc>
          <w:tcPr>
            <w:tcW w:w="2575" w:type="dxa"/>
            <w:vAlign w:val="center"/>
          </w:tcPr>
          <w:p w:rsidR="00B97F74" w:rsidRPr="009A689B" w:rsidRDefault="004A26E9" w:rsidP="00306885">
            <w:pPr>
              <w:pStyle w:val="BodyText3"/>
              <w:bidi w:val="0"/>
              <w:jc w:val="center"/>
              <w:rPr>
                <w:b/>
                <w:bCs/>
                <w:sz w:val="26"/>
                <w:szCs w:val="26"/>
              </w:rPr>
            </w:pPr>
            <w:r w:rsidRPr="009A689B">
              <w:rPr>
                <w:b/>
                <w:bCs/>
                <w:sz w:val="26"/>
                <w:szCs w:val="26"/>
              </w:rPr>
              <w:t xml:space="preserve">Percent </w:t>
            </w:r>
            <w:r w:rsidR="00B97F74" w:rsidRPr="009A689B">
              <w:rPr>
                <w:b/>
                <w:bCs/>
                <w:sz w:val="26"/>
                <w:szCs w:val="26"/>
              </w:rPr>
              <w:t>Change</w:t>
            </w:r>
          </w:p>
        </w:tc>
      </w:tr>
      <w:tr w:rsidR="00B40B66" w:rsidRPr="009A689B" w:rsidTr="00CD3C48">
        <w:trPr>
          <w:trHeight w:hRule="exact" w:val="437"/>
          <w:jc w:val="center"/>
        </w:trPr>
        <w:tc>
          <w:tcPr>
            <w:tcW w:w="2668" w:type="dxa"/>
            <w:vAlign w:val="center"/>
          </w:tcPr>
          <w:p w:rsidR="00B40B66" w:rsidRPr="009A689B" w:rsidRDefault="00B40B66" w:rsidP="00B952EE">
            <w:pPr>
              <w:bidi w:val="0"/>
              <w:rPr>
                <w:sz w:val="26"/>
                <w:szCs w:val="26"/>
              </w:rPr>
            </w:pPr>
            <w:r w:rsidRPr="009A689B">
              <w:rPr>
                <w:sz w:val="26"/>
                <w:szCs w:val="26"/>
              </w:rPr>
              <w:t>Fresh Vegetables</w:t>
            </w:r>
          </w:p>
        </w:tc>
        <w:tc>
          <w:tcPr>
            <w:tcW w:w="2575" w:type="dxa"/>
            <w:vAlign w:val="center"/>
          </w:tcPr>
          <w:p w:rsidR="00B40B66" w:rsidRPr="009A689B" w:rsidRDefault="00B40B66" w:rsidP="009A689B">
            <w:pPr>
              <w:tabs>
                <w:tab w:val="right" w:pos="338"/>
              </w:tabs>
              <w:bidi w:val="0"/>
              <w:jc w:val="center"/>
              <w:rPr>
                <w:sz w:val="26"/>
                <w:szCs w:val="26"/>
              </w:rPr>
            </w:pPr>
            <w:r w:rsidRPr="009A689B">
              <w:rPr>
                <w:sz w:val="26"/>
                <w:szCs w:val="26"/>
              </w:rPr>
              <w:t>+ 19.65%</w:t>
            </w:r>
          </w:p>
        </w:tc>
      </w:tr>
      <w:tr w:rsidR="00B40B66" w:rsidRPr="009A689B" w:rsidTr="00CD3C48">
        <w:trPr>
          <w:trHeight w:hRule="exact" w:val="365"/>
          <w:jc w:val="center"/>
        </w:trPr>
        <w:tc>
          <w:tcPr>
            <w:tcW w:w="2668" w:type="dxa"/>
            <w:vAlign w:val="center"/>
          </w:tcPr>
          <w:p w:rsidR="00B40B66" w:rsidRPr="009A689B" w:rsidRDefault="00B40B66" w:rsidP="00B952EE">
            <w:pPr>
              <w:bidi w:val="0"/>
              <w:rPr>
                <w:sz w:val="26"/>
                <w:szCs w:val="26"/>
              </w:rPr>
            </w:pPr>
            <w:r w:rsidRPr="009A689B">
              <w:rPr>
                <w:sz w:val="26"/>
                <w:szCs w:val="26"/>
              </w:rPr>
              <w:t>Dried Vegetables</w:t>
            </w:r>
          </w:p>
        </w:tc>
        <w:tc>
          <w:tcPr>
            <w:tcW w:w="2575" w:type="dxa"/>
            <w:vAlign w:val="center"/>
          </w:tcPr>
          <w:p w:rsidR="00B40B66" w:rsidRPr="009A689B" w:rsidRDefault="00B40B66" w:rsidP="009A689B">
            <w:pPr>
              <w:tabs>
                <w:tab w:val="right" w:pos="338"/>
              </w:tabs>
              <w:bidi w:val="0"/>
              <w:jc w:val="center"/>
              <w:rPr>
                <w:sz w:val="26"/>
                <w:szCs w:val="26"/>
              </w:rPr>
            </w:pPr>
            <w:r w:rsidRPr="009A689B">
              <w:rPr>
                <w:sz w:val="26"/>
                <w:szCs w:val="26"/>
              </w:rPr>
              <w:t>+ 14.03%</w:t>
            </w:r>
          </w:p>
        </w:tc>
      </w:tr>
      <w:tr w:rsidR="00B952EE" w:rsidRPr="009A689B" w:rsidTr="00CD3C48">
        <w:trPr>
          <w:trHeight w:hRule="exact" w:val="275"/>
          <w:jc w:val="center"/>
        </w:trPr>
        <w:tc>
          <w:tcPr>
            <w:tcW w:w="2668" w:type="dxa"/>
            <w:vAlign w:val="center"/>
          </w:tcPr>
          <w:p w:rsidR="00B952EE" w:rsidRPr="009A689B" w:rsidRDefault="00B952EE" w:rsidP="00B952EE">
            <w:pPr>
              <w:bidi w:val="0"/>
              <w:rPr>
                <w:sz w:val="26"/>
                <w:szCs w:val="26"/>
              </w:rPr>
            </w:pPr>
            <w:r w:rsidRPr="009A689B">
              <w:rPr>
                <w:sz w:val="26"/>
                <w:szCs w:val="26"/>
              </w:rPr>
              <w:t>Fresh Chicken</w:t>
            </w:r>
          </w:p>
        </w:tc>
        <w:tc>
          <w:tcPr>
            <w:tcW w:w="2575" w:type="dxa"/>
            <w:vAlign w:val="center"/>
          </w:tcPr>
          <w:p w:rsidR="00B952EE" w:rsidRPr="009A689B" w:rsidRDefault="00B952EE" w:rsidP="009A689B">
            <w:pPr>
              <w:tabs>
                <w:tab w:val="right" w:pos="338"/>
              </w:tabs>
              <w:bidi w:val="0"/>
              <w:jc w:val="center"/>
              <w:rPr>
                <w:sz w:val="26"/>
                <w:szCs w:val="26"/>
              </w:rPr>
            </w:pPr>
            <w:r w:rsidRPr="009A689B">
              <w:rPr>
                <w:sz w:val="26"/>
                <w:szCs w:val="26"/>
              </w:rPr>
              <w:t>+ 9.89%</w:t>
            </w:r>
          </w:p>
        </w:tc>
      </w:tr>
      <w:tr w:rsidR="00B952EE" w:rsidRPr="009A689B" w:rsidTr="00CD3C48">
        <w:trPr>
          <w:trHeight w:hRule="exact" w:val="365"/>
          <w:jc w:val="center"/>
        </w:trPr>
        <w:tc>
          <w:tcPr>
            <w:tcW w:w="2668" w:type="dxa"/>
            <w:vAlign w:val="center"/>
          </w:tcPr>
          <w:p w:rsidR="00B952EE" w:rsidRPr="009A689B" w:rsidRDefault="00B952EE" w:rsidP="00B952EE">
            <w:pPr>
              <w:bidi w:val="0"/>
              <w:rPr>
                <w:sz w:val="26"/>
                <w:szCs w:val="26"/>
              </w:rPr>
            </w:pPr>
            <w:r w:rsidRPr="009A689B">
              <w:rPr>
                <w:sz w:val="26"/>
                <w:szCs w:val="26"/>
              </w:rPr>
              <w:t>Eggs</w:t>
            </w:r>
          </w:p>
        </w:tc>
        <w:tc>
          <w:tcPr>
            <w:tcW w:w="2575" w:type="dxa"/>
            <w:vAlign w:val="center"/>
          </w:tcPr>
          <w:p w:rsidR="00B952EE" w:rsidRPr="009A689B" w:rsidRDefault="00B952EE" w:rsidP="009A689B">
            <w:pPr>
              <w:tabs>
                <w:tab w:val="right" w:pos="338"/>
              </w:tabs>
              <w:bidi w:val="0"/>
              <w:jc w:val="center"/>
              <w:rPr>
                <w:sz w:val="26"/>
                <w:szCs w:val="26"/>
              </w:rPr>
            </w:pPr>
            <w:r w:rsidRPr="009A689B">
              <w:rPr>
                <w:sz w:val="26"/>
                <w:szCs w:val="26"/>
              </w:rPr>
              <w:t>+ 6.96%</w:t>
            </w:r>
          </w:p>
        </w:tc>
      </w:tr>
      <w:tr w:rsidR="00B952EE" w:rsidRPr="009A689B" w:rsidTr="00CD3C48">
        <w:trPr>
          <w:trHeight w:hRule="exact" w:val="347"/>
          <w:jc w:val="center"/>
        </w:trPr>
        <w:tc>
          <w:tcPr>
            <w:tcW w:w="2668" w:type="dxa"/>
            <w:vAlign w:val="center"/>
          </w:tcPr>
          <w:p w:rsidR="00B952EE" w:rsidRPr="009A689B" w:rsidRDefault="00B952EE" w:rsidP="00B952EE">
            <w:pPr>
              <w:bidi w:val="0"/>
              <w:rPr>
                <w:sz w:val="26"/>
                <w:szCs w:val="26"/>
              </w:rPr>
            </w:pPr>
            <w:r w:rsidRPr="009A689B">
              <w:rPr>
                <w:sz w:val="26"/>
                <w:szCs w:val="26"/>
              </w:rPr>
              <w:t>Fresh Fruit</w:t>
            </w:r>
          </w:p>
        </w:tc>
        <w:tc>
          <w:tcPr>
            <w:tcW w:w="2575" w:type="dxa"/>
            <w:vAlign w:val="center"/>
          </w:tcPr>
          <w:p w:rsidR="00B952EE" w:rsidRPr="009A689B" w:rsidRDefault="00B952EE" w:rsidP="009A689B">
            <w:pPr>
              <w:tabs>
                <w:tab w:val="right" w:pos="338"/>
              </w:tabs>
              <w:bidi w:val="0"/>
              <w:jc w:val="center"/>
              <w:rPr>
                <w:sz w:val="26"/>
                <w:szCs w:val="26"/>
              </w:rPr>
            </w:pPr>
            <w:r w:rsidRPr="009A689B">
              <w:rPr>
                <w:sz w:val="26"/>
                <w:szCs w:val="26"/>
              </w:rPr>
              <w:t xml:space="preserve">- </w:t>
            </w:r>
            <w:r w:rsidR="00766BA2" w:rsidRPr="009A689B">
              <w:rPr>
                <w:sz w:val="26"/>
                <w:szCs w:val="26"/>
              </w:rPr>
              <w:t>2.17</w:t>
            </w:r>
            <w:r w:rsidRPr="009A689B">
              <w:rPr>
                <w:sz w:val="26"/>
                <w:szCs w:val="26"/>
              </w:rPr>
              <w:t>%</w:t>
            </w:r>
          </w:p>
        </w:tc>
      </w:tr>
    </w:tbl>
    <w:p w:rsidR="00D54C28" w:rsidRPr="009A689B" w:rsidRDefault="00D54C28" w:rsidP="00A4668A">
      <w:pPr>
        <w:bidi w:val="0"/>
        <w:spacing w:line="360" w:lineRule="auto"/>
        <w:jc w:val="lowKashida"/>
        <w:rPr>
          <w:sz w:val="16"/>
          <w:szCs w:val="16"/>
        </w:rPr>
      </w:pPr>
    </w:p>
    <w:p w:rsidR="009F28F3" w:rsidRPr="009A689B" w:rsidRDefault="00285A6B" w:rsidP="009A689B">
      <w:pPr>
        <w:bidi w:val="0"/>
        <w:jc w:val="lowKashida"/>
        <w:rPr>
          <w:sz w:val="26"/>
          <w:szCs w:val="26"/>
        </w:rPr>
      </w:pPr>
      <w:r w:rsidRPr="009A689B">
        <w:rPr>
          <w:sz w:val="26"/>
          <w:szCs w:val="26"/>
        </w:rPr>
        <w:t>The</w:t>
      </w:r>
      <w:r w:rsidR="00B713D3" w:rsidRPr="009A689B">
        <w:rPr>
          <w:sz w:val="26"/>
          <w:szCs w:val="26"/>
        </w:rPr>
        <w:t xml:space="preserve"> </w:t>
      </w:r>
      <w:r w:rsidR="00A31479" w:rsidRPr="009A689B">
        <w:rPr>
          <w:sz w:val="26"/>
          <w:szCs w:val="26"/>
        </w:rPr>
        <w:t xml:space="preserve">Palestinian </w:t>
      </w:r>
      <w:r w:rsidRPr="009A689B">
        <w:rPr>
          <w:sz w:val="26"/>
          <w:szCs w:val="26"/>
        </w:rPr>
        <w:t xml:space="preserve">CPI during </w:t>
      </w:r>
      <w:r w:rsidR="00D64F71" w:rsidRPr="009A689B">
        <w:rPr>
          <w:sz w:val="26"/>
          <w:szCs w:val="26"/>
        </w:rPr>
        <w:t>September</w:t>
      </w:r>
      <w:r w:rsidR="00140ECF" w:rsidRPr="009A689B">
        <w:rPr>
          <w:sz w:val="26"/>
          <w:szCs w:val="26"/>
        </w:rPr>
        <w:t xml:space="preserve"> </w:t>
      </w:r>
      <w:r w:rsidR="0051767C" w:rsidRPr="009A689B">
        <w:rPr>
          <w:sz w:val="26"/>
          <w:szCs w:val="26"/>
        </w:rPr>
        <w:t>20</w:t>
      </w:r>
      <w:r w:rsidR="003018D3" w:rsidRPr="009A689B">
        <w:rPr>
          <w:sz w:val="26"/>
          <w:szCs w:val="26"/>
        </w:rPr>
        <w:t>20</w:t>
      </w:r>
      <w:r w:rsidRPr="009A689B">
        <w:rPr>
          <w:sz w:val="26"/>
          <w:szCs w:val="26"/>
        </w:rPr>
        <w:t xml:space="preserve"> </w:t>
      </w:r>
      <w:r w:rsidR="00AB15F5" w:rsidRPr="009A689B">
        <w:rPr>
          <w:sz w:val="26"/>
          <w:szCs w:val="26"/>
        </w:rPr>
        <w:t>de</w:t>
      </w:r>
      <w:r w:rsidR="00B25883" w:rsidRPr="009A689B">
        <w:rPr>
          <w:sz w:val="26"/>
          <w:szCs w:val="26"/>
        </w:rPr>
        <w:t>creased</w:t>
      </w:r>
      <w:r w:rsidRPr="009A689B">
        <w:rPr>
          <w:sz w:val="26"/>
          <w:szCs w:val="26"/>
        </w:rPr>
        <w:t xml:space="preserve"> by </w:t>
      </w:r>
      <w:r w:rsidR="00D64F71" w:rsidRPr="009A689B">
        <w:rPr>
          <w:sz w:val="26"/>
          <w:szCs w:val="26"/>
        </w:rPr>
        <w:t>1.52</w:t>
      </w:r>
      <w:r w:rsidRPr="009A689B">
        <w:rPr>
          <w:sz w:val="26"/>
          <w:szCs w:val="26"/>
        </w:rPr>
        <w:t xml:space="preserve">% compared </w:t>
      </w:r>
      <w:r w:rsidR="00E939CB" w:rsidRPr="009A689B">
        <w:rPr>
          <w:sz w:val="26"/>
          <w:szCs w:val="26"/>
        </w:rPr>
        <w:t>with</w:t>
      </w:r>
      <w:r w:rsidR="009A2F5B" w:rsidRPr="009A689B">
        <w:rPr>
          <w:sz w:val="26"/>
          <w:szCs w:val="26"/>
        </w:rPr>
        <w:t xml:space="preserve"> </w:t>
      </w:r>
      <w:r w:rsidR="00D64F71" w:rsidRPr="009A689B">
        <w:rPr>
          <w:sz w:val="26"/>
          <w:szCs w:val="26"/>
        </w:rPr>
        <w:t>September</w:t>
      </w:r>
      <w:r w:rsidR="00F81142" w:rsidRPr="009A689B">
        <w:rPr>
          <w:sz w:val="26"/>
          <w:szCs w:val="26"/>
        </w:rPr>
        <w:t xml:space="preserve"> </w:t>
      </w:r>
      <w:r w:rsidR="00002EA4" w:rsidRPr="009A689B">
        <w:rPr>
          <w:sz w:val="26"/>
          <w:szCs w:val="26"/>
        </w:rPr>
        <w:t>201</w:t>
      </w:r>
      <w:r w:rsidR="003018D3" w:rsidRPr="009A689B">
        <w:rPr>
          <w:sz w:val="26"/>
          <w:szCs w:val="26"/>
        </w:rPr>
        <w:t>9</w:t>
      </w:r>
      <w:r w:rsidRPr="009A689B">
        <w:rPr>
          <w:sz w:val="26"/>
          <w:szCs w:val="26"/>
        </w:rPr>
        <w:t xml:space="preserve"> (</w:t>
      </w:r>
      <w:r w:rsidR="00002EA4" w:rsidRPr="009A689B">
        <w:rPr>
          <w:sz w:val="26"/>
          <w:szCs w:val="26"/>
        </w:rPr>
        <w:t xml:space="preserve">by </w:t>
      </w:r>
      <w:r w:rsidR="00D64F71" w:rsidRPr="009A689B">
        <w:rPr>
          <w:sz w:val="26"/>
          <w:szCs w:val="26"/>
        </w:rPr>
        <w:t>1.63</w:t>
      </w:r>
      <w:r w:rsidR="0037538E" w:rsidRPr="009A689B">
        <w:rPr>
          <w:sz w:val="26"/>
          <w:szCs w:val="26"/>
        </w:rPr>
        <w:t xml:space="preserve">% </w:t>
      </w:r>
      <w:r w:rsidR="00A50BEF" w:rsidRPr="009A689B">
        <w:rPr>
          <w:sz w:val="26"/>
          <w:szCs w:val="26"/>
        </w:rPr>
        <w:t xml:space="preserve">in </w:t>
      </w:r>
      <w:r w:rsidR="003972A9" w:rsidRPr="009A689B">
        <w:rPr>
          <w:sz w:val="26"/>
          <w:szCs w:val="26"/>
        </w:rPr>
        <w:t xml:space="preserve">the West Bank**, by </w:t>
      </w:r>
      <w:r w:rsidR="00D64F71" w:rsidRPr="009A689B">
        <w:rPr>
          <w:sz w:val="26"/>
          <w:szCs w:val="26"/>
        </w:rPr>
        <w:t>1.24</w:t>
      </w:r>
      <w:r w:rsidR="00A50BEF" w:rsidRPr="009A689B">
        <w:rPr>
          <w:sz w:val="26"/>
          <w:szCs w:val="26"/>
        </w:rPr>
        <w:t xml:space="preserve">% </w:t>
      </w:r>
      <w:r w:rsidR="00C215B1" w:rsidRPr="009A689B">
        <w:rPr>
          <w:sz w:val="26"/>
          <w:szCs w:val="26"/>
        </w:rPr>
        <w:t>in</w:t>
      </w:r>
      <w:r w:rsidR="003972A9" w:rsidRPr="009A689B">
        <w:rPr>
          <w:sz w:val="26"/>
          <w:szCs w:val="26"/>
        </w:rPr>
        <w:t xml:space="preserve"> Gaza Strip</w:t>
      </w:r>
      <w:r w:rsidR="00AB15F5" w:rsidRPr="009A689B">
        <w:rPr>
          <w:sz w:val="26"/>
          <w:szCs w:val="26"/>
        </w:rPr>
        <w:t xml:space="preserve">, </w:t>
      </w:r>
      <w:r w:rsidR="009E4A1C" w:rsidRPr="009A689B">
        <w:rPr>
          <w:sz w:val="26"/>
          <w:szCs w:val="26"/>
        </w:rPr>
        <w:t>while</w:t>
      </w:r>
      <w:r w:rsidR="00AB15F5" w:rsidRPr="009A689B">
        <w:rPr>
          <w:sz w:val="26"/>
          <w:szCs w:val="26"/>
        </w:rPr>
        <w:t xml:space="preserve"> </w:t>
      </w:r>
      <w:r w:rsidR="009E4A1C" w:rsidRPr="009A689B">
        <w:rPr>
          <w:sz w:val="26"/>
          <w:szCs w:val="26"/>
        </w:rPr>
        <w:t>it</w:t>
      </w:r>
      <w:r w:rsidR="00AB15F5" w:rsidRPr="009A689B">
        <w:rPr>
          <w:sz w:val="26"/>
          <w:szCs w:val="26"/>
        </w:rPr>
        <w:t xml:space="preserve"> </w:t>
      </w:r>
      <w:r w:rsidR="00D64F71" w:rsidRPr="009A689B">
        <w:rPr>
          <w:sz w:val="26"/>
          <w:szCs w:val="26"/>
        </w:rPr>
        <w:t>Slight</w:t>
      </w:r>
      <w:r w:rsidR="009E4A1C" w:rsidRPr="009A689B">
        <w:rPr>
          <w:sz w:val="26"/>
          <w:szCs w:val="26"/>
        </w:rPr>
        <w:t>ly</w:t>
      </w:r>
      <w:r w:rsidR="00D64F71" w:rsidRPr="009A689B">
        <w:rPr>
          <w:sz w:val="26"/>
          <w:szCs w:val="26"/>
        </w:rPr>
        <w:t xml:space="preserve"> Increase</w:t>
      </w:r>
      <w:r w:rsidR="009E4A1C" w:rsidRPr="009A689B">
        <w:rPr>
          <w:sz w:val="26"/>
          <w:szCs w:val="26"/>
        </w:rPr>
        <w:t>d</w:t>
      </w:r>
      <w:r w:rsidR="00D64F71" w:rsidRPr="009A689B">
        <w:rPr>
          <w:sz w:val="26"/>
          <w:szCs w:val="26"/>
        </w:rPr>
        <w:t xml:space="preserve"> by 0.08</w:t>
      </w:r>
      <w:r w:rsidR="00AB15F5" w:rsidRPr="009A689B">
        <w:rPr>
          <w:sz w:val="26"/>
          <w:szCs w:val="26"/>
        </w:rPr>
        <w:t xml:space="preserve">% in </w:t>
      </w:r>
      <w:r w:rsidR="00C215B1" w:rsidRPr="009A689B">
        <w:rPr>
          <w:sz w:val="26"/>
          <w:szCs w:val="26"/>
        </w:rPr>
        <w:t>Jerusalem J1</w:t>
      </w:r>
      <w:r w:rsidR="00CB0AF0" w:rsidRPr="009A689B">
        <w:rPr>
          <w:sz w:val="26"/>
          <w:szCs w:val="26"/>
        </w:rPr>
        <w:t>*</w:t>
      </w:r>
      <w:r w:rsidRPr="009A689B">
        <w:rPr>
          <w:sz w:val="26"/>
          <w:szCs w:val="26"/>
        </w:rPr>
        <w:t>).</w:t>
      </w:r>
    </w:p>
    <w:p w:rsidR="009A689B" w:rsidRPr="009A689B" w:rsidRDefault="009A689B" w:rsidP="009A689B">
      <w:pPr>
        <w:bidi w:val="0"/>
        <w:rPr>
          <w:b/>
          <w:bCs/>
          <w:sz w:val="16"/>
          <w:szCs w:val="16"/>
        </w:rPr>
      </w:pPr>
    </w:p>
    <w:p w:rsidR="00674962" w:rsidRPr="009A689B" w:rsidRDefault="00674962" w:rsidP="009A689B">
      <w:pPr>
        <w:bidi w:val="0"/>
        <w:rPr>
          <w:b/>
          <w:bCs/>
          <w:sz w:val="26"/>
          <w:szCs w:val="26"/>
        </w:rPr>
      </w:pPr>
      <w:r w:rsidRPr="009A689B">
        <w:rPr>
          <w:b/>
          <w:bCs/>
          <w:sz w:val="26"/>
          <w:szCs w:val="26"/>
        </w:rPr>
        <w:t>Notice for Users:</w:t>
      </w:r>
    </w:p>
    <w:p w:rsidR="00674962" w:rsidRDefault="005D5C12" w:rsidP="009A689B">
      <w:pPr>
        <w:pStyle w:val="ListParagraph"/>
        <w:numPr>
          <w:ilvl w:val="0"/>
          <w:numId w:val="23"/>
        </w:numPr>
        <w:tabs>
          <w:tab w:val="right" w:pos="284"/>
        </w:tabs>
        <w:bidi w:val="0"/>
        <w:ind w:left="0" w:firstLine="0"/>
        <w:jc w:val="both"/>
        <w:rPr>
          <w:sz w:val="26"/>
          <w:szCs w:val="26"/>
        </w:rPr>
      </w:pPr>
      <w:r w:rsidRPr="009A689B">
        <w:rPr>
          <w:sz w:val="26"/>
          <w:szCs w:val="26"/>
        </w:rPr>
        <w:t xml:space="preserve">Due to COVID-19 pandemic and inability to conduct face-to-face interview, data </w:t>
      </w:r>
      <w:r w:rsidRPr="009A689B">
        <w:rPr>
          <w:sz w:val="26"/>
          <w:szCs w:val="26"/>
          <w:lang w:eastAsia="en-US"/>
        </w:rPr>
        <w:t xml:space="preserve">for Consumer Price Index has been collected </w:t>
      </w:r>
      <w:r w:rsidRPr="009A689B">
        <w:rPr>
          <w:sz w:val="26"/>
          <w:szCs w:val="26"/>
        </w:rPr>
        <w:t>using mobile phones</w:t>
      </w:r>
      <w:r w:rsidRPr="009A689B">
        <w:rPr>
          <w:sz w:val="26"/>
          <w:szCs w:val="26"/>
          <w:lang w:eastAsia="en-US"/>
        </w:rPr>
        <w:t>, in all of the Palestinian Governorates interview</w:t>
      </w:r>
      <w:r w:rsidR="00674962" w:rsidRPr="009A689B">
        <w:rPr>
          <w:sz w:val="26"/>
          <w:szCs w:val="26"/>
        </w:rPr>
        <w:t>.</w:t>
      </w:r>
    </w:p>
    <w:p w:rsidR="00CD3C48" w:rsidRPr="00CD3C48" w:rsidRDefault="00CD3C48" w:rsidP="00CD3C48">
      <w:pPr>
        <w:pStyle w:val="ListParagraph"/>
        <w:tabs>
          <w:tab w:val="right" w:pos="284"/>
        </w:tabs>
        <w:bidi w:val="0"/>
        <w:jc w:val="both"/>
        <w:rPr>
          <w:sz w:val="16"/>
          <w:szCs w:val="16"/>
          <w:rtl/>
        </w:rPr>
      </w:pPr>
    </w:p>
    <w:p w:rsidR="00674962" w:rsidRPr="009A689B" w:rsidRDefault="00674962" w:rsidP="009A689B">
      <w:pPr>
        <w:pStyle w:val="ListParagraph"/>
        <w:numPr>
          <w:ilvl w:val="0"/>
          <w:numId w:val="23"/>
        </w:numPr>
        <w:tabs>
          <w:tab w:val="right" w:pos="284"/>
        </w:tabs>
        <w:bidi w:val="0"/>
        <w:ind w:left="0" w:firstLine="0"/>
        <w:jc w:val="both"/>
        <w:rPr>
          <w:sz w:val="26"/>
          <w:szCs w:val="26"/>
        </w:rPr>
      </w:pPr>
      <w:r w:rsidRPr="009A689B">
        <w:rPr>
          <w:sz w:val="26"/>
          <w:szCs w:val="26"/>
        </w:rPr>
        <w:t xml:space="preserve">The number of outlets, from which Consumer Prices are collected in </w:t>
      </w:r>
      <w:r w:rsidR="003972A9" w:rsidRPr="009A689B">
        <w:rPr>
          <w:sz w:val="26"/>
          <w:szCs w:val="26"/>
        </w:rPr>
        <w:t>Palestine</w:t>
      </w:r>
      <w:r w:rsidR="00050855" w:rsidRPr="009A689B">
        <w:rPr>
          <w:sz w:val="26"/>
          <w:szCs w:val="26"/>
        </w:rPr>
        <w:t xml:space="preserve">, reached </w:t>
      </w:r>
      <w:r w:rsidR="00BD0744" w:rsidRPr="009A689B">
        <w:rPr>
          <w:sz w:val="26"/>
          <w:szCs w:val="26"/>
        </w:rPr>
        <w:t>3,087</w:t>
      </w:r>
      <w:r w:rsidRPr="009A689B">
        <w:rPr>
          <w:sz w:val="26"/>
          <w:szCs w:val="26"/>
        </w:rPr>
        <w:t xml:space="preserve"> outlets </w:t>
      </w:r>
      <w:r w:rsidR="00AB15F5" w:rsidRPr="009A689B">
        <w:rPr>
          <w:sz w:val="26"/>
          <w:szCs w:val="26"/>
        </w:rPr>
        <w:t xml:space="preserve">in </w:t>
      </w:r>
      <w:r w:rsidR="0007170D" w:rsidRPr="009A689B">
        <w:rPr>
          <w:sz w:val="26"/>
          <w:szCs w:val="26"/>
        </w:rPr>
        <w:t>September</w:t>
      </w:r>
      <w:r w:rsidRPr="009A689B">
        <w:rPr>
          <w:sz w:val="26"/>
          <w:szCs w:val="26"/>
        </w:rPr>
        <w:t xml:space="preserve"> 2020. </w:t>
      </w:r>
      <w:r w:rsidR="00DA145F" w:rsidRPr="009A689B">
        <w:rPr>
          <w:sz w:val="26"/>
          <w:szCs w:val="26"/>
        </w:rPr>
        <w:t>T</w:t>
      </w:r>
      <w:r w:rsidRPr="009A689B">
        <w:rPr>
          <w:sz w:val="26"/>
          <w:szCs w:val="26"/>
        </w:rPr>
        <w:t>he percentage for the completion of data collection process is as follows:</w:t>
      </w:r>
    </w:p>
    <w:p w:rsidR="00E469F9" w:rsidRPr="009A689B" w:rsidRDefault="00E469F9" w:rsidP="00E469F9">
      <w:pPr>
        <w:pStyle w:val="ListParagraph"/>
        <w:tabs>
          <w:tab w:val="right" w:pos="284"/>
        </w:tabs>
        <w:bidi w:val="0"/>
        <w:ind w:left="0"/>
        <w:jc w:val="both"/>
        <w:rPr>
          <w:sz w:val="26"/>
          <w:szCs w:val="26"/>
        </w:rPr>
      </w:pPr>
    </w:p>
    <w:tbl>
      <w:tblPr>
        <w:tblW w:w="68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42"/>
        <w:gridCol w:w="1611"/>
        <w:gridCol w:w="1686"/>
        <w:gridCol w:w="1890"/>
      </w:tblGrid>
      <w:tr w:rsidR="00F67F8B" w:rsidRPr="009A689B" w:rsidTr="009A689B">
        <w:trPr>
          <w:tblHeader/>
          <w:jc w:val="center"/>
        </w:trPr>
        <w:tc>
          <w:tcPr>
            <w:tcW w:w="1642" w:type="dxa"/>
          </w:tcPr>
          <w:p w:rsidR="00F67F8B" w:rsidRPr="009A689B" w:rsidRDefault="00F67F8B" w:rsidP="00F67F8B">
            <w:pPr>
              <w:autoSpaceDE w:val="0"/>
              <w:autoSpaceDN w:val="0"/>
              <w:bidi w:val="0"/>
              <w:adjustRightInd w:val="0"/>
              <w:jc w:val="center"/>
              <w:rPr>
                <w:b/>
                <w:bCs/>
                <w:snapToGrid w:val="0"/>
              </w:rPr>
            </w:pPr>
            <w:r w:rsidRPr="009A689B">
              <w:rPr>
                <w:b/>
                <w:bCs/>
                <w:snapToGrid w:val="0"/>
              </w:rPr>
              <w:t>Region</w:t>
            </w:r>
          </w:p>
        </w:tc>
        <w:tc>
          <w:tcPr>
            <w:tcW w:w="1611" w:type="dxa"/>
          </w:tcPr>
          <w:p w:rsidR="00F67F8B" w:rsidRPr="009A689B" w:rsidRDefault="00F67F8B" w:rsidP="00F67F8B">
            <w:pPr>
              <w:autoSpaceDE w:val="0"/>
              <w:autoSpaceDN w:val="0"/>
              <w:bidi w:val="0"/>
              <w:adjustRightInd w:val="0"/>
              <w:jc w:val="center"/>
              <w:rPr>
                <w:b/>
                <w:bCs/>
                <w:snapToGrid w:val="0"/>
              </w:rPr>
            </w:pPr>
            <w:r w:rsidRPr="009A689B">
              <w:rPr>
                <w:b/>
                <w:bCs/>
                <w:snapToGrid w:val="0"/>
              </w:rPr>
              <w:t>Number of Collected Outlets</w:t>
            </w:r>
          </w:p>
        </w:tc>
        <w:tc>
          <w:tcPr>
            <w:tcW w:w="1686" w:type="dxa"/>
          </w:tcPr>
          <w:p w:rsidR="00F67F8B" w:rsidRPr="009A689B" w:rsidRDefault="00F67F8B" w:rsidP="00F67F8B">
            <w:pPr>
              <w:autoSpaceDE w:val="0"/>
              <w:autoSpaceDN w:val="0"/>
              <w:bidi w:val="0"/>
              <w:adjustRightInd w:val="0"/>
              <w:jc w:val="center"/>
              <w:rPr>
                <w:b/>
                <w:bCs/>
                <w:snapToGrid w:val="0"/>
              </w:rPr>
            </w:pPr>
            <w:r w:rsidRPr="009A689B">
              <w:rPr>
                <w:b/>
                <w:bCs/>
                <w:snapToGrid w:val="0"/>
              </w:rPr>
              <w:t>Number of Non-Collected Outlets</w:t>
            </w:r>
          </w:p>
        </w:tc>
        <w:tc>
          <w:tcPr>
            <w:tcW w:w="1890" w:type="dxa"/>
          </w:tcPr>
          <w:p w:rsidR="00F67F8B" w:rsidRPr="009A689B" w:rsidRDefault="00F67F8B" w:rsidP="00074C77">
            <w:pPr>
              <w:autoSpaceDE w:val="0"/>
              <w:autoSpaceDN w:val="0"/>
              <w:bidi w:val="0"/>
              <w:adjustRightInd w:val="0"/>
              <w:jc w:val="center"/>
              <w:rPr>
                <w:b/>
                <w:bCs/>
                <w:snapToGrid w:val="0"/>
              </w:rPr>
            </w:pPr>
            <w:r w:rsidRPr="009A689B">
              <w:rPr>
                <w:b/>
                <w:bCs/>
                <w:snapToGrid w:val="0"/>
              </w:rPr>
              <w:t>Percentage of Collected Outlets</w:t>
            </w:r>
          </w:p>
        </w:tc>
      </w:tr>
      <w:tr w:rsidR="00F67F8B" w:rsidRPr="009A689B" w:rsidTr="009A689B">
        <w:trPr>
          <w:trHeight w:val="375"/>
          <w:jc w:val="center"/>
        </w:trPr>
        <w:tc>
          <w:tcPr>
            <w:tcW w:w="1642" w:type="dxa"/>
            <w:vAlign w:val="center"/>
          </w:tcPr>
          <w:p w:rsidR="00F67F8B" w:rsidRPr="009A689B" w:rsidRDefault="00F67F8B" w:rsidP="00F67F8B">
            <w:pPr>
              <w:autoSpaceDE w:val="0"/>
              <w:autoSpaceDN w:val="0"/>
              <w:bidi w:val="0"/>
              <w:adjustRightInd w:val="0"/>
              <w:rPr>
                <w:snapToGrid w:val="0"/>
              </w:rPr>
            </w:pPr>
            <w:r w:rsidRPr="009A689B">
              <w:rPr>
                <w:snapToGrid w:val="0"/>
              </w:rPr>
              <w:t>West Bank**</w:t>
            </w:r>
          </w:p>
        </w:tc>
        <w:tc>
          <w:tcPr>
            <w:tcW w:w="1611" w:type="dxa"/>
            <w:vAlign w:val="center"/>
          </w:tcPr>
          <w:p w:rsidR="00F67F8B" w:rsidRPr="009A689B" w:rsidRDefault="00050855" w:rsidP="00BD0744">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1,</w:t>
            </w:r>
            <w:r w:rsidR="00BD0744" w:rsidRPr="009A689B">
              <w:rPr>
                <w:rFonts w:cs="Times New Roman"/>
                <w:snapToGrid/>
                <w:sz w:val="24"/>
                <w:szCs w:val="24"/>
                <w:lang w:eastAsia="ar-SA"/>
              </w:rPr>
              <w:t>977</w:t>
            </w:r>
          </w:p>
        </w:tc>
        <w:tc>
          <w:tcPr>
            <w:tcW w:w="1686" w:type="dxa"/>
            <w:vAlign w:val="center"/>
          </w:tcPr>
          <w:p w:rsidR="00F67F8B"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111</w:t>
            </w:r>
          </w:p>
        </w:tc>
        <w:tc>
          <w:tcPr>
            <w:tcW w:w="1890" w:type="dxa"/>
            <w:vAlign w:val="center"/>
          </w:tcPr>
          <w:p w:rsidR="00F67F8B"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95</w:t>
            </w:r>
            <w:r w:rsidR="00CB5E6D" w:rsidRPr="009A689B">
              <w:rPr>
                <w:rFonts w:cs="Times New Roman"/>
                <w:snapToGrid/>
                <w:sz w:val="24"/>
                <w:szCs w:val="24"/>
                <w:lang w:eastAsia="ar-SA"/>
              </w:rPr>
              <w:t>%</w:t>
            </w:r>
          </w:p>
        </w:tc>
      </w:tr>
      <w:tr w:rsidR="00F67F8B" w:rsidRPr="009A689B" w:rsidTr="009A689B">
        <w:trPr>
          <w:trHeight w:val="395"/>
          <w:jc w:val="center"/>
        </w:trPr>
        <w:tc>
          <w:tcPr>
            <w:tcW w:w="1642" w:type="dxa"/>
            <w:vAlign w:val="center"/>
          </w:tcPr>
          <w:p w:rsidR="00F67F8B" w:rsidRPr="009A689B" w:rsidRDefault="00F67F8B" w:rsidP="00F67F8B">
            <w:pPr>
              <w:autoSpaceDE w:val="0"/>
              <w:autoSpaceDN w:val="0"/>
              <w:bidi w:val="0"/>
              <w:adjustRightInd w:val="0"/>
              <w:rPr>
                <w:snapToGrid w:val="0"/>
              </w:rPr>
            </w:pPr>
            <w:r w:rsidRPr="009A689B">
              <w:rPr>
                <w:snapToGrid w:val="0"/>
              </w:rPr>
              <w:t>Gaza Strip</w:t>
            </w:r>
          </w:p>
        </w:tc>
        <w:tc>
          <w:tcPr>
            <w:tcW w:w="1611" w:type="dxa"/>
            <w:vAlign w:val="center"/>
          </w:tcPr>
          <w:p w:rsidR="00F67F8B" w:rsidRPr="009A689B" w:rsidRDefault="00BD0744" w:rsidP="00A4668A">
            <w:pPr>
              <w:pStyle w:val="Header"/>
              <w:bidi w:val="0"/>
              <w:ind w:right="-180"/>
              <w:jc w:val="center"/>
              <w:rPr>
                <w:rFonts w:cs="Times New Roman"/>
                <w:snapToGrid/>
                <w:sz w:val="24"/>
                <w:szCs w:val="24"/>
                <w:rtl/>
                <w:lang w:eastAsia="ar-SA"/>
              </w:rPr>
            </w:pPr>
            <w:r w:rsidRPr="009A689B">
              <w:rPr>
                <w:rFonts w:cs="Times New Roman"/>
                <w:snapToGrid/>
                <w:sz w:val="24"/>
                <w:szCs w:val="24"/>
                <w:lang w:eastAsia="ar-SA"/>
              </w:rPr>
              <w:t>768</w:t>
            </w:r>
          </w:p>
        </w:tc>
        <w:tc>
          <w:tcPr>
            <w:tcW w:w="1686" w:type="dxa"/>
            <w:vAlign w:val="center"/>
          </w:tcPr>
          <w:p w:rsidR="00F67F8B"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29</w:t>
            </w:r>
          </w:p>
        </w:tc>
        <w:tc>
          <w:tcPr>
            <w:tcW w:w="1890" w:type="dxa"/>
            <w:vAlign w:val="center"/>
          </w:tcPr>
          <w:p w:rsidR="00F67F8B"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96</w:t>
            </w:r>
            <w:r w:rsidR="00CB5E6D" w:rsidRPr="009A689B">
              <w:rPr>
                <w:rFonts w:cs="Times New Roman"/>
                <w:snapToGrid/>
                <w:sz w:val="24"/>
                <w:szCs w:val="24"/>
                <w:lang w:eastAsia="ar-SA"/>
              </w:rPr>
              <w:t>%</w:t>
            </w:r>
          </w:p>
        </w:tc>
      </w:tr>
      <w:tr w:rsidR="00050855" w:rsidRPr="009A689B" w:rsidTr="009A689B">
        <w:trPr>
          <w:trHeight w:val="395"/>
          <w:jc w:val="center"/>
        </w:trPr>
        <w:tc>
          <w:tcPr>
            <w:tcW w:w="1642" w:type="dxa"/>
            <w:vAlign w:val="center"/>
          </w:tcPr>
          <w:p w:rsidR="00050855" w:rsidRPr="009A689B" w:rsidRDefault="00050855" w:rsidP="00F67F8B">
            <w:pPr>
              <w:autoSpaceDE w:val="0"/>
              <w:autoSpaceDN w:val="0"/>
              <w:bidi w:val="0"/>
              <w:adjustRightInd w:val="0"/>
              <w:rPr>
                <w:snapToGrid w:val="0"/>
              </w:rPr>
            </w:pPr>
            <w:r w:rsidRPr="009A689B">
              <w:t>Jerusalem J1*</w:t>
            </w:r>
          </w:p>
        </w:tc>
        <w:tc>
          <w:tcPr>
            <w:tcW w:w="1611" w:type="dxa"/>
            <w:vAlign w:val="center"/>
          </w:tcPr>
          <w:p w:rsidR="00050855"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134</w:t>
            </w:r>
          </w:p>
        </w:tc>
        <w:tc>
          <w:tcPr>
            <w:tcW w:w="1686" w:type="dxa"/>
            <w:vAlign w:val="center"/>
          </w:tcPr>
          <w:p w:rsidR="00050855"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68</w:t>
            </w:r>
          </w:p>
        </w:tc>
        <w:tc>
          <w:tcPr>
            <w:tcW w:w="1890" w:type="dxa"/>
            <w:vAlign w:val="center"/>
          </w:tcPr>
          <w:p w:rsidR="00050855"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66</w:t>
            </w:r>
            <w:r w:rsidR="00CB5E6D" w:rsidRPr="009A689B">
              <w:rPr>
                <w:rFonts w:cs="Times New Roman"/>
                <w:snapToGrid/>
                <w:sz w:val="24"/>
                <w:szCs w:val="24"/>
                <w:lang w:eastAsia="ar-SA"/>
              </w:rPr>
              <w:t>%</w:t>
            </w:r>
          </w:p>
        </w:tc>
      </w:tr>
      <w:tr w:rsidR="00F67F8B" w:rsidRPr="009A689B" w:rsidTr="009A689B">
        <w:trPr>
          <w:trHeight w:val="395"/>
          <w:jc w:val="center"/>
        </w:trPr>
        <w:tc>
          <w:tcPr>
            <w:tcW w:w="1642" w:type="dxa"/>
            <w:vAlign w:val="center"/>
          </w:tcPr>
          <w:p w:rsidR="00F67F8B" w:rsidRPr="009A689B" w:rsidRDefault="00F67F8B" w:rsidP="00F67F8B">
            <w:pPr>
              <w:autoSpaceDE w:val="0"/>
              <w:autoSpaceDN w:val="0"/>
              <w:bidi w:val="0"/>
              <w:adjustRightInd w:val="0"/>
              <w:rPr>
                <w:snapToGrid w:val="0"/>
              </w:rPr>
            </w:pPr>
            <w:r w:rsidRPr="009A689B">
              <w:rPr>
                <w:snapToGrid w:val="0"/>
              </w:rPr>
              <w:t>Total</w:t>
            </w:r>
          </w:p>
        </w:tc>
        <w:tc>
          <w:tcPr>
            <w:tcW w:w="1611" w:type="dxa"/>
            <w:vAlign w:val="center"/>
          </w:tcPr>
          <w:p w:rsidR="00F67F8B" w:rsidRPr="009A689B" w:rsidRDefault="00CB5E6D" w:rsidP="00BD0744">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w:t>
            </w:r>
            <w:r w:rsidR="00BD0744" w:rsidRPr="009A689B">
              <w:rPr>
                <w:rFonts w:cs="Times New Roman"/>
                <w:snapToGrid/>
                <w:sz w:val="24"/>
                <w:szCs w:val="24"/>
                <w:lang w:eastAsia="ar-SA"/>
              </w:rPr>
              <w:t>879</w:t>
            </w:r>
          </w:p>
        </w:tc>
        <w:tc>
          <w:tcPr>
            <w:tcW w:w="1686" w:type="dxa"/>
            <w:vAlign w:val="center"/>
          </w:tcPr>
          <w:p w:rsidR="00F67F8B" w:rsidRPr="009A689B" w:rsidRDefault="00BD0744" w:rsidP="0072099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208</w:t>
            </w:r>
          </w:p>
        </w:tc>
        <w:tc>
          <w:tcPr>
            <w:tcW w:w="1890" w:type="dxa"/>
            <w:vAlign w:val="center"/>
          </w:tcPr>
          <w:p w:rsidR="00F67F8B" w:rsidRPr="009A689B" w:rsidRDefault="00BD0744" w:rsidP="006C320E">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93</w:t>
            </w:r>
            <w:r w:rsidR="00CB5E6D" w:rsidRPr="009A689B">
              <w:rPr>
                <w:rFonts w:cs="Times New Roman"/>
                <w:snapToGrid/>
                <w:sz w:val="24"/>
                <w:szCs w:val="24"/>
                <w:lang w:eastAsia="ar-SA"/>
              </w:rPr>
              <w:t>%</w:t>
            </w:r>
          </w:p>
        </w:tc>
      </w:tr>
    </w:tbl>
    <w:p w:rsidR="009A689B" w:rsidRDefault="009A689B" w:rsidP="009A689B">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CD3C48" w:rsidRDefault="00CD3C48" w:rsidP="00CD3C48">
      <w:pPr>
        <w:pStyle w:val="ListParagraph"/>
        <w:tabs>
          <w:tab w:val="right" w:pos="284"/>
        </w:tabs>
        <w:bidi w:val="0"/>
        <w:ind w:left="360"/>
        <w:jc w:val="both"/>
        <w:rPr>
          <w:sz w:val="26"/>
          <w:szCs w:val="26"/>
        </w:rPr>
      </w:pPr>
    </w:p>
    <w:p w:rsidR="0072099E" w:rsidRPr="009A689B" w:rsidRDefault="009A689B" w:rsidP="009A689B">
      <w:pPr>
        <w:pStyle w:val="ListParagraph"/>
        <w:tabs>
          <w:tab w:val="right" w:pos="284"/>
        </w:tabs>
        <w:bidi w:val="0"/>
        <w:ind w:left="360"/>
        <w:jc w:val="both"/>
        <w:rPr>
          <w:sz w:val="26"/>
          <w:szCs w:val="26"/>
        </w:rPr>
      </w:pPr>
      <w:r>
        <w:rPr>
          <w:sz w:val="26"/>
          <w:szCs w:val="26"/>
        </w:rPr>
        <w:t>3.</w:t>
      </w:r>
      <w:r w:rsidR="00674962" w:rsidRPr="009A689B">
        <w:rPr>
          <w:sz w:val="26"/>
          <w:szCs w:val="26"/>
        </w:rPr>
        <w:t xml:space="preserve">The number of price observations collected to compile the Palestinian Consumer Price index is 38,395 price observations; </w:t>
      </w:r>
      <w:r w:rsidR="00037955" w:rsidRPr="009A689B">
        <w:rPr>
          <w:sz w:val="26"/>
          <w:szCs w:val="26"/>
        </w:rPr>
        <w:t xml:space="preserve">where </w:t>
      </w:r>
      <w:r w:rsidR="004E4200" w:rsidRPr="009A689B">
        <w:rPr>
          <w:sz w:val="26"/>
          <w:szCs w:val="26"/>
        </w:rPr>
        <w:t>96</w:t>
      </w:r>
      <w:r w:rsidR="000021BA" w:rsidRPr="009A689B">
        <w:rPr>
          <w:sz w:val="26"/>
          <w:szCs w:val="26"/>
        </w:rPr>
        <w:t xml:space="preserve">% was collected in </w:t>
      </w:r>
      <w:r w:rsidR="00206317" w:rsidRPr="009A689B">
        <w:rPr>
          <w:sz w:val="26"/>
          <w:szCs w:val="26"/>
        </w:rPr>
        <w:t>September</w:t>
      </w:r>
      <w:r w:rsidR="00674962" w:rsidRPr="009A689B">
        <w:rPr>
          <w:sz w:val="26"/>
          <w:szCs w:val="26"/>
        </w:rPr>
        <w:t xml:space="preserve"> 2020. Hence, the </w:t>
      </w:r>
      <w:r w:rsidR="00C12476" w:rsidRPr="009A689B">
        <w:rPr>
          <w:sz w:val="26"/>
          <w:szCs w:val="26"/>
        </w:rPr>
        <w:t xml:space="preserve">percentages are </w:t>
      </w:r>
      <w:r w:rsidR="00674962" w:rsidRPr="009A689B">
        <w:rPr>
          <w:sz w:val="26"/>
          <w:szCs w:val="26"/>
        </w:rPr>
        <w:t>as follows within the Palestinian regions</w:t>
      </w:r>
      <w:r w:rsidR="00674962" w:rsidRPr="009A689B">
        <w:rPr>
          <w:sz w:val="26"/>
          <w:szCs w:val="26"/>
          <w:rtl/>
        </w:rPr>
        <w:t>:</w:t>
      </w:r>
    </w:p>
    <w:p w:rsidR="00E469F9" w:rsidRPr="009A689B" w:rsidRDefault="00E469F9" w:rsidP="00E469F9">
      <w:pPr>
        <w:pStyle w:val="ListParagraph"/>
        <w:tabs>
          <w:tab w:val="right" w:pos="284"/>
        </w:tabs>
        <w:bidi w:val="0"/>
        <w:ind w:left="0"/>
        <w:jc w:val="both"/>
        <w:rPr>
          <w:sz w:val="16"/>
          <w:szCs w:val="16"/>
        </w:rPr>
      </w:pPr>
    </w:p>
    <w:tbl>
      <w:tblPr>
        <w:tblW w:w="74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99"/>
        <w:gridCol w:w="2071"/>
        <w:gridCol w:w="1720"/>
        <w:gridCol w:w="2073"/>
      </w:tblGrid>
      <w:tr w:rsidR="0072099E" w:rsidRPr="009A689B" w:rsidTr="009A689B">
        <w:trPr>
          <w:tblHeader/>
          <w:jc w:val="center"/>
        </w:trPr>
        <w:tc>
          <w:tcPr>
            <w:tcW w:w="1599" w:type="dxa"/>
          </w:tcPr>
          <w:p w:rsidR="0072099E" w:rsidRPr="009A689B" w:rsidRDefault="0072099E" w:rsidP="0072099E">
            <w:pPr>
              <w:autoSpaceDE w:val="0"/>
              <w:autoSpaceDN w:val="0"/>
              <w:bidi w:val="0"/>
              <w:adjustRightInd w:val="0"/>
              <w:jc w:val="center"/>
              <w:rPr>
                <w:b/>
                <w:bCs/>
                <w:snapToGrid w:val="0"/>
              </w:rPr>
            </w:pPr>
            <w:r w:rsidRPr="009A689B">
              <w:rPr>
                <w:b/>
                <w:bCs/>
                <w:snapToGrid w:val="0"/>
              </w:rPr>
              <w:t>Region</w:t>
            </w:r>
          </w:p>
        </w:tc>
        <w:tc>
          <w:tcPr>
            <w:tcW w:w="2071" w:type="dxa"/>
          </w:tcPr>
          <w:p w:rsidR="0072099E" w:rsidRPr="009A689B" w:rsidRDefault="0072099E" w:rsidP="0072099E">
            <w:pPr>
              <w:autoSpaceDE w:val="0"/>
              <w:autoSpaceDN w:val="0"/>
              <w:bidi w:val="0"/>
              <w:adjustRightInd w:val="0"/>
              <w:jc w:val="center"/>
              <w:rPr>
                <w:b/>
                <w:bCs/>
                <w:snapToGrid w:val="0"/>
              </w:rPr>
            </w:pPr>
            <w:r w:rsidRPr="009A689B">
              <w:rPr>
                <w:b/>
                <w:bCs/>
                <w:snapToGrid w:val="0"/>
              </w:rPr>
              <w:t>Number of Actual Collected Observation</w:t>
            </w:r>
          </w:p>
        </w:tc>
        <w:tc>
          <w:tcPr>
            <w:tcW w:w="1720" w:type="dxa"/>
          </w:tcPr>
          <w:p w:rsidR="0072099E" w:rsidRPr="009A689B" w:rsidRDefault="0072099E" w:rsidP="0072099E">
            <w:pPr>
              <w:autoSpaceDE w:val="0"/>
              <w:autoSpaceDN w:val="0"/>
              <w:bidi w:val="0"/>
              <w:adjustRightInd w:val="0"/>
              <w:jc w:val="center"/>
              <w:rPr>
                <w:b/>
                <w:bCs/>
                <w:snapToGrid w:val="0"/>
              </w:rPr>
            </w:pPr>
            <w:r w:rsidRPr="009A689B">
              <w:rPr>
                <w:b/>
                <w:bCs/>
                <w:snapToGrid w:val="0"/>
              </w:rPr>
              <w:t>Estimated Number of Observations</w:t>
            </w:r>
          </w:p>
        </w:tc>
        <w:tc>
          <w:tcPr>
            <w:tcW w:w="2073" w:type="dxa"/>
          </w:tcPr>
          <w:p w:rsidR="0072099E" w:rsidRPr="009A689B" w:rsidRDefault="0072099E" w:rsidP="00074C77">
            <w:pPr>
              <w:autoSpaceDE w:val="0"/>
              <w:autoSpaceDN w:val="0"/>
              <w:bidi w:val="0"/>
              <w:adjustRightInd w:val="0"/>
              <w:jc w:val="center"/>
              <w:rPr>
                <w:b/>
                <w:bCs/>
                <w:snapToGrid w:val="0"/>
              </w:rPr>
            </w:pPr>
            <w:r w:rsidRPr="009A689B">
              <w:rPr>
                <w:b/>
                <w:bCs/>
                <w:snapToGrid w:val="0"/>
              </w:rPr>
              <w:t>Percentage of Actual Collected Observation</w:t>
            </w:r>
          </w:p>
        </w:tc>
      </w:tr>
      <w:tr w:rsidR="0072099E" w:rsidRPr="009A689B" w:rsidTr="009A689B">
        <w:trPr>
          <w:trHeight w:val="375"/>
          <w:jc w:val="center"/>
        </w:trPr>
        <w:tc>
          <w:tcPr>
            <w:tcW w:w="1599" w:type="dxa"/>
            <w:vAlign w:val="center"/>
          </w:tcPr>
          <w:p w:rsidR="0072099E" w:rsidRPr="009A689B" w:rsidRDefault="0072099E" w:rsidP="0072099E">
            <w:pPr>
              <w:autoSpaceDE w:val="0"/>
              <w:autoSpaceDN w:val="0"/>
              <w:bidi w:val="0"/>
              <w:adjustRightInd w:val="0"/>
              <w:rPr>
                <w:snapToGrid w:val="0"/>
              </w:rPr>
            </w:pPr>
            <w:r w:rsidRPr="009A689B">
              <w:rPr>
                <w:snapToGrid w:val="0"/>
              </w:rPr>
              <w:t>West Bank**</w:t>
            </w:r>
          </w:p>
        </w:tc>
        <w:tc>
          <w:tcPr>
            <w:tcW w:w="2071" w:type="dxa"/>
            <w:vAlign w:val="center"/>
          </w:tcPr>
          <w:p w:rsidR="0072099E" w:rsidRPr="009A689B" w:rsidRDefault="00522D16"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25,</w:t>
            </w:r>
            <w:r w:rsidR="00206317" w:rsidRPr="009A689B">
              <w:rPr>
                <w:rFonts w:cs="Times New Roman"/>
                <w:snapToGrid/>
                <w:sz w:val="24"/>
                <w:szCs w:val="24"/>
                <w:lang w:eastAsia="ar-SA"/>
              </w:rPr>
              <w:t>910</w:t>
            </w:r>
          </w:p>
        </w:tc>
        <w:tc>
          <w:tcPr>
            <w:tcW w:w="1720"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917</w:t>
            </w:r>
          </w:p>
        </w:tc>
        <w:tc>
          <w:tcPr>
            <w:tcW w:w="2073"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97</w:t>
            </w:r>
            <w:r w:rsidR="0072099E" w:rsidRPr="009A689B">
              <w:rPr>
                <w:rFonts w:cs="Times New Roman"/>
                <w:snapToGrid/>
                <w:sz w:val="24"/>
                <w:szCs w:val="24"/>
                <w:lang w:eastAsia="ar-SA"/>
              </w:rPr>
              <w:t>%</w:t>
            </w:r>
          </w:p>
        </w:tc>
      </w:tr>
      <w:tr w:rsidR="0072099E" w:rsidRPr="009A689B" w:rsidTr="009A689B">
        <w:trPr>
          <w:trHeight w:val="395"/>
          <w:jc w:val="center"/>
        </w:trPr>
        <w:tc>
          <w:tcPr>
            <w:tcW w:w="1599" w:type="dxa"/>
            <w:vAlign w:val="center"/>
          </w:tcPr>
          <w:p w:rsidR="0072099E" w:rsidRPr="009A689B" w:rsidRDefault="0072099E" w:rsidP="0072099E">
            <w:pPr>
              <w:autoSpaceDE w:val="0"/>
              <w:autoSpaceDN w:val="0"/>
              <w:bidi w:val="0"/>
              <w:adjustRightInd w:val="0"/>
              <w:rPr>
                <w:snapToGrid w:val="0"/>
              </w:rPr>
            </w:pPr>
            <w:r w:rsidRPr="009A689B">
              <w:rPr>
                <w:snapToGrid w:val="0"/>
              </w:rPr>
              <w:t>Gaza Strip</w:t>
            </w:r>
          </w:p>
        </w:tc>
        <w:tc>
          <w:tcPr>
            <w:tcW w:w="2071" w:type="dxa"/>
            <w:vAlign w:val="center"/>
          </w:tcPr>
          <w:p w:rsidR="0072099E" w:rsidRPr="009A689B" w:rsidRDefault="0072099E"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w:t>
            </w:r>
            <w:r w:rsidR="00206317" w:rsidRPr="009A689B">
              <w:rPr>
                <w:rFonts w:cs="Times New Roman"/>
                <w:snapToGrid/>
                <w:sz w:val="24"/>
                <w:szCs w:val="24"/>
                <w:lang w:eastAsia="ar-SA"/>
              </w:rPr>
              <w:t>156</w:t>
            </w:r>
          </w:p>
        </w:tc>
        <w:tc>
          <w:tcPr>
            <w:tcW w:w="1720"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201</w:t>
            </w:r>
          </w:p>
        </w:tc>
        <w:tc>
          <w:tcPr>
            <w:tcW w:w="2073"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98</w:t>
            </w:r>
            <w:r w:rsidR="0072099E" w:rsidRPr="009A689B">
              <w:rPr>
                <w:rFonts w:cs="Times New Roman"/>
                <w:snapToGrid/>
                <w:sz w:val="24"/>
                <w:szCs w:val="24"/>
                <w:lang w:eastAsia="ar-SA"/>
              </w:rPr>
              <w:t>%</w:t>
            </w:r>
          </w:p>
        </w:tc>
      </w:tr>
      <w:tr w:rsidR="0072099E" w:rsidRPr="009A689B" w:rsidTr="009A689B">
        <w:trPr>
          <w:trHeight w:val="395"/>
          <w:jc w:val="center"/>
        </w:trPr>
        <w:tc>
          <w:tcPr>
            <w:tcW w:w="1599" w:type="dxa"/>
            <w:vAlign w:val="center"/>
          </w:tcPr>
          <w:p w:rsidR="0072099E" w:rsidRPr="009A689B" w:rsidRDefault="0072099E" w:rsidP="0072099E">
            <w:pPr>
              <w:autoSpaceDE w:val="0"/>
              <w:autoSpaceDN w:val="0"/>
              <w:bidi w:val="0"/>
              <w:adjustRightInd w:val="0"/>
              <w:rPr>
                <w:snapToGrid w:val="0"/>
              </w:rPr>
            </w:pPr>
            <w:r w:rsidRPr="009A689B">
              <w:rPr>
                <w:snapToGrid w:val="0"/>
              </w:rPr>
              <w:t>Jerusalem J1*</w:t>
            </w:r>
          </w:p>
        </w:tc>
        <w:tc>
          <w:tcPr>
            <w:tcW w:w="2071" w:type="dxa"/>
            <w:vAlign w:val="center"/>
          </w:tcPr>
          <w:p w:rsidR="0072099E" w:rsidRPr="009A689B" w:rsidRDefault="00206317" w:rsidP="009A689B">
            <w:pPr>
              <w:pStyle w:val="Header"/>
              <w:bidi w:val="0"/>
              <w:ind w:right="-180"/>
              <w:jc w:val="center"/>
              <w:rPr>
                <w:rFonts w:cs="Times New Roman"/>
                <w:snapToGrid/>
                <w:sz w:val="24"/>
                <w:szCs w:val="24"/>
                <w:rtl/>
                <w:lang w:eastAsia="ar-SA"/>
              </w:rPr>
            </w:pPr>
            <w:r w:rsidRPr="009A689B">
              <w:rPr>
                <w:rFonts w:cs="Times New Roman"/>
                <w:snapToGrid/>
                <w:sz w:val="24"/>
                <w:szCs w:val="24"/>
                <w:lang w:eastAsia="ar-SA"/>
              </w:rPr>
              <w:t>1,969</w:t>
            </w:r>
          </w:p>
        </w:tc>
        <w:tc>
          <w:tcPr>
            <w:tcW w:w="1720"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242</w:t>
            </w:r>
          </w:p>
        </w:tc>
        <w:tc>
          <w:tcPr>
            <w:tcW w:w="2073" w:type="dxa"/>
            <w:vAlign w:val="center"/>
          </w:tcPr>
          <w:p w:rsidR="0072099E" w:rsidRPr="009A689B" w:rsidRDefault="00206317" w:rsidP="009A689B">
            <w:pPr>
              <w:pStyle w:val="Header"/>
              <w:bidi w:val="0"/>
              <w:ind w:right="-180"/>
              <w:jc w:val="center"/>
              <w:rPr>
                <w:rFonts w:cs="Times New Roman"/>
                <w:snapToGrid/>
                <w:sz w:val="24"/>
                <w:szCs w:val="24"/>
                <w:lang w:eastAsia="ar-SA"/>
              </w:rPr>
            </w:pPr>
            <w:r w:rsidRPr="009A689B">
              <w:rPr>
                <w:rFonts w:cs="Times New Roman"/>
                <w:snapToGrid/>
                <w:sz w:val="24"/>
                <w:szCs w:val="24"/>
                <w:lang w:eastAsia="ar-SA"/>
              </w:rPr>
              <w:t>89</w:t>
            </w:r>
            <w:r w:rsidR="0072099E" w:rsidRPr="009A689B">
              <w:rPr>
                <w:rFonts w:cs="Times New Roman"/>
                <w:snapToGrid/>
                <w:sz w:val="24"/>
                <w:szCs w:val="24"/>
                <w:lang w:eastAsia="ar-SA"/>
              </w:rPr>
              <w:t>%</w:t>
            </w:r>
          </w:p>
        </w:tc>
      </w:tr>
      <w:tr w:rsidR="008C2376" w:rsidRPr="009A689B" w:rsidTr="009A689B">
        <w:trPr>
          <w:trHeight w:val="395"/>
          <w:jc w:val="center"/>
        </w:trPr>
        <w:tc>
          <w:tcPr>
            <w:tcW w:w="1599" w:type="dxa"/>
            <w:vAlign w:val="center"/>
          </w:tcPr>
          <w:p w:rsidR="008C2376" w:rsidRPr="009A689B" w:rsidRDefault="008C2376" w:rsidP="0072099E">
            <w:pPr>
              <w:autoSpaceDE w:val="0"/>
              <w:autoSpaceDN w:val="0"/>
              <w:bidi w:val="0"/>
              <w:adjustRightInd w:val="0"/>
              <w:rPr>
                <w:b/>
                <w:bCs/>
                <w:snapToGrid w:val="0"/>
              </w:rPr>
            </w:pPr>
            <w:r w:rsidRPr="009A689B">
              <w:rPr>
                <w:b/>
                <w:bCs/>
                <w:snapToGrid w:val="0"/>
              </w:rPr>
              <w:t>Palestine</w:t>
            </w:r>
          </w:p>
        </w:tc>
        <w:tc>
          <w:tcPr>
            <w:tcW w:w="2071" w:type="dxa"/>
            <w:vAlign w:val="center"/>
          </w:tcPr>
          <w:p w:rsidR="008C2376" w:rsidRPr="009A689B" w:rsidRDefault="00206317" w:rsidP="009A689B">
            <w:pPr>
              <w:pStyle w:val="Header"/>
              <w:bidi w:val="0"/>
              <w:ind w:right="-180"/>
              <w:jc w:val="center"/>
              <w:rPr>
                <w:rFonts w:cs="Times New Roman"/>
                <w:b/>
                <w:bCs/>
                <w:snapToGrid/>
                <w:sz w:val="24"/>
                <w:szCs w:val="24"/>
                <w:lang w:eastAsia="ar-SA"/>
              </w:rPr>
            </w:pPr>
            <w:r w:rsidRPr="009A689B">
              <w:rPr>
                <w:rFonts w:cs="Times New Roman"/>
                <w:b/>
                <w:bCs/>
                <w:snapToGrid/>
                <w:sz w:val="24"/>
                <w:szCs w:val="24"/>
                <w:lang w:eastAsia="ar-SA"/>
              </w:rPr>
              <w:t>37,035</w:t>
            </w:r>
          </w:p>
        </w:tc>
        <w:tc>
          <w:tcPr>
            <w:tcW w:w="1720" w:type="dxa"/>
            <w:vAlign w:val="center"/>
          </w:tcPr>
          <w:p w:rsidR="008C2376" w:rsidRPr="009A689B" w:rsidRDefault="00522D16" w:rsidP="009A689B">
            <w:pPr>
              <w:pStyle w:val="Header"/>
              <w:bidi w:val="0"/>
              <w:ind w:right="-180"/>
              <w:jc w:val="center"/>
              <w:rPr>
                <w:rFonts w:cs="Times New Roman"/>
                <w:b/>
                <w:bCs/>
                <w:snapToGrid/>
                <w:sz w:val="24"/>
                <w:szCs w:val="24"/>
                <w:lang w:eastAsia="ar-SA"/>
              </w:rPr>
            </w:pPr>
            <w:r w:rsidRPr="009A689B">
              <w:rPr>
                <w:rFonts w:cs="Times New Roman"/>
                <w:b/>
                <w:bCs/>
                <w:snapToGrid/>
                <w:sz w:val="24"/>
                <w:szCs w:val="24"/>
                <w:lang w:eastAsia="ar-SA"/>
              </w:rPr>
              <w:t>1,</w:t>
            </w:r>
            <w:r w:rsidR="00206317" w:rsidRPr="009A689B">
              <w:rPr>
                <w:rFonts w:cs="Times New Roman"/>
                <w:b/>
                <w:bCs/>
                <w:snapToGrid/>
                <w:sz w:val="24"/>
                <w:szCs w:val="24"/>
                <w:lang w:eastAsia="ar-SA"/>
              </w:rPr>
              <w:t>360</w:t>
            </w:r>
          </w:p>
        </w:tc>
        <w:tc>
          <w:tcPr>
            <w:tcW w:w="2073" w:type="dxa"/>
            <w:vAlign w:val="center"/>
          </w:tcPr>
          <w:p w:rsidR="008C2376" w:rsidRPr="009A689B" w:rsidRDefault="00206317" w:rsidP="009A689B">
            <w:pPr>
              <w:pStyle w:val="Header"/>
              <w:bidi w:val="0"/>
              <w:ind w:right="-180"/>
              <w:jc w:val="center"/>
              <w:rPr>
                <w:rFonts w:cs="Times New Roman"/>
                <w:b/>
                <w:bCs/>
                <w:snapToGrid/>
                <w:sz w:val="24"/>
                <w:szCs w:val="24"/>
                <w:lang w:eastAsia="ar-SA"/>
              </w:rPr>
            </w:pPr>
            <w:r w:rsidRPr="009A689B">
              <w:rPr>
                <w:rFonts w:cs="Times New Roman"/>
                <w:b/>
                <w:bCs/>
                <w:snapToGrid/>
                <w:sz w:val="24"/>
                <w:szCs w:val="24"/>
                <w:lang w:eastAsia="ar-SA"/>
              </w:rPr>
              <w:t>96</w:t>
            </w:r>
            <w:r w:rsidR="008C2376" w:rsidRPr="009A689B">
              <w:rPr>
                <w:rFonts w:cs="Times New Roman"/>
                <w:b/>
                <w:bCs/>
                <w:snapToGrid/>
                <w:sz w:val="24"/>
                <w:szCs w:val="24"/>
                <w:lang w:eastAsia="ar-SA"/>
              </w:rPr>
              <w:t>%</w:t>
            </w:r>
          </w:p>
        </w:tc>
      </w:tr>
    </w:tbl>
    <w:p w:rsidR="009A689B" w:rsidRPr="009A689B" w:rsidRDefault="009A689B" w:rsidP="009A689B">
      <w:pPr>
        <w:pStyle w:val="ListParagraph"/>
        <w:tabs>
          <w:tab w:val="right" w:pos="284"/>
        </w:tabs>
        <w:bidi w:val="0"/>
        <w:ind w:left="0"/>
        <w:jc w:val="both"/>
        <w:rPr>
          <w:sz w:val="16"/>
          <w:szCs w:val="16"/>
        </w:rPr>
      </w:pPr>
    </w:p>
    <w:p w:rsidR="00674962" w:rsidRDefault="00674962" w:rsidP="009A689B">
      <w:pPr>
        <w:pStyle w:val="ListParagraph"/>
        <w:numPr>
          <w:ilvl w:val="0"/>
          <w:numId w:val="25"/>
        </w:numPr>
        <w:tabs>
          <w:tab w:val="right" w:pos="284"/>
        </w:tabs>
        <w:bidi w:val="0"/>
        <w:jc w:val="both"/>
        <w:rPr>
          <w:sz w:val="26"/>
          <w:szCs w:val="26"/>
        </w:rPr>
      </w:pPr>
      <w:r w:rsidRPr="009A689B">
        <w:rPr>
          <w:sz w:val="26"/>
          <w:szCs w:val="26"/>
        </w:rPr>
        <w:t xml:space="preserve">International recommendations are followed in estimating the missing data, which are mentioned in the Consumer Price Index guide. Moreover, the </w:t>
      </w:r>
      <w:r w:rsidR="00E469F9" w:rsidRPr="009A689B">
        <w:rPr>
          <w:b/>
          <w:bCs/>
          <w:sz w:val="26"/>
          <w:szCs w:val="26"/>
        </w:rPr>
        <w:t>(</w:t>
      </w:r>
      <w:r w:rsidRPr="009A689B">
        <w:rPr>
          <w:b/>
          <w:bCs/>
          <w:sz w:val="26"/>
          <w:szCs w:val="26"/>
        </w:rPr>
        <w:t>Group Relative Method</w:t>
      </w:r>
      <w:r w:rsidR="00E469F9" w:rsidRPr="009A689B">
        <w:rPr>
          <w:b/>
          <w:bCs/>
          <w:sz w:val="26"/>
          <w:szCs w:val="26"/>
        </w:rPr>
        <w:t>)</w:t>
      </w:r>
      <w:r w:rsidRPr="009A689B">
        <w:rPr>
          <w:sz w:val="26"/>
          <w:szCs w:val="26"/>
        </w:rPr>
        <w:t xml:space="preserve"> is one of the best methods used to estimate the missing data, which is the process of estimating the prices based on the change in the prices of the remaining sources for the same category.  </w:t>
      </w:r>
      <w:r w:rsidR="00847A80" w:rsidRPr="009A689B">
        <w:rPr>
          <w:sz w:val="26"/>
          <w:szCs w:val="26"/>
        </w:rPr>
        <w:t>Accordingly,</w:t>
      </w:r>
      <w:r w:rsidRPr="009A689B">
        <w:rPr>
          <w:sz w:val="26"/>
          <w:szCs w:val="26"/>
        </w:rPr>
        <w:t xml:space="preserve"> in case of the closure of an entire source on a temporary basis, all the prices of that source </w:t>
      </w:r>
      <w:r w:rsidR="006B3944" w:rsidRPr="009A689B">
        <w:rPr>
          <w:sz w:val="26"/>
          <w:szCs w:val="26"/>
        </w:rPr>
        <w:t xml:space="preserve">have been </w:t>
      </w:r>
      <w:r w:rsidR="009F28F3" w:rsidRPr="009A689B">
        <w:rPr>
          <w:sz w:val="26"/>
          <w:szCs w:val="26"/>
        </w:rPr>
        <w:t>estimated</w:t>
      </w:r>
      <w:r w:rsidRPr="009A689B">
        <w:rPr>
          <w:sz w:val="26"/>
          <w:szCs w:val="26"/>
        </w:rPr>
        <w:t xml:space="preserve"> based on the change in the prices of the sources that share the same </w:t>
      </w:r>
      <w:r w:rsidR="009F28F3" w:rsidRPr="009A689B">
        <w:rPr>
          <w:sz w:val="26"/>
          <w:szCs w:val="26"/>
        </w:rPr>
        <w:t>items, which</w:t>
      </w:r>
      <w:r w:rsidRPr="009A689B">
        <w:rPr>
          <w:sz w:val="26"/>
          <w:szCs w:val="26"/>
        </w:rPr>
        <w:t xml:space="preserve"> are collected from that source</w:t>
      </w:r>
      <w:r w:rsidR="0072099E" w:rsidRPr="009A689B">
        <w:rPr>
          <w:sz w:val="26"/>
          <w:szCs w:val="26"/>
        </w:rPr>
        <w:t>.</w:t>
      </w:r>
    </w:p>
    <w:p w:rsidR="009A689B" w:rsidRPr="009A689B" w:rsidRDefault="009A689B" w:rsidP="009A689B">
      <w:pPr>
        <w:pStyle w:val="ListParagraph"/>
        <w:tabs>
          <w:tab w:val="right" w:pos="284"/>
        </w:tabs>
        <w:bidi w:val="0"/>
        <w:ind w:left="360"/>
        <w:jc w:val="both"/>
        <w:rPr>
          <w:sz w:val="16"/>
          <w:szCs w:val="16"/>
        </w:rPr>
      </w:pPr>
    </w:p>
    <w:p w:rsidR="00674962" w:rsidRPr="009A689B" w:rsidRDefault="00674962" w:rsidP="009A689B">
      <w:pPr>
        <w:pStyle w:val="ListParagraph"/>
        <w:numPr>
          <w:ilvl w:val="0"/>
          <w:numId w:val="25"/>
        </w:numPr>
        <w:tabs>
          <w:tab w:val="right" w:pos="284"/>
        </w:tabs>
        <w:bidi w:val="0"/>
        <w:ind w:left="0" w:firstLine="0"/>
        <w:jc w:val="both"/>
        <w:rPr>
          <w:sz w:val="26"/>
          <w:szCs w:val="26"/>
        </w:rPr>
      </w:pPr>
      <w:r w:rsidRPr="009A689B">
        <w:rPr>
          <w:sz w:val="26"/>
          <w:szCs w:val="26"/>
        </w:rPr>
        <w:t xml:space="preserve">The estimate also used at the </w:t>
      </w:r>
      <w:r w:rsidR="00E469F9" w:rsidRPr="009A689B">
        <w:rPr>
          <w:b/>
          <w:bCs/>
          <w:sz w:val="26"/>
          <w:szCs w:val="26"/>
        </w:rPr>
        <w:t>(</w:t>
      </w:r>
      <w:r w:rsidRPr="009A689B">
        <w:rPr>
          <w:b/>
          <w:bCs/>
          <w:sz w:val="26"/>
          <w:szCs w:val="26"/>
        </w:rPr>
        <w:t>Next Level Up in Aggregation</w:t>
      </w:r>
      <w:r w:rsidR="00E469F9" w:rsidRPr="009A689B">
        <w:rPr>
          <w:b/>
          <w:bCs/>
          <w:sz w:val="26"/>
          <w:szCs w:val="26"/>
        </w:rPr>
        <w:t>)</w:t>
      </w:r>
      <w:r w:rsidRPr="009A689B">
        <w:rPr>
          <w:sz w:val="26"/>
          <w:szCs w:val="26"/>
        </w:rPr>
        <w:t xml:space="preserve"> in case of the disappearance of the index for a whole sub-group or a higher group reaching up to the major groups that constitute the index</w:t>
      </w:r>
      <w:r w:rsidRPr="009A689B">
        <w:rPr>
          <w:sz w:val="26"/>
          <w:szCs w:val="26"/>
          <w:rtl/>
        </w:rPr>
        <w:t>.</w:t>
      </w:r>
    </w:p>
    <w:p w:rsidR="009A689B" w:rsidRDefault="009A689B" w:rsidP="008C2376">
      <w:pPr>
        <w:autoSpaceDE w:val="0"/>
        <w:autoSpaceDN w:val="0"/>
        <w:bidi w:val="0"/>
        <w:adjustRightInd w:val="0"/>
        <w:jc w:val="both"/>
        <w:rPr>
          <w:b/>
          <w:bCs/>
          <w:snapToGrid w:val="0"/>
        </w:rPr>
      </w:pPr>
    </w:p>
    <w:p w:rsidR="009A689B" w:rsidRDefault="009A689B" w:rsidP="009A689B">
      <w:pPr>
        <w:autoSpaceDE w:val="0"/>
        <w:autoSpaceDN w:val="0"/>
        <w:bidi w:val="0"/>
        <w:adjustRightInd w:val="0"/>
        <w:jc w:val="both"/>
        <w:rPr>
          <w:b/>
          <w:bCs/>
          <w:snapToGrid w:val="0"/>
        </w:rPr>
      </w:pPr>
    </w:p>
    <w:p w:rsidR="008C2376" w:rsidRPr="009A689B" w:rsidRDefault="008C2376" w:rsidP="009A689B">
      <w:pPr>
        <w:autoSpaceDE w:val="0"/>
        <w:autoSpaceDN w:val="0"/>
        <w:bidi w:val="0"/>
        <w:adjustRightInd w:val="0"/>
        <w:jc w:val="both"/>
        <w:rPr>
          <w:snapToGrid w:val="0"/>
        </w:rPr>
      </w:pPr>
      <w:r w:rsidRPr="009A689B">
        <w:rPr>
          <w:b/>
          <w:bCs/>
          <w:snapToGrid w:val="0"/>
        </w:rPr>
        <w:t>Notes</w:t>
      </w:r>
      <w:r w:rsidRPr="009A689B">
        <w:rPr>
          <w:snapToGrid w:val="0"/>
        </w:rPr>
        <w:t>:</w:t>
      </w:r>
    </w:p>
    <w:p w:rsidR="008C2376" w:rsidRPr="009A689B" w:rsidRDefault="008C2376" w:rsidP="008C2376">
      <w:pPr>
        <w:bidi w:val="0"/>
        <w:jc w:val="both"/>
      </w:pPr>
      <w:r w:rsidRPr="009A689B">
        <w:t xml:space="preserve">*Data represent those parts of </w:t>
      </w:r>
      <w:r w:rsidR="009F28F3" w:rsidRPr="009A689B">
        <w:t>Jerusalem, which</w:t>
      </w:r>
      <w:r w:rsidRPr="009A689B">
        <w:t xml:space="preserve"> were annexed by Israeli Occupation in 1967.</w:t>
      </w:r>
    </w:p>
    <w:p w:rsidR="008C2376" w:rsidRPr="009A689B" w:rsidRDefault="008C2376" w:rsidP="008C2376">
      <w:pPr>
        <w:bidi w:val="0"/>
        <w:jc w:val="both"/>
        <w:rPr>
          <w:sz w:val="16"/>
          <w:szCs w:val="16"/>
        </w:rPr>
      </w:pPr>
    </w:p>
    <w:p w:rsidR="008C2376" w:rsidRPr="009A689B" w:rsidRDefault="008C2376" w:rsidP="008C2376">
      <w:pPr>
        <w:bidi w:val="0"/>
        <w:jc w:val="both"/>
      </w:pPr>
      <w:r w:rsidRPr="009A689B">
        <w:t xml:space="preserve">**Data exclude those parts of </w:t>
      </w:r>
      <w:r w:rsidR="009F28F3" w:rsidRPr="009A689B">
        <w:t>Jerusalem, which</w:t>
      </w:r>
      <w:r w:rsidRPr="009A689B">
        <w:t xml:space="preserve"> were annexed by Israeli Occupation in 1967.</w:t>
      </w:r>
    </w:p>
    <w:p w:rsidR="000021BA" w:rsidRPr="009A689B" w:rsidRDefault="000021BA" w:rsidP="000021BA">
      <w:pPr>
        <w:bidi w:val="0"/>
        <w:jc w:val="both"/>
        <w:rPr>
          <w:sz w:val="16"/>
          <w:szCs w:val="16"/>
        </w:rPr>
      </w:pPr>
    </w:p>
    <w:p w:rsidR="00674962" w:rsidRPr="009A689B" w:rsidRDefault="009A525B" w:rsidP="00674962">
      <w:pPr>
        <w:pStyle w:val="ListParagraph"/>
        <w:bidi w:val="0"/>
        <w:ind w:left="0"/>
        <w:jc w:val="both"/>
      </w:pPr>
      <w:r w:rsidRPr="009A689B">
        <w:t>Please note that the press release in English is brief compared to the Arabic version</w:t>
      </w:r>
    </w:p>
    <w:bookmarkEnd w:id="0"/>
    <w:p w:rsidR="0047734A" w:rsidRPr="009A689B" w:rsidRDefault="0047734A" w:rsidP="00D83330">
      <w:pPr>
        <w:bidi w:val="0"/>
        <w:jc w:val="both"/>
      </w:pPr>
    </w:p>
    <w:sectPr w:rsidR="0047734A" w:rsidRPr="009A689B" w:rsidSect="009A689B">
      <w:footerReference w:type="even" r:id="rId7"/>
      <w:footerReference w:type="default" r:id="rId8"/>
      <w:pgSz w:w="11907" w:h="16840" w:code="9"/>
      <w:pgMar w:top="851" w:right="851" w:bottom="851" w:left="851" w:header="720" w:footer="720" w:gutter="0"/>
      <w:pgNumType w:start="1"/>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43" w:rsidRDefault="00430843">
      <w:r>
        <w:separator/>
      </w:r>
    </w:p>
  </w:endnote>
  <w:endnote w:type="continuationSeparator" w:id="0">
    <w:p w:rsidR="00430843" w:rsidRDefault="0043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0D" w:rsidRDefault="0007170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7170D" w:rsidRDefault="0007170D">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9B" w:rsidRDefault="009A689B">
    <w:pPr>
      <w:pStyle w:val="Footer"/>
      <w:jc w:val="center"/>
    </w:pPr>
    <w:r>
      <w:fldChar w:fldCharType="begin"/>
    </w:r>
    <w:r>
      <w:instrText xml:space="preserve"> PAGE   \* MERGEFORMAT </w:instrText>
    </w:r>
    <w:r>
      <w:fldChar w:fldCharType="separate"/>
    </w:r>
    <w:r w:rsidR="0078740A">
      <w:rPr>
        <w:noProof/>
        <w:rtl/>
      </w:rPr>
      <w:t>1</w:t>
    </w:r>
    <w:r>
      <w:fldChar w:fldCharType="end"/>
    </w:r>
  </w:p>
  <w:p w:rsidR="009A689B" w:rsidRDefault="009A68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43" w:rsidRDefault="00430843">
      <w:r>
        <w:separator/>
      </w:r>
    </w:p>
  </w:footnote>
  <w:footnote w:type="continuationSeparator" w:id="0">
    <w:p w:rsidR="00430843" w:rsidRDefault="004308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2EE74F3"/>
    <w:multiLevelType w:val="hybridMultilevel"/>
    <w:tmpl w:val="9F122748"/>
    <w:lvl w:ilvl="0" w:tplc="785CD316">
      <w:start w:val="4"/>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5" w15:restartNumberingAfterBreak="0">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90538"/>
    <w:multiLevelType w:val="hybridMultilevel"/>
    <w:tmpl w:val="C06A41A2"/>
    <w:lvl w:ilvl="0" w:tplc="F9FE2F3E">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3" w15:restartNumberingAfterBreak="0">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9"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20"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21"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2" w15:restartNumberingAfterBreak="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4" w15:restartNumberingAfterBreak="0">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4"/>
  </w:num>
  <w:num w:numId="4">
    <w:abstractNumId w:val="2"/>
  </w:num>
  <w:num w:numId="5">
    <w:abstractNumId w:val="12"/>
  </w:num>
  <w:num w:numId="6">
    <w:abstractNumId w:val="18"/>
  </w:num>
  <w:num w:numId="7">
    <w:abstractNumId w:val="20"/>
  </w:num>
  <w:num w:numId="8">
    <w:abstractNumId w:val="19"/>
  </w:num>
  <w:num w:numId="9">
    <w:abstractNumId w:val="15"/>
  </w:num>
  <w:num w:numId="10">
    <w:abstractNumId w:val="13"/>
  </w:num>
  <w:num w:numId="11">
    <w:abstractNumId w:val="6"/>
  </w:num>
  <w:num w:numId="12">
    <w:abstractNumId w:val="11"/>
  </w:num>
  <w:num w:numId="13">
    <w:abstractNumId w:val="24"/>
  </w:num>
  <w:num w:numId="14">
    <w:abstractNumId w:val="17"/>
  </w:num>
  <w:num w:numId="15">
    <w:abstractNumId w:val="16"/>
  </w:num>
  <w:num w:numId="16">
    <w:abstractNumId w:val="23"/>
  </w:num>
  <w:num w:numId="17">
    <w:abstractNumId w:val="14"/>
  </w:num>
  <w:num w:numId="18">
    <w:abstractNumId w:val="9"/>
  </w:num>
  <w:num w:numId="19">
    <w:abstractNumId w:val="5"/>
  </w:num>
  <w:num w:numId="20">
    <w:abstractNumId w:val="8"/>
  </w:num>
  <w:num w:numId="21">
    <w:abstractNumId w:val="1"/>
  </w:num>
  <w:num w:numId="22">
    <w:abstractNumId w:val="7"/>
  </w:num>
  <w:num w:numId="23">
    <w:abstractNumId w:val="22"/>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A0"/>
    <w:rsid w:val="000005BB"/>
    <w:rsid w:val="000021BA"/>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7CB2"/>
    <w:rsid w:val="00071304"/>
    <w:rsid w:val="0007170D"/>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4D34"/>
    <w:rsid w:val="001051B8"/>
    <w:rsid w:val="0010551F"/>
    <w:rsid w:val="00105F12"/>
    <w:rsid w:val="00110E17"/>
    <w:rsid w:val="00112743"/>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590D"/>
    <w:rsid w:val="001A64BF"/>
    <w:rsid w:val="001A7768"/>
    <w:rsid w:val="001A7B62"/>
    <w:rsid w:val="001B0773"/>
    <w:rsid w:val="001C008E"/>
    <w:rsid w:val="001C3DB7"/>
    <w:rsid w:val="001C461C"/>
    <w:rsid w:val="001C6EDC"/>
    <w:rsid w:val="001D0181"/>
    <w:rsid w:val="001D1C4A"/>
    <w:rsid w:val="001E1B48"/>
    <w:rsid w:val="001E2526"/>
    <w:rsid w:val="001E2609"/>
    <w:rsid w:val="001E5235"/>
    <w:rsid w:val="001F1BC0"/>
    <w:rsid w:val="001F29DB"/>
    <w:rsid w:val="001F2B41"/>
    <w:rsid w:val="001F6D26"/>
    <w:rsid w:val="00200044"/>
    <w:rsid w:val="002011B9"/>
    <w:rsid w:val="00201C7A"/>
    <w:rsid w:val="00203289"/>
    <w:rsid w:val="002038C3"/>
    <w:rsid w:val="00203A90"/>
    <w:rsid w:val="0020470D"/>
    <w:rsid w:val="00204986"/>
    <w:rsid w:val="00205351"/>
    <w:rsid w:val="00205D65"/>
    <w:rsid w:val="002060F4"/>
    <w:rsid w:val="00206317"/>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1C90"/>
    <w:rsid w:val="002458C2"/>
    <w:rsid w:val="00247498"/>
    <w:rsid w:val="002518F7"/>
    <w:rsid w:val="00251F80"/>
    <w:rsid w:val="00252F8A"/>
    <w:rsid w:val="00254219"/>
    <w:rsid w:val="0025580A"/>
    <w:rsid w:val="00255CC2"/>
    <w:rsid w:val="0025601B"/>
    <w:rsid w:val="0025780B"/>
    <w:rsid w:val="00257A70"/>
    <w:rsid w:val="00260371"/>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7A61"/>
    <w:rsid w:val="002C17FF"/>
    <w:rsid w:val="002C4652"/>
    <w:rsid w:val="002C48F3"/>
    <w:rsid w:val="002C4A4E"/>
    <w:rsid w:val="002D238F"/>
    <w:rsid w:val="002D4BA7"/>
    <w:rsid w:val="002D6B81"/>
    <w:rsid w:val="002E071A"/>
    <w:rsid w:val="002E09DE"/>
    <w:rsid w:val="002E19ED"/>
    <w:rsid w:val="002E2F94"/>
    <w:rsid w:val="002E4BC6"/>
    <w:rsid w:val="002E51BD"/>
    <w:rsid w:val="002E788E"/>
    <w:rsid w:val="002F1812"/>
    <w:rsid w:val="002F1E20"/>
    <w:rsid w:val="002F444A"/>
    <w:rsid w:val="002F4A1D"/>
    <w:rsid w:val="002F6F7A"/>
    <w:rsid w:val="002F7F70"/>
    <w:rsid w:val="003018D3"/>
    <w:rsid w:val="003035B8"/>
    <w:rsid w:val="00305B59"/>
    <w:rsid w:val="0030687B"/>
    <w:rsid w:val="00306885"/>
    <w:rsid w:val="00306913"/>
    <w:rsid w:val="00306CD0"/>
    <w:rsid w:val="00310D59"/>
    <w:rsid w:val="00314E6B"/>
    <w:rsid w:val="00315029"/>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732C9"/>
    <w:rsid w:val="0037498D"/>
    <w:rsid w:val="003751C9"/>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72A9"/>
    <w:rsid w:val="003A0009"/>
    <w:rsid w:val="003A08B3"/>
    <w:rsid w:val="003A267E"/>
    <w:rsid w:val="003A330C"/>
    <w:rsid w:val="003A471C"/>
    <w:rsid w:val="003A4932"/>
    <w:rsid w:val="003A4E71"/>
    <w:rsid w:val="003A5BA8"/>
    <w:rsid w:val="003A5F13"/>
    <w:rsid w:val="003A7BF1"/>
    <w:rsid w:val="003B0FAF"/>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593A"/>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25C70"/>
    <w:rsid w:val="00430843"/>
    <w:rsid w:val="00430B67"/>
    <w:rsid w:val="004312BE"/>
    <w:rsid w:val="00431925"/>
    <w:rsid w:val="004331D9"/>
    <w:rsid w:val="004332D7"/>
    <w:rsid w:val="00440546"/>
    <w:rsid w:val="00441187"/>
    <w:rsid w:val="00441549"/>
    <w:rsid w:val="00442D4E"/>
    <w:rsid w:val="004437A5"/>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9EB"/>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C7BC6"/>
    <w:rsid w:val="004D0A8B"/>
    <w:rsid w:val="004D4443"/>
    <w:rsid w:val="004D5007"/>
    <w:rsid w:val="004E10CB"/>
    <w:rsid w:val="004E1FA0"/>
    <w:rsid w:val="004E2334"/>
    <w:rsid w:val="004E242F"/>
    <w:rsid w:val="004E3FF7"/>
    <w:rsid w:val="004E4200"/>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767C"/>
    <w:rsid w:val="00520718"/>
    <w:rsid w:val="00520DDA"/>
    <w:rsid w:val="005228CD"/>
    <w:rsid w:val="00522AE6"/>
    <w:rsid w:val="00522D1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4C8D"/>
    <w:rsid w:val="005455B7"/>
    <w:rsid w:val="00545BFA"/>
    <w:rsid w:val="0054634A"/>
    <w:rsid w:val="0054778A"/>
    <w:rsid w:val="00550D10"/>
    <w:rsid w:val="00554720"/>
    <w:rsid w:val="00554EC1"/>
    <w:rsid w:val="00555AB2"/>
    <w:rsid w:val="00556A77"/>
    <w:rsid w:val="005575DE"/>
    <w:rsid w:val="005577AC"/>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3B6D"/>
    <w:rsid w:val="005B5222"/>
    <w:rsid w:val="005B7CC8"/>
    <w:rsid w:val="005C01F5"/>
    <w:rsid w:val="005C035D"/>
    <w:rsid w:val="005C281B"/>
    <w:rsid w:val="005D1032"/>
    <w:rsid w:val="005D137C"/>
    <w:rsid w:val="005D1D24"/>
    <w:rsid w:val="005D51EB"/>
    <w:rsid w:val="005D5C12"/>
    <w:rsid w:val="005D5EF5"/>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0B0"/>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43D2"/>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737"/>
    <w:rsid w:val="006A4CF6"/>
    <w:rsid w:val="006A52B5"/>
    <w:rsid w:val="006A610B"/>
    <w:rsid w:val="006A6B78"/>
    <w:rsid w:val="006B1D22"/>
    <w:rsid w:val="006B3039"/>
    <w:rsid w:val="006B3944"/>
    <w:rsid w:val="006B3ED6"/>
    <w:rsid w:val="006B7EF6"/>
    <w:rsid w:val="006B7F76"/>
    <w:rsid w:val="006C036D"/>
    <w:rsid w:val="006C191A"/>
    <w:rsid w:val="006C2D55"/>
    <w:rsid w:val="006C320E"/>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66BA2"/>
    <w:rsid w:val="007703BA"/>
    <w:rsid w:val="007724B1"/>
    <w:rsid w:val="00780F93"/>
    <w:rsid w:val="00782704"/>
    <w:rsid w:val="0078459D"/>
    <w:rsid w:val="00785398"/>
    <w:rsid w:val="00785CFC"/>
    <w:rsid w:val="007869E7"/>
    <w:rsid w:val="0078740A"/>
    <w:rsid w:val="00787E2D"/>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8E4"/>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C0C"/>
    <w:rsid w:val="00931E03"/>
    <w:rsid w:val="009339BC"/>
    <w:rsid w:val="00933C6C"/>
    <w:rsid w:val="00935712"/>
    <w:rsid w:val="0094013C"/>
    <w:rsid w:val="009411EA"/>
    <w:rsid w:val="00941B55"/>
    <w:rsid w:val="00942892"/>
    <w:rsid w:val="009439EF"/>
    <w:rsid w:val="00943F10"/>
    <w:rsid w:val="009444C9"/>
    <w:rsid w:val="009479F1"/>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A0EC0"/>
    <w:rsid w:val="009A15CE"/>
    <w:rsid w:val="009A2F5B"/>
    <w:rsid w:val="009A525B"/>
    <w:rsid w:val="009A5AB3"/>
    <w:rsid w:val="009A689B"/>
    <w:rsid w:val="009A6E26"/>
    <w:rsid w:val="009A77B9"/>
    <w:rsid w:val="009A7E1A"/>
    <w:rsid w:val="009B17E4"/>
    <w:rsid w:val="009B21F7"/>
    <w:rsid w:val="009B2767"/>
    <w:rsid w:val="009B4443"/>
    <w:rsid w:val="009B4F52"/>
    <w:rsid w:val="009B5B35"/>
    <w:rsid w:val="009B66EF"/>
    <w:rsid w:val="009B6709"/>
    <w:rsid w:val="009B7446"/>
    <w:rsid w:val="009B7A90"/>
    <w:rsid w:val="009C04E5"/>
    <w:rsid w:val="009C0E31"/>
    <w:rsid w:val="009C436E"/>
    <w:rsid w:val="009C491C"/>
    <w:rsid w:val="009C58A8"/>
    <w:rsid w:val="009D2C79"/>
    <w:rsid w:val="009D30F1"/>
    <w:rsid w:val="009D597A"/>
    <w:rsid w:val="009D61DF"/>
    <w:rsid w:val="009E03E3"/>
    <w:rsid w:val="009E1901"/>
    <w:rsid w:val="009E30C4"/>
    <w:rsid w:val="009E3B0A"/>
    <w:rsid w:val="009E4A1C"/>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37FE"/>
    <w:rsid w:val="00A45B36"/>
    <w:rsid w:val="00A4668A"/>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66"/>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1CF"/>
    <w:rsid w:val="00B75FF1"/>
    <w:rsid w:val="00B77307"/>
    <w:rsid w:val="00B80259"/>
    <w:rsid w:val="00B84B66"/>
    <w:rsid w:val="00B85D2A"/>
    <w:rsid w:val="00B879EA"/>
    <w:rsid w:val="00B91EC5"/>
    <w:rsid w:val="00B94B9D"/>
    <w:rsid w:val="00B94F62"/>
    <w:rsid w:val="00B952EE"/>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0744"/>
    <w:rsid w:val="00BD164F"/>
    <w:rsid w:val="00BD1787"/>
    <w:rsid w:val="00BD7E48"/>
    <w:rsid w:val="00BE1A4C"/>
    <w:rsid w:val="00BE2123"/>
    <w:rsid w:val="00BE2B92"/>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C5D24"/>
    <w:rsid w:val="00CD0417"/>
    <w:rsid w:val="00CD1749"/>
    <w:rsid w:val="00CD3C48"/>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4F71"/>
    <w:rsid w:val="00D65BD8"/>
    <w:rsid w:val="00D66C59"/>
    <w:rsid w:val="00D72E15"/>
    <w:rsid w:val="00D73C9A"/>
    <w:rsid w:val="00D75D0E"/>
    <w:rsid w:val="00D76B88"/>
    <w:rsid w:val="00D83330"/>
    <w:rsid w:val="00D83CA7"/>
    <w:rsid w:val="00D83DDF"/>
    <w:rsid w:val="00D8400A"/>
    <w:rsid w:val="00D8595D"/>
    <w:rsid w:val="00D869F3"/>
    <w:rsid w:val="00D870F0"/>
    <w:rsid w:val="00D90E29"/>
    <w:rsid w:val="00D91F13"/>
    <w:rsid w:val="00D93989"/>
    <w:rsid w:val="00D94912"/>
    <w:rsid w:val="00D953A1"/>
    <w:rsid w:val="00D96C4F"/>
    <w:rsid w:val="00D9742E"/>
    <w:rsid w:val="00DA046D"/>
    <w:rsid w:val="00DA145F"/>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2BB1"/>
    <w:rsid w:val="00E545EE"/>
    <w:rsid w:val="00E552E7"/>
    <w:rsid w:val="00E56E8D"/>
    <w:rsid w:val="00E57C51"/>
    <w:rsid w:val="00E60FD9"/>
    <w:rsid w:val="00E61FA5"/>
    <w:rsid w:val="00E6299F"/>
    <w:rsid w:val="00E629F2"/>
    <w:rsid w:val="00E62EB3"/>
    <w:rsid w:val="00E64C3F"/>
    <w:rsid w:val="00E65CC2"/>
    <w:rsid w:val="00E66BFC"/>
    <w:rsid w:val="00E707ED"/>
    <w:rsid w:val="00E720FB"/>
    <w:rsid w:val="00E73557"/>
    <w:rsid w:val="00E74C79"/>
    <w:rsid w:val="00E763A7"/>
    <w:rsid w:val="00E76D60"/>
    <w:rsid w:val="00E801C8"/>
    <w:rsid w:val="00E813D7"/>
    <w:rsid w:val="00E81FA9"/>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6513"/>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19CC"/>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1B4E"/>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405AAE-2227-40BA-9297-ECE0CE50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val="x-none"/>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 w:id="17575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2020-09-10T07:56:00Z</cp:lastPrinted>
  <dcterms:created xsi:type="dcterms:W3CDTF">2020-10-14T07:41:00Z</dcterms:created>
  <dcterms:modified xsi:type="dcterms:W3CDTF">2020-10-14T07:41:00Z</dcterms:modified>
</cp:coreProperties>
</file>