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67E00" w14:textId="5A480D63" w:rsidR="0089334E" w:rsidRPr="009B1A86" w:rsidRDefault="0089334E" w:rsidP="007E67BB">
      <w:pPr>
        <w:tabs>
          <w:tab w:val="left" w:pos="2040"/>
        </w:tabs>
        <w:bidi w:val="0"/>
        <w:rPr>
          <w:sz w:val="18"/>
          <w:szCs w:val="18"/>
        </w:rPr>
      </w:pPr>
    </w:p>
    <w:p w14:paraId="0EFCC54E" w14:textId="77777777" w:rsidR="008D37A5" w:rsidRPr="009B1A86" w:rsidRDefault="008D37A5" w:rsidP="008D37A5">
      <w:pPr>
        <w:rPr>
          <w:sz w:val="2"/>
          <w:szCs w:val="2"/>
          <w:rtl/>
        </w:rPr>
      </w:pPr>
    </w:p>
    <w:p w14:paraId="122A0C31" w14:textId="342546A1" w:rsidR="0089334E" w:rsidRPr="00177019" w:rsidRDefault="0089334E" w:rsidP="00854A3D">
      <w:pPr>
        <w:pStyle w:val="Heading5"/>
        <w:spacing w:line="240" w:lineRule="auto"/>
        <w:jc w:val="center"/>
        <w:rPr>
          <w:color w:val="auto"/>
          <w:sz w:val="32"/>
          <w:szCs w:val="32"/>
          <w:u w:val="none"/>
        </w:rPr>
      </w:pPr>
      <w:r w:rsidRPr="00177019">
        <w:rPr>
          <w:color w:val="auto"/>
          <w:sz w:val="32"/>
          <w:szCs w:val="32"/>
          <w:u w:val="none"/>
        </w:rPr>
        <w:t>Palestinian Central Bureau of Statistics (PCBS)</w:t>
      </w:r>
      <w:r w:rsidR="00177019" w:rsidRPr="00177019">
        <w:rPr>
          <w:color w:val="auto"/>
          <w:sz w:val="32"/>
          <w:szCs w:val="32"/>
          <w:u w:val="none"/>
        </w:rPr>
        <w:t xml:space="preserve"> and the United Nations Population Fund (UNFPA)</w:t>
      </w:r>
    </w:p>
    <w:p w14:paraId="722278E2" w14:textId="77777777" w:rsidR="00854A3D" w:rsidRPr="00BC21DD" w:rsidRDefault="00854A3D" w:rsidP="00BC21DD">
      <w:pPr>
        <w:bidi w:val="0"/>
        <w:jc w:val="center"/>
        <w:rPr>
          <w:b/>
          <w:bCs/>
          <w:sz w:val="16"/>
          <w:szCs w:val="16"/>
        </w:rPr>
      </w:pPr>
    </w:p>
    <w:p w14:paraId="0AF1509C" w14:textId="77777777" w:rsidR="00BC21DD" w:rsidRDefault="003A1E6F" w:rsidP="003A1E6F">
      <w:pPr>
        <w:pStyle w:val="Heading5"/>
        <w:spacing w:line="240" w:lineRule="auto"/>
        <w:jc w:val="center"/>
        <w:rPr>
          <w:sz w:val="28"/>
          <w:szCs w:val="28"/>
          <w:u w:val="none"/>
        </w:rPr>
      </w:pPr>
      <w:r w:rsidRPr="00BC21DD">
        <w:rPr>
          <w:color w:val="auto"/>
          <w:sz w:val="28"/>
          <w:szCs w:val="28"/>
          <w:u w:val="none"/>
        </w:rPr>
        <w:t>The Palestinian Central Bureau of Statistics (PCBS) and the United Nations Population Fund (</w:t>
      </w:r>
      <w:bookmarkStart w:id="0" w:name="_GoBack"/>
      <w:r w:rsidRPr="00BC21DD">
        <w:rPr>
          <w:color w:val="auto"/>
          <w:sz w:val="28"/>
          <w:szCs w:val="28"/>
          <w:u w:val="none"/>
        </w:rPr>
        <w:t>UNFP</w:t>
      </w:r>
      <w:r w:rsidR="00BC21DD" w:rsidRPr="00BC21DD">
        <w:rPr>
          <w:color w:val="auto"/>
          <w:sz w:val="28"/>
          <w:szCs w:val="28"/>
          <w:u w:val="none"/>
        </w:rPr>
        <w:t>A</w:t>
      </w:r>
      <w:bookmarkEnd w:id="0"/>
      <w:r w:rsidRPr="00BC21DD">
        <w:rPr>
          <w:color w:val="auto"/>
          <w:sz w:val="28"/>
          <w:szCs w:val="28"/>
          <w:u w:val="none"/>
        </w:rPr>
        <w:t>) jointly issue a press release on</w:t>
      </w:r>
      <w:r w:rsidR="008D37A5" w:rsidRPr="00BC21DD">
        <w:rPr>
          <w:sz w:val="28"/>
          <w:szCs w:val="28"/>
          <w:u w:val="none"/>
        </w:rPr>
        <w:t xml:space="preserve"> the</w:t>
      </w:r>
      <w:r w:rsidR="0089334E" w:rsidRPr="00BC21DD">
        <w:rPr>
          <w:sz w:val="28"/>
          <w:szCs w:val="28"/>
          <w:u w:val="none"/>
        </w:rPr>
        <w:t xml:space="preserve"> </w:t>
      </w:r>
      <w:r w:rsidR="005C18C4" w:rsidRPr="00BC21DD">
        <w:rPr>
          <w:sz w:val="28"/>
          <w:szCs w:val="28"/>
          <w:u w:val="none"/>
        </w:rPr>
        <w:t xml:space="preserve">Occasion </w:t>
      </w:r>
      <w:r w:rsidR="008D37A5" w:rsidRPr="00BC21DD">
        <w:rPr>
          <w:sz w:val="28"/>
          <w:szCs w:val="28"/>
          <w:u w:val="none"/>
        </w:rPr>
        <w:t>of the International Population Day 11/</w:t>
      </w:r>
      <w:r w:rsidR="006C5F32" w:rsidRPr="00BC21DD">
        <w:rPr>
          <w:sz w:val="28"/>
          <w:szCs w:val="28"/>
          <w:u w:val="none"/>
        </w:rPr>
        <w:t>0</w:t>
      </w:r>
      <w:r w:rsidR="008D37A5" w:rsidRPr="00BC21DD">
        <w:rPr>
          <w:sz w:val="28"/>
          <w:szCs w:val="28"/>
          <w:u w:val="none"/>
        </w:rPr>
        <w:t>7/</w:t>
      </w:r>
      <w:r w:rsidR="008F22E1" w:rsidRPr="00BC21DD">
        <w:rPr>
          <w:sz w:val="28"/>
          <w:szCs w:val="28"/>
          <w:u w:val="none"/>
        </w:rPr>
        <w:t>2021</w:t>
      </w:r>
      <w:r w:rsidR="00F75C00" w:rsidRPr="00BC21DD">
        <w:rPr>
          <w:sz w:val="28"/>
          <w:szCs w:val="28"/>
          <w:u w:val="none"/>
        </w:rPr>
        <w:t>, the world celebrates the World Population Day Under the theme "</w:t>
      </w:r>
      <w:r w:rsidR="007F0FB2" w:rsidRPr="00BC21DD">
        <w:rPr>
          <w:sz w:val="28"/>
          <w:szCs w:val="28"/>
          <w:u w:val="none"/>
        </w:rPr>
        <w:t>Protecting</w:t>
      </w:r>
      <w:r w:rsidR="00F75C00" w:rsidRPr="00BC21DD">
        <w:rPr>
          <w:sz w:val="28"/>
          <w:szCs w:val="28"/>
          <w:u w:val="none"/>
        </w:rPr>
        <w:t xml:space="preserve"> </w:t>
      </w:r>
      <w:r w:rsidR="007F0FB2" w:rsidRPr="00BC21DD">
        <w:rPr>
          <w:sz w:val="28"/>
          <w:szCs w:val="28"/>
          <w:u w:val="none"/>
        </w:rPr>
        <w:t xml:space="preserve">women's health and rights </w:t>
      </w:r>
      <w:r w:rsidR="00F75C00" w:rsidRPr="00BC21DD">
        <w:rPr>
          <w:sz w:val="28"/>
          <w:szCs w:val="28"/>
          <w:u w:val="none"/>
        </w:rPr>
        <w:t>by reducing COVID-19"</w:t>
      </w:r>
      <w:r w:rsidR="007F0FB2" w:rsidRPr="00BC21DD">
        <w:rPr>
          <w:sz w:val="28"/>
          <w:szCs w:val="28"/>
          <w:u w:val="none"/>
        </w:rPr>
        <w:t xml:space="preserve"> </w:t>
      </w:r>
      <w:r w:rsidR="00F75C00" w:rsidRPr="00BC21DD">
        <w:rPr>
          <w:rFonts w:ascii="Tahoma" w:hAnsi="Tahoma" w:cs="Tahoma"/>
          <w:sz w:val="28"/>
          <w:szCs w:val="28"/>
          <w:u w:val="none"/>
        </w:rPr>
        <w:br/>
      </w:r>
      <w:r w:rsidR="00F75C00" w:rsidRPr="00BC21DD">
        <w:rPr>
          <w:rFonts w:ascii="Tahoma" w:hAnsi="Tahoma" w:cs="Tahoma"/>
          <w:sz w:val="28"/>
          <w:szCs w:val="28"/>
          <w:u w:val="none"/>
        </w:rPr>
        <w:br/>
      </w:r>
      <w:r w:rsidR="00F75C00" w:rsidRPr="00BC21DD">
        <w:rPr>
          <w:sz w:val="28"/>
          <w:szCs w:val="28"/>
          <w:u w:val="none"/>
        </w:rPr>
        <w:t xml:space="preserve">The world celebrates the World Population Day on </w:t>
      </w:r>
      <w:r w:rsidR="007F0FB2" w:rsidRPr="00BC21DD">
        <w:rPr>
          <w:sz w:val="28"/>
          <w:szCs w:val="28"/>
          <w:u w:val="none"/>
        </w:rPr>
        <w:t xml:space="preserve">July </w:t>
      </w:r>
      <w:r w:rsidR="00F75C00" w:rsidRPr="00BC21DD">
        <w:rPr>
          <w:sz w:val="28"/>
          <w:szCs w:val="28"/>
          <w:u w:val="none"/>
        </w:rPr>
        <w:t>11</w:t>
      </w:r>
      <w:r w:rsidR="007F0FB2" w:rsidRPr="00BC21DD">
        <w:rPr>
          <w:sz w:val="28"/>
          <w:szCs w:val="28"/>
          <w:u w:val="none"/>
          <w:vertAlign w:val="superscript"/>
        </w:rPr>
        <w:t>th</w:t>
      </w:r>
      <w:r w:rsidR="007F0FB2" w:rsidRPr="00BC21DD">
        <w:rPr>
          <w:sz w:val="28"/>
          <w:szCs w:val="28"/>
          <w:u w:val="none"/>
        </w:rPr>
        <w:t xml:space="preserve"> each year</w:t>
      </w:r>
      <w:r w:rsidR="00F75C00" w:rsidRPr="00BC21DD">
        <w:rPr>
          <w:sz w:val="28"/>
          <w:szCs w:val="28"/>
          <w:u w:val="none"/>
        </w:rPr>
        <w:t xml:space="preserve"> since 1990, in order to promote awareness of population issues and its relationship to the environment and development, given the consequences of the </w:t>
      </w:r>
      <w:r w:rsidR="007F0FB2" w:rsidRPr="00BC21DD">
        <w:rPr>
          <w:sz w:val="28"/>
          <w:szCs w:val="28"/>
          <w:u w:val="none"/>
        </w:rPr>
        <w:t>COVID-19</w:t>
      </w:r>
      <w:r w:rsidR="00F75C00" w:rsidRPr="00BC21DD">
        <w:rPr>
          <w:sz w:val="28"/>
          <w:szCs w:val="28"/>
          <w:u w:val="none"/>
        </w:rPr>
        <w:t xml:space="preserve"> pandemic on </w:t>
      </w:r>
      <w:r w:rsidR="007F0FB2" w:rsidRPr="00BC21DD">
        <w:rPr>
          <w:sz w:val="28"/>
          <w:szCs w:val="28"/>
          <w:u w:val="none"/>
        </w:rPr>
        <w:t>all</w:t>
      </w:r>
      <w:r w:rsidR="00F75C00" w:rsidRPr="00BC21DD">
        <w:rPr>
          <w:sz w:val="28"/>
          <w:szCs w:val="28"/>
          <w:u w:val="none"/>
        </w:rPr>
        <w:t xml:space="preserve"> countries and its direct impact on women, who are more vulnerable to</w:t>
      </w:r>
      <w:r w:rsidR="007F0FB2" w:rsidRPr="00BC21DD">
        <w:rPr>
          <w:b w:val="0"/>
          <w:bCs w:val="0"/>
          <w:sz w:val="28"/>
          <w:szCs w:val="28"/>
          <w:u w:val="none"/>
        </w:rPr>
        <w:t xml:space="preserve"> </w:t>
      </w:r>
      <w:r w:rsidR="007F0FB2" w:rsidRPr="00BC21DD">
        <w:rPr>
          <w:sz w:val="28"/>
          <w:szCs w:val="28"/>
          <w:u w:val="none"/>
        </w:rPr>
        <w:t xml:space="preserve">the risks </w:t>
      </w:r>
    </w:p>
    <w:p w14:paraId="2F846213" w14:textId="674CDE19" w:rsidR="00F75C00" w:rsidRPr="00BC21DD" w:rsidRDefault="007F0FB2" w:rsidP="003A1E6F">
      <w:pPr>
        <w:pStyle w:val="Heading5"/>
        <w:spacing w:line="240" w:lineRule="auto"/>
        <w:jc w:val="center"/>
        <w:rPr>
          <w:sz w:val="28"/>
          <w:szCs w:val="28"/>
          <w:u w:val="none"/>
        </w:rPr>
      </w:pPr>
      <w:proofErr w:type="gramStart"/>
      <w:r w:rsidRPr="00BC21DD">
        <w:rPr>
          <w:sz w:val="28"/>
          <w:szCs w:val="28"/>
          <w:u w:val="none"/>
        </w:rPr>
        <w:t>of</w:t>
      </w:r>
      <w:proofErr w:type="gramEnd"/>
      <w:r w:rsidR="00F75C00" w:rsidRPr="00BC21DD">
        <w:rPr>
          <w:sz w:val="28"/>
          <w:szCs w:val="28"/>
          <w:u w:val="none"/>
        </w:rPr>
        <w:t xml:space="preserve"> COVID - 19. </w:t>
      </w:r>
    </w:p>
    <w:p w14:paraId="02B24A40" w14:textId="4F414267" w:rsidR="007E67BB" w:rsidRPr="007E67BB" w:rsidRDefault="007E67BB" w:rsidP="007E67BB">
      <w:pPr>
        <w:pStyle w:val="Heading5"/>
        <w:spacing w:line="240" w:lineRule="auto"/>
        <w:jc w:val="left"/>
        <w:rPr>
          <w:color w:val="auto"/>
          <w:sz w:val="16"/>
          <w:szCs w:val="16"/>
          <w:u w:val="none"/>
          <w:rtl/>
        </w:rPr>
      </w:pPr>
    </w:p>
    <w:p w14:paraId="0B376F9F" w14:textId="77777777" w:rsidR="00BC21DD" w:rsidRPr="00BE244D" w:rsidRDefault="00BC21DD" w:rsidP="007E67BB">
      <w:pPr>
        <w:pStyle w:val="Heading5"/>
        <w:spacing w:line="240" w:lineRule="auto"/>
        <w:jc w:val="left"/>
        <w:rPr>
          <w:color w:val="auto"/>
          <w:sz w:val="16"/>
          <w:szCs w:val="16"/>
          <w:u w:val="none"/>
        </w:rPr>
      </w:pPr>
    </w:p>
    <w:p w14:paraId="7D7B7106" w14:textId="6EE6116D" w:rsidR="00854A3D" w:rsidRPr="00DE7A06" w:rsidRDefault="00F75C00" w:rsidP="007E67BB">
      <w:pPr>
        <w:pStyle w:val="Heading5"/>
        <w:spacing w:line="240" w:lineRule="auto"/>
        <w:jc w:val="left"/>
        <w:rPr>
          <w:color w:val="auto"/>
          <w:sz w:val="26"/>
          <w:szCs w:val="26"/>
          <w:u w:val="none"/>
        </w:rPr>
      </w:pPr>
      <w:r w:rsidRPr="00DE7A06">
        <w:rPr>
          <w:color w:val="auto"/>
          <w:sz w:val="26"/>
          <w:szCs w:val="26"/>
          <w:u w:val="none"/>
        </w:rPr>
        <w:t>About 13</w:t>
      </w:r>
      <w:r w:rsidR="00BA3B8D" w:rsidRPr="00DE7A06">
        <w:rPr>
          <w:color w:val="auto"/>
          <w:sz w:val="26"/>
          <w:szCs w:val="26"/>
          <w:u w:val="none"/>
        </w:rPr>
        <w:t>.8</w:t>
      </w:r>
      <w:r w:rsidRPr="00DE7A06">
        <w:rPr>
          <w:color w:val="auto"/>
          <w:sz w:val="26"/>
          <w:szCs w:val="26"/>
          <w:u w:val="none"/>
        </w:rPr>
        <w:t xml:space="preserve"> Million Palestinians in Historical Palestine and Diaspora</w:t>
      </w:r>
    </w:p>
    <w:p w14:paraId="03ABE9B8" w14:textId="7F692146" w:rsidR="00E60850" w:rsidRPr="00DE7A06" w:rsidRDefault="00905D31" w:rsidP="00106C47">
      <w:pPr>
        <w:pStyle w:val="BodyText2"/>
        <w:rPr>
          <w:color w:val="auto"/>
        </w:rPr>
      </w:pPr>
      <w:bookmarkStart w:id="1" w:name="OLE_LINK1"/>
      <w:r w:rsidRPr="00DE7A06">
        <w:rPr>
          <w:color w:val="auto"/>
        </w:rPr>
        <w:t>Based on</w:t>
      </w:r>
      <w:r w:rsidR="00A81BEB" w:rsidRPr="00DE7A06">
        <w:rPr>
          <w:color w:val="auto"/>
        </w:rPr>
        <w:t xml:space="preserve"> </w:t>
      </w:r>
      <w:r w:rsidR="007F0FB2" w:rsidRPr="00DE7A06">
        <w:rPr>
          <w:color w:val="auto"/>
        </w:rPr>
        <w:t xml:space="preserve">population </w:t>
      </w:r>
      <w:r w:rsidRPr="00DE7A06">
        <w:rPr>
          <w:color w:val="auto"/>
        </w:rPr>
        <w:t>estimates prepared by PCBS</w:t>
      </w:r>
      <w:r w:rsidR="00A81BEB" w:rsidRPr="00DE7A06">
        <w:rPr>
          <w:color w:val="auto"/>
        </w:rPr>
        <w:t>, t</w:t>
      </w:r>
      <w:r w:rsidR="004155EB" w:rsidRPr="00DE7A06">
        <w:rPr>
          <w:color w:val="auto"/>
        </w:rPr>
        <w:t xml:space="preserve">here are about </w:t>
      </w:r>
      <w:r w:rsidR="00CE1260" w:rsidRPr="00DE7A06">
        <w:rPr>
          <w:color w:val="auto"/>
        </w:rPr>
        <w:t>13.</w:t>
      </w:r>
      <w:r w:rsidR="008F22E1" w:rsidRPr="00DE7A06">
        <w:rPr>
          <w:color w:val="auto"/>
        </w:rPr>
        <w:t>8</w:t>
      </w:r>
      <w:r w:rsidR="004155EB" w:rsidRPr="00DE7A06">
        <w:rPr>
          <w:color w:val="auto"/>
        </w:rPr>
        <w:t xml:space="preserve"> million Palestinians in the world</w:t>
      </w:r>
      <w:r w:rsidR="000E21E9" w:rsidRPr="00DE7A06">
        <w:rPr>
          <w:color w:val="auto"/>
        </w:rPr>
        <w:t xml:space="preserve"> in </w:t>
      </w:r>
      <w:r w:rsidR="009B3E2C" w:rsidRPr="00DE7A06">
        <w:rPr>
          <w:color w:val="auto"/>
        </w:rPr>
        <w:t>mid-2021</w:t>
      </w:r>
      <w:r w:rsidR="004155EB" w:rsidRPr="00DE7A06">
        <w:rPr>
          <w:color w:val="auto"/>
        </w:rPr>
        <w:t xml:space="preserve">, of whom about </w:t>
      </w:r>
      <w:r w:rsidR="00CE1260" w:rsidRPr="00DE7A06">
        <w:rPr>
          <w:color w:val="auto"/>
        </w:rPr>
        <w:t>5.</w:t>
      </w:r>
      <w:r w:rsidR="008F22E1" w:rsidRPr="00DE7A06">
        <w:rPr>
          <w:color w:val="auto"/>
        </w:rPr>
        <w:t>23</w:t>
      </w:r>
      <w:r w:rsidR="004155EB" w:rsidRPr="00DE7A06">
        <w:rPr>
          <w:color w:val="auto"/>
        </w:rPr>
        <w:t xml:space="preserve"> million in the State of Palestine</w:t>
      </w:r>
      <w:proofErr w:type="gramStart"/>
      <w:r w:rsidRPr="00DE7A06">
        <w:rPr>
          <w:color w:val="auto"/>
        </w:rPr>
        <w:t>;</w:t>
      </w:r>
      <w:proofErr w:type="gramEnd"/>
      <w:r w:rsidRPr="00DE7A06">
        <w:rPr>
          <w:color w:val="auto"/>
        </w:rPr>
        <w:t xml:space="preserve"> </w:t>
      </w:r>
      <w:bookmarkEnd w:id="1"/>
      <w:r w:rsidR="00CE1260" w:rsidRPr="00DE7A06">
        <w:rPr>
          <w:color w:val="auto"/>
        </w:rPr>
        <w:t>2.</w:t>
      </w:r>
      <w:r w:rsidR="008F22E1" w:rsidRPr="00DE7A06">
        <w:rPr>
          <w:color w:val="auto"/>
        </w:rPr>
        <w:t>66</w:t>
      </w:r>
      <w:r w:rsidRPr="00DE7A06">
        <w:rPr>
          <w:color w:val="auto"/>
        </w:rPr>
        <w:t xml:space="preserve"> million males and </w:t>
      </w:r>
      <w:r w:rsidR="00CE1260" w:rsidRPr="00DE7A06">
        <w:rPr>
          <w:color w:val="auto"/>
        </w:rPr>
        <w:t>2.</w:t>
      </w:r>
      <w:r w:rsidR="008F22E1" w:rsidRPr="00DE7A06">
        <w:rPr>
          <w:color w:val="auto"/>
        </w:rPr>
        <w:t>57</w:t>
      </w:r>
      <w:r w:rsidRPr="00DE7A06">
        <w:rPr>
          <w:color w:val="auto"/>
        </w:rPr>
        <w:t xml:space="preserve"> million females. The estimated population of </w:t>
      </w:r>
      <w:r w:rsidR="00660945" w:rsidRPr="00DE7A06">
        <w:rPr>
          <w:color w:val="auto"/>
        </w:rPr>
        <w:t xml:space="preserve">the </w:t>
      </w:r>
      <w:r w:rsidRPr="00DE7A06">
        <w:rPr>
          <w:color w:val="auto"/>
        </w:rPr>
        <w:t>West Bank was</w:t>
      </w:r>
      <w:r w:rsidR="00CE1260" w:rsidRPr="00DE7A06">
        <w:rPr>
          <w:color w:val="auto"/>
        </w:rPr>
        <w:t xml:space="preserve"> 3.</w:t>
      </w:r>
      <w:r w:rsidR="008F22E1" w:rsidRPr="00DE7A06">
        <w:rPr>
          <w:color w:val="auto"/>
        </w:rPr>
        <w:t>12</w:t>
      </w:r>
      <w:r w:rsidRPr="00DE7A06">
        <w:rPr>
          <w:color w:val="auto"/>
        </w:rPr>
        <w:t xml:space="preserve"> million</w:t>
      </w:r>
      <w:r w:rsidR="00106C47" w:rsidRPr="00DE7A06">
        <w:rPr>
          <w:color w:val="auto"/>
        </w:rPr>
        <w:t xml:space="preserve">, </w:t>
      </w:r>
      <w:r w:rsidRPr="00DE7A06">
        <w:rPr>
          <w:color w:val="auto"/>
        </w:rPr>
        <w:t xml:space="preserve">of </w:t>
      </w:r>
      <w:r w:rsidR="00106C47" w:rsidRPr="00DE7A06">
        <w:rPr>
          <w:color w:val="auto"/>
        </w:rPr>
        <w:t xml:space="preserve">whom </w:t>
      </w:r>
      <w:r w:rsidRPr="00DE7A06">
        <w:rPr>
          <w:color w:val="auto"/>
        </w:rPr>
        <w:t>1.</w:t>
      </w:r>
      <w:r w:rsidR="008F22E1" w:rsidRPr="00DE7A06">
        <w:rPr>
          <w:color w:val="auto"/>
        </w:rPr>
        <w:t>59</w:t>
      </w:r>
      <w:r w:rsidR="00CE1260" w:rsidRPr="00DE7A06">
        <w:rPr>
          <w:color w:val="auto"/>
        </w:rPr>
        <w:t xml:space="preserve"> </w:t>
      </w:r>
      <w:r w:rsidRPr="00DE7A06">
        <w:rPr>
          <w:color w:val="auto"/>
        </w:rPr>
        <w:t>million males and 1.</w:t>
      </w:r>
      <w:r w:rsidR="008F22E1" w:rsidRPr="00DE7A06">
        <w:rPr>
          <w:color w:val="auto"/>
        </w:rPr>
        <w:t>53</w:t>
      </w:r>
      <w:r w:rsidRPr="00DE7A06">
        <w:rPr>
          <w:color w:val="auto"/>
        </w:rPr>
        <w:t xml:space="preserve"> million females. While the estimated population of Gaza Strip </w:t>
      </w:r>
      <w:r w:rsidR="00660945" w:rsidRPr="00DE7A06">
        <w:rPr>
          <w:color w:val="auto"/>
        </w:rPr>
        <w:t>was</w:t>
      </w:r>
      <w:r w:rsidR="001E2718" w:rsidRPr="00DE7A06">
        <w:rPr>
          <w:color w:val="auto"/>
        </w:rPr>
        <w:t xml:space="preserve"> </w:t>
      </w:r>
      <w:r w:rsidR="00CE1260" w:rsidRPr="00DE7A06">
        <w:rPr>
          <w:color w:val="auto"/>
        </w:rPr>
        <w:t>2.</w:t>
      </w:r>
      <w:r w:rsidR="008F22E1" w:rsidRPr="00DE7A06">
        <w:rPr>
          <w:color w:val="auto"/>
        </w:rPr>
        <w:t>11</w:t>
      </w:r>
      <w:r w:rsidRPr="00DE7A06">
        <w:rPr>
          <w:color w:val="auto"/>
        </w:rPr>
        <w:t xml:space="preserve"> million</w:t>
      </w:r>
      <w:r w:rsidR="007F0FB2" w:rsidRPr="00DE7A06">
        <w:rPr>
          <w:color w:val="auto"/>
        </w:rPr>
        <w:t xml:space="preserve"> in the same year</w:t>
      </w:r>
      <w:proofErr w:type="gramStart"/>
      <w:r w:rsidR="00A81BEB" w:rsidRPr="00DE7A06">
        <w:rPr>
          <w:color w:val="auto"/>
        </w:rPr>
        <w:t>;</w:t>
      </w:r>
      <w:proofErr w:type="gramEnd"/>
      <w:r w:rsidRPr="00DE7A06">
        <w:rPr>
          <w:color w:val="auto"/>
        </w:rPr>
        <w:t xml:space="preserve"> of </w:t>
      </w:r>
      <w:r w:rsidR="00106C47" w:rsidRPr="00DE7A06">
        <w:rPr>
          <w:color w:val="auto"/>
        </w:rPr>
        <w:t xml:space="preserve">whom </w:t>
      </w:r>
      <w:r w:rsidRPr="00DE7A06">
        <w:rPr>
          <w:color w:val="auto"/>
        </w:rPr>
        <w:t>1.</w:t>
      </w:r>
      <w:r w:rsidR="008F22E1" w:rsidRPr="00DE7A06">
        <w:rPr>
          <w:color w:val="auto"/>
        </w:rPr>
        <w:t>07</w:t>
      </w:r>
      <w:r w:rsidRPr="00DE7A06">
        <w:rPr>
          <w:color w:val="auto"/>
        </w:rPr>
        <w:t xml:space="preserve"> million males and </w:t>
      </w:r>
      <w:r w:rsidR="00CE1260" w:rsidRPr="00DE7A06">
        <w:rPr>
          <w:color w:val="auto"/>
        </w:rPr>
        <w:t>1.</w:t>
      </w:r>
      <w:r w:rsidR="008F22E1" w:rsidRPr="00DE7A06">
        <w:rPr>
          <w:color w:val="auto"/>
        </w:rPr>
        <w:t>04</w:t>
      </w:r>
      <w:r w:rsidRPr="00DE7A06">
        <w:rPr>
          <w:color w:val="auto"/>
        </w:rPr>
        <w:t xml:space="preserve"> </w:t>
      </w:r>
      <w:r w:rsidR="007F0FB2" w:rsidRPr="00DE7A06">
        <w:rPr>
          <w:color w:val="auto"/>
        </w:rPr>
        <w:t xml:space="preserve">million </w:t>
      </w:r>
      <w:r w:rsidRPr="00DE7A06">
        <w:rPr>
          <w:color w:val="auto"/>
        </w:rPr>
        <w:t>females.</w:t>
      </w:r>
      <w:r w:rsidR="009B221D" w:rsidRPr="00DE7A06">
        <w:rPr>
          <w:color w:val="auto"/>
        </w:rPr>
        <w:t xml:space="preserve"> </w:t>
      </w:r>
      <w:r w:rsidR="00E60850" w:rsidRPr="00DE7A06">
        <w:rPr>
          <w:color w:val="auto"/>
        </w:rPr>
        <w:t xml:space="preserve"> </w:t>
      </w:r>
    </w:p>
    <w:p w14:paraId="7531F91A" w14:textId="77777777" w:rsidR="004E7AFE" w:rsidRPr="009B1A86" w:rsidRDefault="004E7AFE" w:rsidP="00C637E1">
      <w:pPr>
        <w:pStyle w:val="BodyText3"/>
        <w:rPr>
          <w:rFonts w:asciiTheme="majorBidi" w:hAnsiTheme="majorBidi" w:cstheme="majorBidi"/>
          <w:sz w:val="18"/>
          <w:szCs w:val="18"/>
          <w:lang w:eastAsia="en-US"/>
        </w:rPr>
      </w:pPr>
    </w:p>
    <w:p w14:paraId="192E62AB" w14:textId="53DF0FF3" w:rsidR="004E7AFE" w:rsidRPr="009B1A86" w:rsidRDefault="004E7AFE" w:rsidP="00DD34F3">
      <w:pPr>
        <w:bidi w:val="0"/>
        <w:jc w:val="center"/>
        <w:rPr>
          <w:b/>
          <w:bCs/>
          <w:sz w:val="22"/>
          <w:szCs w:val="22"/>
        </w:rPr>
      </w:pPr>
      <w:r w:rsidRPr="009B1A86">
        <w:rPr>
          <w:b/>
          <w:bCs/>
          <w:sz w:val="22"/>
          <w:szCs w:val="22"/>
        </w:rPr>
        <w:t xml:space="preserve">Number of </w:t>
      </w:r>
      <w:r w:rsidR="005C18C4" w:rsidRPr="009B1A86">
        <w:rPr>
          <w:b/>
          <w:bCs/>
          <w:sz w:val="22"/>
          <w:szCs w:val="22"/>
        </w:rPr>
        <w:t xml:space="preserve">the </w:t>
      </w:r>
      <w:r w:rsidRPr="009B1A86">
        <w:rPr>
          <w:b/>
          <w:bCs/>
          <w:sz w:val="22"/>
          <w:szCs w:val="22"/>
        </w:rPr>
        <w:t xml:space="preserve">Palestinian Population by Country of Residence, </w:t>
      </w:r>
      <w:r w:rsidR="00DD34F3" w:rsidRPr="009B1A86">
        <w:rPr>
          <w:b/>
          <w:bCs/>
          <w:sz w:val="22"/>
          <w:szCs w:val="22"/>
        </w:rPr>
        <w:t>Mid</w:t>
      </w:r>
      <w:r w:rsidR="00DD34F3">
        <w:rPr>
          <w:b/>
          <w:bCs/>
          <w:sz w:val="22"/>
          <w:szCs w:val="22"/>
        </w:rPr>
        <w:t>-</w:t>
      </w:r>
      <w:r w:rsidR="009B3E2C" w:rsidRPr="009B1A86">
        <w:rPr>
          <w:rFonts w:hint="cs"/>
          <w:b/>
          <w:bCs/>
          <w:sz w:val="22"/>
          <w:szCs w:val="22"/>
          <w:rtl/>
        </w:rPr>
        <w:t>2021</w:t>
      </w:r>
    </w:p>
    <w:tbl>
      <w:tblPr>
        <w:tblStyle w:val="TableGrid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A81E32" w:rsidRPr="009B1A86" w14:paraId="4B744940" w14:textId="77777777" w:rsidTr="004E7AFE">
        <w:tc>
          <w:tcPr>
            <w:tcW w:w="7938" w:type="dxa"/>
          </w:tcPr>
          <w:p w14:paraId="238BF64A" w14:textId="77777777" w:rsidR="004E7AFE" w:rsidRPr="009B1A86" w:rsidRDefault="004E7AFE" w:rsidP="004E7AFE">
            <w:pPr>
              <w:pStyle w:val="BodyText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B1A86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0E6A98B" wp14:editId="4C030699">
                  <wp:extent cx="4953000" cy="22669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72B0A52" w14:textId="77777777" w:rsidR="004E7AFE" w:rsidRDefault="00A81E32" w:rsidP="00A81E32">
      <w:pPr>
        <w:pStyle w:val="BodyText3"/>
        <w:ind w:left="1701" w:hanging="2410"/>
        <w:jc w:val="left"/>
        <w:rPr>
          <w:rFonts w:asciiTheme="majorBidi" w:hAnsiTheme="majorBidi" w:cstheme="majorBidi"/>
          <w:sz w:val="16"/>
          <w:szCs w:val="16"/>
        </w:rPr>
      </w:pPr>
      <w:r w:rsidRPr="00A81E32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</w:t>
      </w:r>
      <w:r w:rsidRPr="00A81E32">
        <w:rPr>
          <w:rFonts w:asciiTheme="majorBidi" w:hAnsiTheme="majorBidi" w:cstheme="majorBidi"/>
          <w:b/>
          <w:bCs/>
          <w:sz w:val="16"/>
          <w:szCs w:val="16"/>
        </w:rPr>
        <w:t xml:space="preserve">Source: Palestinian Central Bureau of Statistics, 2021.  </w:t>
      </w:r>
      <w:r w:rsidRPr="00A81E32">
        <w:rPr>
          <w:rFonts w:asciiTheme="majorBidi" w:hAnsiTheme="majorBidi" w:cstheme="majorBidi"/>
          <w:sz w:val="16"/>
          <w:szCs w:val="16"/>
        </w:rPr>
        <w:t xml:space="preserve">Revised Estimated based on the </w:t>
      </w:r>
      <w:proofErr w:type="gramStart"/>
      <w:r w:rsidRPr="00A81E32">
        <w:rPr>
          <w:rFonts w:asciiTheme="majorBidi" w:hAnsiTheme="majorBidi" w:cstheme="majorBidi"/>
          <w:sz w:val="16"/>
          <w:szCs w:val="16"/>
        </w:rPr>
        <w:t>final results</w:t>
      </w:r>
      <w:proofErr w:type="gramEnd"/>
      <w:r w:rsidRPr="00A81E32">
        <w:rPr>
          <w:rFonts w:asciiTheme="majorBidi" w:hAnsiTheme="majorBidi" w:cstheme="majorBidi"/>
          <w:sz w:val="16"/>
          <w:szCs w:val="16"/>
        </w:rPr>
        <w:t xml:space="preserve"> of Population, Housing and Establishments Census, 2017. Ramallah – Palestine</w:t>
      </w:r>
    </w:p>
    <w:p w14:paraId="5937BF1C" w14:textId="77777777" w:rsidR="00A81E32" w:rsidRPr="00A81E32" w:rsidRDefault="00A81E32" w:rsidP="00A81E32">
      <w:pPr>
        <w:pStyle w:val="BodyText3"/>
        <w:ind w:left="1701" w:hanging="2410"/>
        <w:jc w:val="left"/>
        <w:rPr>
          <w:rFonts w:asciiTheme="majorBidi" w:hAnsiTheme="majorBidi" w:cstheme="majorBidi"/>
          <w:sz w:val="16"/>
          <w:szCs w:val="16"/>
        </w:rPr>
      </w:pPr>
    </w:p>
    <w:p w14:paraId="4AAB6E69" w14:textId="77777777" w:rsidR="000B2FCD" w:rsidRPr="007E67BB" w:rsidRDefault="00A81BEB" w:rsidP="00A81BEB">
      <w:pPr>
        <w:pStyle w:val="BodyText3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7E67BB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445A5A" w:rsidRPr="007E67BB">
        <w:rPr>
          <w:rFonts w:asciiTheme="majorBidi" w:hAnsiTheme="majorBidi" w:cstheme="majorBidi"/>
          <w:b/>
          <w:bCs/>
          <w:sz w:val="26"/>
          <w:szCs w:val="26"/>
        </w:rPr>
        <w:t xml:space="preserve">Palestinian Population </w:t>
      </w:r>
      <w:r w:rsidR="00445022" w:rsidRPr="007E67BB">
        <w:rPr>
          <w:rFonts w:asciiTheme="majorBidi" w:hAnsiTheme="majorBidi" w:cstheme="majorBidi"/>
          <w:b/>
          <w:bCs/>
          <w:sz w:val="26"/>
          <w:szCs w:val="26"/>
        </w:rPr>
        <w:t>is Young</w:t>
      </w:r>
      <w:r w:rsidR="000F4450" w:rsidRPr="007E67BB">
        <w:rPr>
          <w:rFonts w:asciiTheme="majorBidi" w:hAnsiTheme="majorBidi" w:cstheme="majorBidi"/>
          <w:b/>
          <w:bCs/>
          <w:sz w:val="26"/>
          <w:szCs w:val="26"/>
        </w:rPr>
        <w:t>;</w:t>
      </w:r>
      <w:r w:rsidR="00445022" w:rsidRPr="007E67BB">
        <w:rPr>
          <w:rFonts w:asciiTheme="majorBidi" w:hAnsiTheme="majorBidi" w:cstheme="majorBidi"/>
          <w:b/>
          <w:bCs/>
          <w:sz w:val="26"/>
          <w:szCs w:val="26"/>
        </w:rPr>
        <w:t xml:space="preserve"> more than </w:t>
      </w:r>
      <w:r w:rsidR="00CD7153" w:rsidRPr="007E67BB">
        <w:rPr>
          <w:rFonts w:asciiTheme="majorBidi" w:hAnsiTheme="majorBidi" w:cstheme="majorBidi"/>
          <w:b/>
          <w:bCs/>
          <w:sz w:val="26"/>
          <w:szCs w:val="26"/>
        </w:rPr>
        <w:t>O</w:t>
      </w:r>
      <w:r w:rsidR="00FB217B" w:rsidRPr="007E67BB">
        <w:rPr>
          <w:rFonts w:asciiTheme="majorBidi" w:hAnsiTheme="majorBidi" w:cstheme="majorBidi"/>
          <w:b/>
          <w:bCs/>
          <w:sz w:val="26"/>
          <w:szCs w:val="26"/>
        </w:rPr>
        <w:t>ne-</w:t>
      </w:r>
      <w:r w:rsidR="00445022" w:rsidRPr="007E67BB">
        <w:rPr>
          <w:rFonts w:asciiTheme="majorBidi" w:hAnsiTheme="majorBidi" w:cstheme="majorBidi"/>
          <w:b/>
          <w:bCs/>
          <w:sz w:val="26"/>
          <w:szCs w:val="26"/>
        </w:rPr>
        <w:t xml:space="preserve">third of the Population </w:t>
      </w:r>
      <w:r w:rsidR="00CD7153" w:rsidRPr="007E67BB">
        <w:rPr>
          <w:rFonts w:asciiTheme="majorBidi" w:hAnsiTheme="majorBidi" w:cstheme="majorBidi"/>
          <w:b/>
          <w:bCs/>
          <w:sz w:val="26"/>
          <w:szCs w:val="26"/>
        </w:rPr>
        <w:t xml:space="preserve">is Less </w:t>
      </w:r>
      <w:r w:rsidR="00445022" w:rsidRPr="007E67BB">
        <w:rPr>
          <w:rFonts w:asciiTheme="majorBidi" w:hAnsiTheme="majorBidi" w:cstheme="majorBidi"/>
          <w:b/>
          <w:bCs/>
          <w:sz w:val="26"/>
          <w:szCs w:val="26"/>
        </w:rPr>
        <w:t>than 15 Years</w:t>
      </w:r>
    </w:p>
    <w:p w14:paraId="2DB798CC" w14:textId="3F4830AD" w:rsidR="00E60850" w:rsidRPr="007E67BB" w:rsidRDefault="00C94EDE" w:rsidP="00DD34F3">
      <w:pPr>
        <w:pStyle w:val="BodyText2"/>
        <w:rPr>
          <w:color w:val="auto"/>
        </w:rPr>
      </w:pPr>
      <w:r w:rsidRPr="007E67BB">
        <w:rPr>
          <w:color w:val="auto"/>
        </w:rPr>
        <w:t>T</w:t>
      </w:r>
      <w:r w:rsidR="00E60850" w:rsidRPr="007E67BB">
        <w:rPr>
          <w:color w:val="auto"/>
        </w:rPr>
        <w:t>he percentage of individuals aged (0-14)</w:t>
      </w:r>
      <w:r w:rsidR="008D37A5" w:rsidRPr="007E67BB">
        <w:rPr>
          <w:color w:val="auto"/>
        </w:rPr>
        <w:t xml:space="preserve"> years</w:t>
      </w:r>
      <w:r w:rsidR="00E60850" w:rsidRPr="007E67BB">
        <w:rPr>
          <w:color w:val="auto"/>
        </w:rPr>
        <w:t xml:space="preserve"> constituted</w:t>
      </w:r>
      <w:r w:rsidR="009B221D" w:rsidRPr="007E67BB">
        <w:rPr>
          <w:color w:val="auto"/>
        </w:rPr>
        <w:t xml:space="preserve"> </w:t>
      </w:r>
      <w:r w:rsidR="00905D31" w:rsidRPr="007E67BB">
        <w:rPr>
          <w:color w:val="auto"/>
        </w:rPr>
        <w:t>38</w:t>
      </w:r>
      <w:r w:rsidR="00E60850" w:rsidRPr="007E67BB">
        <w:rPr>
          <w:color w:val="auto"/>
        </w:rPr>
        <w:t xml:space="preserve">% of the total population </w:t>
      </w:r>
      <w:r w:rsidR="00970B89" w:rsidRPr="007E67BB">
        <w:rPr>
          <w:color w:val="auto"/>
        </w:rPr>
        <w:t xml:space="preserve">in </w:t>
      </w:r>
      <w:r w:rsidR="009B3E2C" w:rsidRPr="007E67BB">
        <w:rPr>
          <w:color w:val="auto"/>
        </w:rPr>
        <w:t>mid-2021</w:t>
      </w:r>
      <w:proofErr w:type="gramStart"/>
      <w:r w:rsidR="00C456B6" w:rsidRPr="007E67BB">
        <w:rPr>
          <w:color w:val="auto"/>
        </w:rPr>
        <w:t>;</w:t>
      </w:r>
      <w:proofErr w:type="gramEnd"/>
      <w:r w:rsidR="00905D31" w:rsidRPr="007E67BB">
        <w:rPr>
          <w:color w:val="auto"/>
        </w:rPr>
        <w:t xml:space="preserve"> </w:t>
      </w:r>
      <w:r w:rsidR="006C32BC" w:rsidRPr="007E67BB">
        <w:rPr>
          <w:color w:val="auto"/>
        </w:rPr>
        <w:t xml:space="preserve">of </w:t>
      </w:r>
      <w:r w:rsidR="00DD34F3" w:rsidRPr="007E67BB">
        <w:rPr>
          <w:color w:val="auto"/>
        </w:rPr>
        <w:t xml:space="preserve">whom </w:t>
      </w:r>
      <w:r w:rsidR="00B405D0" w:rsidRPr="007E67BB">
        <w:rPr>
          <w:color w:val="auto"/>
        </w:rPr>
        <w:t>36</w:t>
      </w:r>
      <w:r w:rsidR="00314CB2" w:rsidRPr="007E67BB">
        <w:rPr>
          <w:color w:val="auto"/>
        </w:rPr>
        <w:t xml:space="preserve">% in </w:t>
      </w:r>
      <w:r w:rsidR="007B5DF7" w:rsidRPr="007E67BB">
        <w:rPr>
          <w:color w:val="auto"/>
        </w:rPr>
        <w:t xml:space="preserve">the </w:t>
      </w:r>
      <w:r w:rsidR="00E60850" w:rsidRPr="007E67BB">
        <w:rPr>
          <w:color w:val="auto"/>
        </w:rPr>
        <w:t xml:space="preserve">West Bank and </w:t>
      </w:r>
      <w:r w:rsidR="00CE1260" w:rsidRPr="007E67BB">
        <w:rPr>
          <w:color w:val="auto"/>
        </w:rPr>
        <w:t>41</w:t>
      </w:r>
      <w:r w:rsidR="00AC0DD5" w:rsidRPr="007E67BB">
        <w:rPr>
          <w:color w:val="auto"/>
        </w:rPr>
        <w:t xml:space="preserve">% in Gaza Strip.  </w:t>
      </w:r>
      <w:r w:rsidR="00E60850" w:rsidRPr="007E67BB">
        <w:rPr>
          <w:color w:val="auto"/>
        </w:rPr>
        <w:t>The</w:t>
      </w:r>
      <w:r w:rsidR="007F0FB2" w:rsidRPr="007E67BB">
        <w:rPr>
          <w:color w:val="auto"/>
        </w:rPr>
        <w:t xml:space="preserve"> percentage of</w:t>
      </w:r>
      <w:r w:rsidR="00E60850" w:rsidRPr="007E67BB">
        <w:rPr>
          <w:color w:val="auto"/>
        </w:rPr>
        <w:t xml:space="preserve"> elderly population aged (65 years and </w:t>
      </w:r>
      <w:r w:rsidR="0051753D" w:rsidRPr="007E67BB">
        <w:rPr>
          <w:color w:val="auto"/>
        </w:rPr>
        <w:t>above</w:t>
      </w:r>
      <w:r w:rsidR="001C08EC" w:rsidRPr="007E67BB">
        <w:rPr>
          <w:color w:val="auto"/>
        </w:rPr>
        <w:t>)</w:t>
      </w:r>
      <w:r w:rsidR="00E60850" w:rsidRPr="007E67BB">
        <w:rPr>
          <w:color w:val="auto"/>
        </w:rPr>
        <w:t xml:space="preserve"> </w:t>
      </w:r>
      <w:r w:rsidR="007F0FB2" w:rsidRPr="007E67BB">
        <w:rPr>
          <w:color w:val="auto"/>
        </w:rPr>
        <w:t xml:space="preserve">reached </w:t>
      </w:r>
      <w:r w:rsidR="00905D31" w:rsidRPr="007E67BB">
        <w:rPr>
          <w:color w:val="auto"/>
        </w:rPr>
        <w:t>3</w:t>
      </w:r>
      <w:r w:rsidR="00E60850" w:rsidRPr="007E67BB">
        <w:rPr>
          <w:color w:val="auto"/>
        </w:rPr>
        <w:t>% of the total population</w:t>
      </w:r>
      <w:proofErr w:type="gramStart"/>
      <w:r w:rsidR="00C456B6" w:rsidRPr="007E67BB">
        <w:rPr>
          <w:color w:val="auto"/>
        </w:rPr>
        <w:t>;</w:t>
      </w:r>
      <w:proofErr w:type="gramEnd"/>
      <w:r w:rsidR="00AC0DD5" w:rsidRPr="007E67BB">
        <w:rPr>
          <w:color w:val="auto"/>
        </w:rPr>
        <w:t xml:space="preserve"> of </w:t>
      </w:r>
      <w:r w:rsidR="00DD34F3" w:rsidRPr="007E67BB">
        <w:rPr>
          <w:color w:val="auto"/>
        </w:rPr>
        <w:t xml:space="preserve">whom </w:t>
      </w:r>
      <w:r w:rsidR="00905D31" w:rsidRPr="007E67BB">
        <w:rPr>
          <w:color w:val="auto"/>
        </w:rPr>
        <w:t>4</w:t>
      </w:r>
      <w:r w:rsidR="00E60850" w:rsidRPr="007E67BB">
        <w:rPr>
          <w:color w:val="auto"/>
        </w:rPr>
        <w:t xml:space="preserve">% in the West Bank and </w:t>
      </w:r>
      <w:r w:rsidR="00905D31" w:rsidRPr="007E67BB">
        <w:rPr>
          <w:color w:val="auto"/>
        </w:rPr>
        <w:t>3</w:t>
      </w:r>
      <w:r w:rsidR="00E60850" w:rsidRPr="007E67BB">
        <w:rPr>
          <w:color w:val="auto"/>
        </w:rPr>
        <w:t xml:space="preserve">% in Gaza </w:t>
      </w:r>
      <w:r w:rsidR="00970B89" w:rsidRPr="007E67BB">
        <w:rPr>
          <w:color w:val="auto"/>
        </w:rPr>
        <w:t>Strip in</w:t>
      </w:r>
      <w:r w:rsidR="00905D31" w:rsidRPr="007E67BB">
        <w:rPr>
          <w:color w:val="auto"/>
        </w:rPr>
        <w:t xml:space="preserve"> </w:t>
      </w:r>
      <w:r w:rsidR="009B3E2C" w:rsidRPr="007E67BB">
        <w:rPr>
          <w:color w:val="auto"/>
        </w:rPr>
        <w:t>mid-2021</w:t>
      </w:r>
      <w:r w:rsidR="00AF1DEF" w:rsidRPr="007E67BB">
        <w:rPr>
          <w:color w:val="auto"/>
        </w:rPr>
        <w:t>.</w:t>
      </w:r>
      <w:r w:rsidR="00E60850" w:rsidRPr="007E67BB">
        <w:rPr>
          <w:color w:val="auto"/>
        </w:rPr>
        <w:t> </w:t>
      </w:r>
    </w:p>
    <w:p w14:paraId="776D9E1A" w14:textId="77777777" w:rsidR="007C0466" w:rsidRPr="007E67BB" w:rsidRDefault="007C0466" w:rsidP="00AC0DD5">
      <w:pPr>
        <w:pStyle w:val="BodyText2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14:paraId="04CD6A33" w14:textId="31772FB6" w:rsidR="00D73D08" w:rsidRPr="007E67BB" w:rsidRDefault="00D73D08" w:rsidP="002A5EA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napToGrid/>
          <w:sz w:val="26"/>
          <w:szCs w:val="26"/>
          <w:lang w:eastAsia="en-US"/>
        </w:rPr>
      </w:pPr>
      <w:r w:rsidRPr="007E67BB">
        <w:rPr>
          <w:rFonts w:cs="Times New Roman"/>
          <w:b/>
          <w:bCs/>
          <w:snapToGrid/>
          <w:sz w:val="26"/>
          <w:szCs w:val="26"/>
          <w:lang w:eastAsia="en-US"/>
        </w:rPr>
        <w:t>Crude Birth</w:t>
      </w:r>
      <w:r w:rsidR="00C456B6" w:rsidRPr="007E67BB">
        <w:rPr>
          <w:rFonts w:cs="Times New Roman"/>
          <w:b/>
          <w:bCs/>
          <w:snapToGrid/>
          <w:sz w:val="26"/>
          <w:szCs w:val="26"/>
          <w:lang w:eastAsia="en-US"/>
        </w:rPr>
        <w:t xml:space="preserve"> </w:t>
      </w:r>
      <w:r w:rsidR="002A5EA8" w:rsidRPr="007E67BB">
        <w:rPr>
          <w:rFonts w:cs="Times New Roman"/>
          <w:b/>
          <w:bCs/>
          <w:snapToGrid/>
          <w:sz w:val="26"/>
          <w:szCs w:val="26"/>
          <w:lang w:eastAsia="en-US"/>
        </w:rPr>
        <w:t>R</w:t>
      </w:r>
      <w:r w:rsidR="00BE418B" w:rsidRPr="007E67BB">
        <w:rPr>
          <w:rFonts w:cs="Times New Roman"/>
          <w:b/>
          <w:bCs/>
          <w:snapToGrid/>
          <w:sz w:val="26"/>
          <w:szCs w:val="26"/>
          <w:lang w:eastAsia="en-US"/>
        </w:rPr>
        <w:t>ate</w:t>
      </w:r>
      <w:r w:rsidR="00841622" w:rsidRPr="007E67BB">
        <w:rPr>
          <w:rFonts w:cs="Times New Roman"/>
          <w:b/>
          <w:bCs/>
          <w:snapToGrid/>
          <w:sz w:val="26"/>
          <w:szCs w:val="26"/>
          <w:lang w:eastAsia="en-US"/>
        </w:rPr>
        <w:t>s</w:t>
      </w:r>
      <w:r w:rsidR="00BE418B" w:rsidRPr="007E67BB">
        <w:rPr>
          <w:rFonts w:cs="Times New Roman"/>
          <w:b/>
          <w:bCs/>
          <w:snapToGrid/>
          <w:sz w:val="26"/>
          <w:szCs w:val="26"/>
          <w:lang w:eastAsia="en-US"/>
        </w:rPr>
        <w:t xml:space="preserve"> </w:t>
      </w:r>
      <w:r w:rsidR="00C456B6" w:rsidRPr="007E67BB">
        <w:rPr>
          <w:rFonts w:cs="Times New Roman"/>
          <w:b/>
          <w:bCs/>
          <w:snapToGrid/>
          <w:sz w:val="26"/>
          <w:szCs w:val="26"/>
          <w:lang w:eastAsia="en-US"/>
        </w:rPr>
        <w:t xml:space="preserve">are </w:t>
      </w:r>
      <w:proofErr w:type="gramStart"/>
      <w:r w:rsidR="00C456B6" w:rsidRPr="007E67BB">
        <w:rPr>
          <w:rFonts w:cs="Times New Roman"/>
          <w:b/>
          <w:bCs/>
          <w:snapToGrid/>
          <w:sz w:val="26"/>
          <w:szCs w:val="26"/>
          <w:lang w:eastAsia="en-US"/>
        </w:rPr>
        <w:t>Higher</w:t>
      </w:r>
      <w:proofErr w:type="gramEnd"/>
      <w:r w:rsidR="00C456B6" w:rsidRPr="007E67BB">
        <w:rPr>
          <w:rFonts w:cs="Times New Roman"/>
          <w:b/>
          <w:bCs/>
          <w:snapToGrid/>
          <w:sz w:val="26"/>
          <w:szCs w:val="26"/>
          <w:lang w:eastAsia="en-US"/>
        </w:rPr>
        <w:t xml:space="preserve"> in </w:t>
      </w:r>
      <w:r w:rsidR="00BE418B" w:rsidRPr="007E67BB">
        <w:rPr>
          <w:rFonts w:cs="Times New Roman"/>
          <w:b/>
          <w:bCs/>
          <w:snapToGrid/>
          <w:sz w:val="26"/>
          <w:szCs w:val="26"/>
          <w:lang w:eastAsia="en-US"/>
        </w:rPr>
        <w:t xml:space="preserve">Gaza Strip than in the West Bank </w:t>
      </w:r>
    </w:p>
    <w:p w14:paraId="576FD788" w14:textId="257330CD" w:rsidR="00431160" w:rsidRPr="007E67BB" w:rsidRDefault="00D73D08" w:rsidP="003A1E6F">
      <w:pPr>
        <w:pStyle w:val="BodyText2"/>
        <w:rPr>
          <w:color w:val="auto"/>
        </w:rPr>
      </w:pPr>
      <w:r w:rsidRPr="007E67BB">
        <w:rPr>
          <w:color w:val="auto"/>
        </w:rPr>
        <w:t xml:space="preserve">Population projections revealed that crude birth rate in Palestine </w:t>
      </w:r>
      <w:r w:rsidR="00BE418B" w:rsidRPr="007E67BB">
        <w:rPr>
          <w:color w:val="auto"/>
        </w:rPr>
        <w:t>was</w:t>
      </w:r>
      <w:r w:rsidRPr="007E67BB">
        <w:rPr>
          <w:color w:val="auto"/>
        </w:rPr>
        <w:t xml:space="preserve"> </w:t>
      </w:r>
      <w:r w:rsidR="00CE1260" w:rsidRPr="007E67BB">
        <w:rPr>
          <w:color w:val="auto"/>
        </w:rPr>
        <w:t>29.</w:t>
      </w:r>
      <w:r w:rsidR="00821C4C" w:rsidRPr="007E67BB">
        <w:rPr>
          <w:rFonts w:hint="cs"/>
          <w:color w:val="auto"/>
          <w:rtl/>
        </w:rPr>
        <w:t>5</w:t>
      </w:r>
      <w:r w:rsidRPr="007E67BB">
        <w:rPr>
          <w:color w:val="auto"/>
        </w:rPr>
        <w:t xml:space="preserve"> births</w:t>
      </w:r>
      <w:r w:rsidR="00C456B6" w:rsidRPr="007E67BB">
        <w:rPr>
          <w:color w:val="auto"/>
        </w:rPr>
        <w:t>/1000</w:t>
      </w:r>
      <w:r w:rsidRPr="007E67BB">
        <w:rPr>
          <w:color w:val="auto"/>
        </w:rPr>
        <w:t xml:space="preserve"> </w:t>
      </w:r>
      <w:r w:rsidR="00531F97" w:rsidRPr="007E67BB">
        <w:rPr>
          <w:color w:val="auto"/>
        </w:rPr>
        <w:t>of the</w:t>
      </w:r>
      <w:r w:rsidRPr="007E67BB">
        <w:rPr>
          <w:color w:val="auto"/>
        </w:rPr>
        <w:t xml:space="preserve"> population in </w:t>
      </w:r>
      <w:r w:rsidR="00821C4C" w:rsidRPr="007E67BB">
        <w:rPr>
          <w:rFonts w:hint="cs"/>
          <w:color w:val="auto"/>
          <w:rtl/>
        </w:rPr>
        <w:t>2021</w:t>
      </w:r>
      <w:r w:rsidRPr="007E67BB">
        <w:rPr>
          <w:color w:val="auto"/>
        </w:rPr>
        <w:t xml:space="preserve">.  </w:t>
      </w:r>
      <w:r w:rsidR="00C456B6" w:rsidRPr="007E67BB">
        <w:rPr>
          <w:color w:val="auto"/>
        </w:rPr>
        <w:t xml:space="preserve">The results </w:t>
      </w:r>
      <w:r w:rsidR="007F0FB2" w:rsidRPr="007E67BB">
        <w:rPr>
          <w:color w:val="auto"/>
        </w:rPr>
        <w:t>showed that this rate was 27.</w:t>
      </w:r>
      <w:r w:rsidR="007F0FB2" w:rsidRPr="007E67BB">
        <w:rPr>
          <w:rFonts w:hint="cs"/>
          <w:color w:val="auto"/>
          <w:rtl/>
        </w:rPr>
        <w:t>2</w:t>
      </w:r>
      <w:r w:rsidR="007F0FB2" w:rsidRPr="007E67BB">
        <w:rPr>
          <w:color w:val="auto"/>
        </w:rPr>
        <w:t xml:space="preserve"> births in </w:t>
      </w:r>
      <w:r w:rsidR="00C456B6" w:rsidRPr="007E67BB">
        <w:rPr>
          <w:color w:val="auto"/>
        </w:rPr>
        <w:t>the</w:t>
      </w:r>
      <w:r w:rsidR="00BE418B" w:rsidRPr="007E67BB">
        <w:rPr>
          <w:color w:val="auto"/>
        </w:rPr>
        <w:t xml:space="preserve"> </w:t>
      </w:r>
      <w:r w:rsidR="00431160" w:rsidRPr="007E67BB">
        <w:rPr>
          <w:color w:val="auto"/>
        </w:rPr>
        <w:t>W</w:t>
      </w:r>
      <w:r w:rsidR="00BE418B" w:rsidRPr="007E67BB">
        <w:rPr>
          <w:color w:val="auto"/>
        </w:rPr>
        <w:t xml:space="preserve">est </w:t>
      </w:r>
      <w:r w:rsidR="00431160" w:rsidRPr="007E67BB">
        <w:rPr>
          <w:color w:val="auto"/>
        </w:rPr>
        <w:t>B</w:t>
      </w:r>
      <w:r w:rsidR="00BE418B" w:rsidRPr="007E67BB">
        <w:rPr>
          <w:color w:val="auto"/>
        </w:rPr>
        <w:t>ank</w:t>
      </w:r>
      <w:r w:rsidR="00841622" w:rsidRPr="007E67BB">
        <w:rPr>
          <w:color w:val="auto"/>
        </w:rPr>
        <w:t xml:space="preserve"> </w:t>
      </w:r>
      <w:r w:rsidR="00BE418B" w:rsidRPr="007E67BB">
        <w:rPr>
          <w:color w:val="auto"/>
        </w:rPr>
        <w:t xml:space="preserve">compared to </w:t>
      </w:r>
      <w:r w:rsidR="00821C4C" w:rsidRPr="007E67BB">
        <w:rPr>
          <w:rFonts w:hint="cs"/>
          <w:color w:val="auto"/>
          <w:rtl/>
        </w:rPr>
        <w:t>32.9</w:t>
      </w:r>
      <w:r w:rsidR="00BE418B" w:rsidRPr="007E67BB">
        <w:rPr>
          <w:color w:val="auto"/>
        </w:rPr>
        <w:t xml:space="preserve"> births</w:t>
      </w:r>
      <w:r w:rsidR="00841622" w:rsidRPr="007E67BB">
        <w:rPr>
          <w:color w:val="auto"/>
        </w:rPr>
        <w:t xml:space="preserve">/1000 </w:t>
      </w:r>
      <w:r w:rsidR="00F25D55" w:rsidRPr="007E67BB">
        <w:rPr>
          <w:color w:val="auto"/>
        </w:rPr>
        <w:t>of the</w:t>
      </w:r>
      <w:r w:rsidR="00BE418B" w:rsidRPr="007E67BB">
        <w:rPr>
          <w:color w:val="auto"/>
        </w:rPr>
        <w:t xml:space="preserve"> population in Gaza Strip. The estimated </w:t>
      </w:r>
      <w:r w:rsidR="00431160" w:rsidRPr="007E67BB">
        <w:rPr>
          <w:color w:val="auto"/>
        </w:rPr>
        <w:t>c</w:t>
      </w:r>
      <w:r w:rsidR="00BE418B" w:rsidRPr="007E67BB">
        <w:rPr>
          <w:color w:val="auto"/>
        </w:rPr>
        <w:t xml:space="preserve">rude </w:t>
      </w:r>
      <w:r w:rsidR="00431160" w:rsidRPr="007E67BB">
        <w:rPr>
          <w:color w:val="auto"/>
        </w:rPr>
        <w:t>d</w:t>
      </w:r>
      <w:r w:rsidR="00BE418B" w:rsidRPr="007E67BB">
        <w:rPr>
          <w:color w:val="auto"/>
        </w:rPr>
        <w:t>eath rate in Palestine was 3.7 deaths</w:t>
      </w:r>
      <w:r w:rsidR="00841622" w:rsidRPr="007E67BB">
        <w:rPr>
          <w:color w:val="auto"/>
        </w:rPr>
        <w:t>/</w:t>
      </w:r>
      <w:r w:rsidR="00531F97" w:rsidRPr="007E67BB">
        <w:rPr>
          <w:color w:val="auto"/>
        </w:rPr>
        <w:t>1000 of the</w:t>
      </w:r>
      <w:r w:rsidR="00BE418B" w:rsidRPr="007E67BB">
        <w:rPr>
          <w:color w:val="auto"/>
        </w:rPr>
        <w:t xml:space="preserve"> population</w:t>
      </w:r>
      <w:r w:rsidR="00431160" w:rsidRPr="007E67BB">
        <w:rPr>
          <w:color w:val="auto"/>
        </w:rPr>
        <w:t>,</w:t>
      </w:r>
      <w:r w:rsidR="00BE418B" w:rsidRPr="007E67BB">
        <w:rPr>
          <w:color w:val="auto"/>
        </w:rPr>
        <w:t xml:space="preserve"> </w:t>
      </w:r>
      <w:r w:rsidR="00841622" w:rsidRPr="007E67BB">
        <w:rPr>
          <w:color w:val="auto"/>
        </w:rPr>
        <w:t>where</w:t>
      </w:r>
      <w:r w:rsidR="00BE418B" w:rsidRPr="007E67BB">
        <w:rPr>
          <w:color w:val="auto"/>
        </w:rPr>
        <w:t xml:space="preserve"> </w:t>
      </w:r>
      <w:r w:rsidR="00A81BEB" w:rsidRPr="007E67BB">
        <w:rPr>
          <w:color w:val="auto"/>
        </w:rPr>
        <w:t>this rate in</w:t>
      </w:r>
      <w:r w:rsidR="00BE418B" w:rsidRPr="007E67BB">
        <w:rPr>
          <w:color w:val="auto"/>
        </w:rPr>
        <w:t xml:space="preserve"> </w:t>
      </w:r>
      <w:r w:rsidR="00A81BEB" w:rsidRPr="007E67BB">
        <w:rPr>
          <w:color w:val="auto"/>
        </w:rPr>
        <w:t xml:space="preserve">the </w:t>
      </w:r>
      <w:r w:rsidR="00BE418B" w:rsidRPr="007E67BB">
        <w:rPr>
          <w:color w:val="auto"/>
        </w:rPr>
        <w:t>West Bank</w:t>
      </w:r>
      <w:r w:rsidR="00841622" w:rsidRPr="007E67BB">
        <w:rPr>
          <w:color w:val="auto"/>
        </w:rPr>
        <w:t xml:space="preserve"> was</w:t>
      </w:r>
      <w:r w:rsidR="00BE418B" w:rsidRPr="007E67BB">
        <w:rPr>
          <w:color w:val="auto"/>
        </w:rPr>
        <w:t xml:space="preserve"> 3.9 deaths</w:t>
      </w:r>
      <w:r w:rsidR="00841622" w:rsidRPr="007E67BB">
        <w:rPr>
          <w:color w:val="auto"/>
        </w:rPr>
        <w:t>/1000</w:t>
      </w:r>
      <w:r w:rsidR="000612A9" w:rsidRPr="007E67BB">
        <w:rPr>
          <w:color w:val="auto"/>
        </w:rPr>
        <w:t xml:space="preserve"> </w:t>
      </w:r>
      <w:r w:rsidR="00431160" w:rsidRPr="007E67BB">
        <w:rPr>
          <w:color w:val="auto"/>
        </w:rPr>
        <w:t xml:space="preserve">of the population compared </w:t>
      </w:r>
      <w:r w:rsidR="003D3CA9" w:rsidRPr="007E67BB">
        <w:rPr>
          <w:color w:val="auto"/>
        </w:rPr>
        <w:t xml:space="preserve">to </w:t>
      </w:r>
      <w:r w:rsidR="00431160" w:rsidRPr="007E67BB">
        <w:rPr>
          <w:color w:val="auto"/>
        </w:rPr>
        <w:t>3.</w:t>
      </w:r>
      <w:r w:rsidR="00CE1260" w:rsidRPr="007E67BB">
        <w:rPr>
          <w:color w:val="auto"/>
        </w:rPr>
        <w:t xml:space="preserve">4 </w:t>
      </w:r>
      <w:r w:rsidR="00431160" w:rsidRPr="007E67BB">
        <w:rPr>
          <w:color w:val="auto"/>
        </w:rPr>
        <w:t>deaths</w:t>
      </w:r>
      <w:r w:rsidR="00841622" w:rsidRPr="007E67BB">
        <w:rPr>
          <w:color w:val="auto"/>
        </w:rPr>
        <w:t>/1000</w:t>
      </w:r>
      <w:r w:rsidR="00EE6165" w:rsidRPr="007E67BB">
        <w:rPr>
          <w:color w:val="auto"/>
        </w:rPr>
        <w:t xml:space="preserve"> </w:t>
      </w:r>
      <w:r w:rsidR="00431160" w:rsidRPr="007E67BB">
        <w:rPr>
          <w:color w:val="auto"/>
        </w:rPr>
        <w:t>of the population in Gaza Strip.</w:t>
      </w:r>
    </w:p>
    <w:p w14:paraId="0544CE45" w14:textId="4DC8E947" w:rsidR="0042273B" w:rsidRPr="009B1A86" w:rsidRDefault="0042273B" w:rsidP="004F777F">
      <w:pPr>
        <w:bidi w:val="0"/>
        <w:rPr>
          <w:b/>
          <w:bCs/>
        </w:rPr>
      </w:pPr>
      <w:r w:rsidRPr="009B1A86">
        <w:rPr>
          <w:b/>
          <w:bCs/>
        </w:rPr>
        <w:lastRenderedPageBreak/>
        <w:t>A Decline in Fertility Rates</w:t>
      </w:r>
    </w:p>
    <w:p w14:paraId="3BA9EEEE" w14:textId="78CDA431" w:rsidR="0042273B" w:rsidRPr="009B1A86" w:rsidRDefault="0042273B" w:rsidP="00536726">
      <w:pPr>
        <w:bidi w:val="0"/>
        <w:jc w:val="lowKashida"/>
        <w:rPr>
          <w:szCs w:val="22"/>
          <w:rtl/>
        </w:rPr>
      </w:pPr>
      <w:r w:rsidRPr="009B1A86">
        <w:rPr>
          <w:szCs w:val="22"/>
        </w:rPr>
        <w:t xml:space="preserve">The total fertility rate during (2017 – 2019) has declined to reach 3.8 births, compared to 4.6 births </w:t>
      </w:r>
      <w:r w:rsidR="00B3690A" w:rsidRPr="009B1A86">
        <w:rPr>
          <w:szCs w:val="22"/>
        </w:rPr>
        <w:t>during the period (1999-2003)</w:t>
      </w:r>
      <w:proofErr w:type="gramStart"/>
      <w:r w:rsidR="00B3690A" w:rsidRPr="009B1A86">
        <w:rPr>
          <w:szCs w:val="22"/>
        </w:rPr>
        <w:t>;</w:t>
      </w:r>
      <w:proofErr w:type="gramEnd"/>
      <w:r w:rsidRPr="009B1A86">
        <w:rPr>
          <w:szCs w:val="22"/>
        </w:rPr>
        <w:t xml:space="preserve"> 3.8 births in the West Bank and 3.9 births in Gaza Strip.</w:t>
      </w:r>
      <w:r w:rsidR="00B3690A" w:rsidRPr="009B1A86">
        <w:t xml:space="preserve"> </w:t>
      </w:r>
      <w:r w:rsidR="00B3690A" w:rsidRPr="009B1A86">
        <w:rPr>
          <w:rFonts w:hint="cs"/>
          <w:rtl/>
        </w:rPr>
        <w:t xml:space="preserve"> </w:t>
      </w:r>
      <w:r w:rsidR="00B3690A" w:rsidRPr="009B1A86">
        <w:rPr>
          <w:szCs w:val="22"/>
        </w:rPr>
        <w:t>On the other hand</w:t>
      </w:r>
      <w:r w:rsidR="009B3E2C">
        <w:rPr>
          <w:szCs w:val="22"/>
        </w:rPr>
        <w:t>,</w:t>
      </w:r>
      <w:r w:rsidR="00B3690A" w:rsidRPr="009B1A86">
        <w:rPr>
          <w:szCs w:val="22"/>
        </w:rPr>
        <w:t xml:space="preserve"> fertility rate was 3.8 </w:t>
      </w:r>
      <w:r w:rsidR="007F0FB2" w:rsidRPr="009B1A86">
        <w:rPr>
          <w:szCs w:val="22"/>
        </w:rPr>
        <w:t xml:space="preserve">births </w:t>
      </w:r>
      <w:r w:rsidR="00B3690A" w:rsidRPr="009B1A86">
        <w:rPr>
          <w:szCs w:val="22"/>
        </w:rPr>
        <w:t>in urban</w:t>
      </w:r>
      <w:r w:rsidR="007F0FB2">
        <w:rPr>
          <w:szCs w:val="22"/>
        </w:rPr>
        <w:t xml:space="preserve"> areas</w:t>
      </w:r>
      <w:r w:rsidR="00B3690A" w:rsidRPr="009B1A86">
        <w:rPr>
          <w:szCs w:val="22"/>
        </w:rPr>
        <w:t xml:space="preserve"> compared to 4.4 births in rural areas and 3.5 births in the Palestinian </w:t>
      </w:r>
      <w:r w:rsidR="007F0FB2">
        <w:rPr>
          <w:szCs w:val="22"/>
        </w:rPr>
        <w:t xml:space="preserve">refugee </w:t>
      </w:r>
      <w:r w:rsidR="00B3690A" w:rsidRPr="009B1A86">
        <w:rPr>
          <w:szCs w:val="22"/>
        </w:rPr>
        <w:t>camps.</w:t>
      </w:r>
    </w:p>
    <w:p w14:paraId="65A59B79" w14:textId="2A24895A" w:rsidR="004F777F" w:rsidRPr="009B1A86" w:rsidRDefault="004F777F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4"/>
          <w:szCs w:val="14"/>
          <w:rtl/>
        </w:rPr>
      </w:pPr>
    </w:p>
    <w:p w14:paraId="5757261A" w14:textId="77777777" w:rsidR="0042273B" w:rsidRPr="007E67BB" w:rsidRDefault="0042273B" w:rsidP="0042273B">
      <w:pPr>
        <w:tabs>
          <w:tab w:val="left" w:pos="5400"/>
        </w:tabs>
        <w:jc w:val="center"/>
        <w:rPr>
          <w:b/>
          <w:bCs/>
          <w:sz w:val="26"/>
          <w:szCs w:val="26"/>
          <w:rtl/>
        </w:rPr>
      </w:pPr>
      <w:r w:rsidRPr="007E67BB">
        <w:rPr>
          <w:b/>
          <w:bCs/>
          <w:sz w:val="26"/>
          <w:szCs w:val="26"/>
        </w:rPr>
        <w:t>Fertility Rate in the State of Palestine, Selected Years</w:t>
      </w:r>
    </w:p>
    <w:p w14:paraId="455DA3D6" w14:textId="77777777" w:rsidR="0042273B" w:rsidRPr="009B1A86" w:rsidRDefault="0042273B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4"/>
          <w:szCs w:val="14"/>
          <w:rtl/>
        </w:rPr>
      </w:pPr>
    </w:p>
    <w:p w14:paraId="34633444" w14:textId="77777777" w:rsidR="0042273B" w:rsidRPr="009B1A86" w:rsidRDefault="0042273B" w:rsidP="0042273B">
      <w:pPr>
        <w:pStyle w:val="BodyTextIndent"/>
        <w:tabs>
          <w:tab w:val="right" w:pos="8100"/>
        </w:tabs>
        <w:ind w:right="71"/>
        <w:jc w:val="center"/>
        <w:rPr>
          <w:rFonts w:cs="Times New Roman"/>
          <w:b/>
          <w:bCs/>
          <w:sz w:val="14"/>
          <w:szCs w:val="14"/>
          <w:rtl/>
        </w:rPr>
      </w:pPr>
      <w:r w:rsidRPr="009B1A86">
        <w:rPr>
          <w:noProof/>
          <w:rtl/>
          <w:lang w:eastAsia="en-US"/>
        </w:rPr>
        <w:drawing>
          <wp:inline distT="0" distB="0" distL="0" distR="0" wp14:anchorId="2B20F1E7" wp14:editId="4F156149">
            <wp:extent cx="3714115" cy="1724025"/>
            <wp:effectExtent l="0" t="0" r="635" b="9525"/>
            <wp:docPr id="6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D8E147" w14:textId="77777777" w:rsidR="0042273B" w:rsidRPr="009B1A86" w:rsidRDefault="0042273B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4"/>
          <w:szCs w:val="14"/>
          <w:rtl/>
        </w:rPr>
      </w:pPr>
    </w:p>
    <w:p w14:paraId="07475310" w14:textId="491E26A0" w:rsidR="00A81E32" w:rsidRPr="00A81E32" w:rsidRDefault="00A81E32" w:rsidP="007E67BB">
      <w:pPr>
        <w:pStyle w:val="BodyTextIndent"/>
        <w:tabs>
          <w:tab w:val="right" w:pos="8100"/>
        </w:tabs>
        <w:ind w:right="71"/>
        <w:jc w:val="left"/>
        <w:rPr>
          <w:rFonts w:cs="Times New Roman"/>
          <w:sz w:val="16"/>
          <w:szCs w:val="16"/>
        </w:rPr>
      </w:pPr>
      <w:r w:rsidRPr="00A81E32">
        <w:rPr>
          <w:rFonts w:cs="Times New Roman"/>
          <w:b/>
          <w:bCs/>
          <w:sz w:val="16"/>
          <w:szCs w:val="16"/>
        </w:rPr>
        <w:t xml:space="preserve">                                          </w:t>
      </w:r>
      <w:r w:rsidR="007E67BB">
        <w:rPr>
          <w:rFonts w:cs="Times New Roman" w:hint="cs"/>
          <w:b/>
          <w:bCs/>
          <w:sz w:val="16"/>
          <w:szCs w:val="16"/>
          <w:rtl/>
        </w:rPr>
        <w:t xml:space="preserve">          </w:t>
      </w:r>
      <w:r w:rsidRPr="00A81E32">
        <w:rPr>
          <w:rFonts w:cs="Times New Roman"/>
          <w:b/>
          <w:bCs/>
          <w:sz w:val="16"/>
          <w:szCs w:val="16"/>
        </w:rPr>
        <w:t xml:space="preserve">  Source: Palestinian Central Bureau of Statistics, 2021.</w:t>
      </w:r>
      <w:r w:rsidRPr="00A81E32">
        <w:rPr>
          <w:sz w:val="16"/>
          <w:szCs w:val="16"/>
        </w:rPr>
        <w:t xml:space="preserve"> </w:t>
      </w:r>
      <w:r w:rsidRPr="00A81E32">
        <w:rPr>
          <w:rFonts w:cs="Times New Roman"/>
          <w:sz w:val="16"/>
          <w:szCs w:val="16"/>
        </w:rPr>
        <w:t xml:space="preserve">Database of </w:t>
      </w:r>
      <w:r w:rsidR="009B3E2C">
        <w:rPr>
          <w:rFonts w:cs="Times New Roman"/>
          <w:sz w:val="16"/>
          <w:szCs w:val="16"/>
        </w:rPr>
        <w:t xml:space="preserve">the </w:t>
      </w:r>
      <w:r w:rsidRPr="00A81E32">
        <w:rPr>
          <w:rFonts w:cs="Times New Roman"/>
          <w:sz w:val="16"/>
          <w:szCs w:val="16"/>
        </w:rPr>
        <w:t>Demographic and Health</w:t>
      </w:r>
    </w:p>
    <w:p w14:paraId="564A405D" w14:textId="77777777" w:rsidR="00891D2D" w:rsidRDefault="00A81E32" w:rsidP="007E67BB">
      <w:pPr>
        <w:pStyle w:val="BodyTextIndent"/>
        <w:tabs>
          <w:tab w:val="right" w:pos="8100"/>
        </w:tabs>
        <w:ind w:right="71" w:firstLine="2127"/>
        <w:jc w:val="left"/>
        <w:rPr>
          <w:rFonts w:cs="Times New Roman"/>
          <w:sz w:val="16"/>
          <w:szCs w:val="16"/>
        </w:rPr>
      </w:pPr>
      <w:r w:rsidRPr="00A81E32">
        <w:rPr>
          <w:rFonts w:cs="Times New Roman"/>
          <w:sz w:val="16"/>
          <w:szCs w:val="16"/>
        </w:rPr>
        <w:t>Survey, 2004. Ramallah - Palestine.</w:t>
      </w:r>
    </w:p>
    <w:p w14:paraId="7994086C" w14:textId="278032A3" w:rsidR="00891D2D" w:rsidRPr="00891D2D" w:rsidRDefault="004F777F" w:rsidP="007E67BB">
      <w:pPr>
        <w:pStyle w:val="BodyTextIndent"/>
        <w:tabs>
          <w:tab w:val="right" w:pos="8100"/>
        </w:tabs>
        <w:ind w:right="71"/>
        <w:jc w:val="left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 xml:space="preserve">      </w:t>
      </w:r>
      <w:r w:rsidR="007E67BB">
        <w:rPr>
          <w:rFonts w:cs="Times New Roman" w:hint="cs"/>
          <w:b/>
          <w:bCs/>
          <w:sz w:val="14"/>
          <w:szCs w:val="14"/>
          <w:rtl/>
        </w:rPr>
        <w:t xml:space="preserve">                               </w:t>
      </w:r>
      <w:r>
        <w:rPr>
          <w:rFonts w:cs="Times New Roman"/>
          <w:b/>
          <w:bCs/>
          <w:sz w:val="14"/>
          <w:szCs w:val="14"/>
        </w:rPr>
        <w:t xml:space="preserve">     </w:t>
      </w:r>
      <w:r w:rsidR="007E67BB">
        <w:rPr>
          <w:rFonts w:cs="Times New Roman" w:hint="cs"/>
          <w:b/>
          <w:bCs/>
          <w:sz w:val="14"/>
          <w:szCs w:val="14"/>
          <w:rtl/>
        </w:rPr>
        <w:t xml:space="preserve">               </w:t>
      </w:r>
      <w:r>
        <w:rPr>
          <w:rFonts w:cs="Times New Roman"/>
          <w:b/>
          <w:bCs/>
          <w:sz w:val="14"/>
          <w:szCs w:val="14"/>
        </w:rPr>
        <w:t xml:space="preserve">    </w:t>
      </w:r>
      <w:r w:rsidR="00891D2D" w:rsidRPr="00891D2D">
        <w:rPr>
          <w:rFonts w:cs="Times New Roman"/>
          <w:b/>
          <w:bCs/>
          <w:sz w:val="14"/>
          <w:szCs w:val="14"/>
        </w:rPr>
        <w:t xml:space="preserve">Source: Palestinian Central Bureau of Statistics, 2021. Database </w:t>
      </w:r>
      <w:r w:rsidR="009B3E2C">
        <w:rPr>
          <w:rFonts w:cs="Times New Roman"/>
          <w:b/>
          <w:bCs/>
          <w:sz w:val="14"/>
          <w:szCs w:val="14"/>
        </w:rPr>
        <w:t xml:space="preserve">of the </w:t>
      </w:r>
      <w:r w:rsidR="00891D2D">
        <w:rPr>
          <w:rFonts w:cs="Times New Roman"/>
          <w:b/>
          <w:bCs/>
          <w:sz w:val="14"/>
          <w:szCs w:val="14"/>
        </w:rPr>
        <w:t>Pal</w:t>
      </w:r>
      <w:r w:rsidR="00891D2D" w:rsidRPr="00891D2D">
        <w:rPr>
          <w:rFonts w:cs="Times New Roman"/>
          <w:b/>
          <w:bCs/>
          <w:sz w:val="14"/>
          <w:szCs w:val="14"/>
        </w:rPr>
        <w:t>estinian</w:t>
      </w:r>
      <w:r w:rsidR="00891D2D">
        <w:rPr>
          <w:rFonts w:cs="Times New Roman"/>
          <w:b/>
          <w:bCs/>
          <w:sz w:val="14"/>
          <w:szCs w:val="14"/>
        </w:rPr>
        <w:t xml:space="preserve"> </w:t>
      </w:r>
      <w:r w:rsidR="00891D2D" w:rsidRPr="00891D2D">
        <w:rPr>
          <w:rFonts w:cs="Times New Roman"/>
          <w:b/>
          <w:bCs/>
          <w:sz w:val="14"/>
          <w:szCs w:val="14"/>
        </w:rPr>
        <w:t>Multiple Indicator Cluster Survey</w:t>
      </w:r>
    </w:p>
    <w:p w14:paraId="3F1412DE" w14:textId="77777777" w:rsidR="0042273B" w:rsidRPr="009B1A86" w:rsidRDefault="00891D2D" w:rsidP="007E67BB">
      <w:pPr>
        <w:pStyle w:val="BodyTextIndent"/>
        <w:tabs>
          <w:tab w:val="right" w:pos="8100"/>
        </w:tabs>
        <w:ind w:left="1701" w:right="71" w:firstLine="426"/>
        <w:jc w:val="left"/>
        <w:rPr>
          <w:rFonts w:cs="Times New Roman"/>
          <w:b/>
          <w:bCs/>
          <w:sz w:val="14"/>
          <w:szCs w:val="14"/>
          <w:rtl/>
        </w:rPr>
      </w:pPr>
      <w:r w:rsidRPr="00891D2D">
        <w:rPr>
          <w:rFonts w:cs="Times New Roman"/>
          <w:b/>
          <w:bCs/>
          <w:sz w:val="14"/>
          <w:szCs w:val="14"/>
        </w:rPr>
        <w:t xml:space="preserve">2019-2020. Ramallah - Palestine.  </w:t>
      </w:r>
    </w:p>
    <w:p w14:paraId="00249D67" w14:textId="77777777" w:rsidR="0042273B" w:rsidRPr="009B1A86" w:rsidRDefault="0042273B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4"/>
          <w:szCs w:val="14"/>
        </w:rPr>
      </w:pPr>
    </w:p>
    <w:p w14:paraId="688EE833" w14:textId="77777777" w:rsidR="00B3690A" w:rsidRPr="007E67BB" w:rsidRDefault="00B3690A" w:rsidP="00B3690A">
      <w:pPr>
        <w:bidi w:val="0"/>
        <w:jc w:val="lowKashida"/>
        <w:rPr>
          <w:b/>
          <w:bCs/>
          <w:sz w:val="26"/>
          <w:szCs w:val="26"/>
          <w:rtl/>
        </w:rPr>
      </w:pPr>
      <w:r w:rsidRPr="007E67BB">
        <w:rPr>
          <w:b/>
          <w:bCs/>
          <w:sz w:val="26"/>
          <w:szCs w:val="26"/>
        </w:rPr>
        <w:t>13% of women in Palestine have unmet need for family planning</w:t>
      </w:r>
    </w:p>
    <w:p w14:paraId="4D6EDE66" w14:textId="5B05C61E" w:rsidR="00B3690A" w:rsidRPr="007E67BB" w:rsidRDefault="009B3E2C" w:rsidP="00536726">
      <w:pPr>
        <w:bidi w:val="0"/>
        <w:jc w:val="lowKashida"/>
        <w:rPr>
          <w:sz w:val="26"/>
          <w:szCs w:val="26"/>
          <w:rtl/>
        </w:rPr>
      </w:pPr>
      <w:proofErr w:type="gramStart"/>
      <w:r w:rsidRPr="007E67BB">
        <w:rPr>
          <w:sz w:val="26"/>
          <w:szCs w:val="26"/>
        </w:rPr>
        <w:t>D</w:t>
      </w:r>
      <w:r w:rsidR="00B3690A" w:rsidRPr="007E67BB">
        <w:rPr>
          <w:sz w:val="26"/>
          <w:szCs w:val="26"/>
        </w:rPr>
        <w:t xml:space="preserve">ata of the </w:t>
      </w:r>
      <w:r w:rsidR="007F0FB2" w:rsidRPr="007E67BB">
        <w:rPr>
          <w:sz w:val="26"/>
          <w:szCs w:val="26"/>
        </w:rPr>
        <w:t xml:space="preserve">Palestinian Multiple </w:t>
      </w:r>
      <w:r w:rsidR="00536726" w:rsidRPr="007E67BB">
        <w:rPr>
          <w:sz w:val="26"/>
          <w:szCs w:val="26"/>
        </w:rPr>
        <w:t xml:space="preserve">Indicator </w:t>
      </w:r>
      <w:r w:rsidR="007F0FB2" w:rsidRPr="007E67BB">
        <w:rPr>
          <w:sz w:val="26"/>
          <w:szCs w:val="26"/>
        </w:rPr>
        <w:t>Cluster Survey 2019-2020 (</w:t>
      </w:r>
      <w:r w:rsidRPr="007E67BB">
        <w:rPr>
          <w:sz w:val="26"/>
          <w:szCs w:val="26"/>
        </w:rPr>
        <w:t>PMICS6</w:t>
      </w:r>
      <w:r w:rsidR="007F0FB2" w:rsidRPr="007E67BB">
        <w:rPr>
          <w:sz w:val="26"/>
          <w:szCs w:val="26"/>
        </w:rPr>
        <w:t>)</w:t>
      </w:r>
      <w:r w:rsidRPr="007E67BB">
        <w:rPr>
          <w:sz w:val="26"/>
          <w:szCs w:val="26"/>
        </w:rPr>
        <w:t xml:space="preserve"> </w:t>
      </w:r>
      <w:r w:rsidR="00B3690A" w:rsidRPr="007E67BB">
        <w:rPr>
          <w:sz w:val="26"/>
          <w:szCs w:val="26"/>
        </w:rPr>
        <w:t xml:space="preserve">indicated that the percentage of women in the age group </w:t>
      </w:r>
      <w:r w:rsidR="006E3C0E" w:rsidRPr="007E67BB">
        <w:rPr>
          <w:sz w:val="26"/>
          <w:szCs w:val="26"/>
        </w:rPr>
        <w:t>(</w:t>
      </w:r>
      <w:r w:rsidR="00B3690A" w:rsidRPr="007E67BB">
        <w:rPr>
          <w:sz w:val="26"/>
          <w:szCs w:val="26"/>
        </w:rPr>
        <w:t>15-49 years</w:t>
      </w:r>
      <w:r w:rsidR="006E3C0E" w:rsidRPr="007E67BB">
        <w:rPr>
          <w:sz w:val="26"/>
          <w:szCs w:val="26"/>
        </w:rPr>
        <w:t>)</w:t>
      </w:r>
      <w:r w:rsidR="00B3690A" w:rsidRPr="007E67BB">
        <w:rPr>
          <w:sz w:val="26"/>
          <w:szCs w:val="26"/>
        </w:rPr>
        <w:t xml:space="preserve"> who are currently married, who are able to have children and who wish to space their pregnancies</w:t>
      </w:r>
      <w:r w:rsidR="006E3C0E" w:rsidRPr="007E67BB">
        <w:rPr>
          <w:sz w:val="26"/>
          <w:szCs w:val="26"/>
        </w:rPr>
        <w:t>,</w:t>
      </w:r>
      <w:r w:rsidR="00B3690A" w:rsidRPr="007E67BB">
        <w:rPr>
          <w:sz w:val="26"/>
          <w:szCs w:val="26"/>
        </w:rPr>
        <w:t xml:space="preserve"> or reduce the number of children and do not use any means of family planning in Palestine reached 13</w:t>
      </w:r>
      <w:r w:rsidR="006E3C0E" w:rsidRPr="007E67BB">
        <w:rPr>
          <w:sz w:val="26"/>
          <w:szCs w:val="26"/>
        </w:rPr>
        <w:t xml:space="preserve">%; </w:t>
      </w:r>
      <w:r w:rsidR="00536726" w:rsidRPr="007E67BB">
        <w:rPr>
          <w:sz w:val="26"/>
          <w:szCs w:val="26"/>
        </w:rPr>
        <w:t>(</w:t>
      </w:r>
      <w:r w:rsidRPr="007E67BB">
        <w:rPr>
          <w:sz w:val="26"/>
          <w:szCs w:val="26"/>
        </w:rPr>
        <w:t>14</w:t>
      </w:r>
      <w:r w:rsidR="00B3690A" w:rsidRPr="007E67BB">
        <w:rPr>
          <w:sz w:val="26"/>
          <w:szCs w:val="26"/>
        </w:rPr>
        <w:t>%</w:t>
      </w:r>
      <w:r w:rsidRPr="007E67BB">
        <w:rPr>
          <w:sz w:val="26"/>
          <w:szCs w:val="26"/>
        </w:rPr>
        <w:t xml:space="preserve"> in the West Bank </w:t>
      </w:r>
      <w:r w:rsidR="00B3690A" w:rsidRPr="007E67BB">
        <w:rPr>
          <w:sz w:val="26"/>
          <w:szCs w:val="26"/>
        </w:rPr>
        <w:t>compared to 12% in Gaza Strip</w:t>
      </w:r>
      <w:r w:rsidR="00536726" w:rsidRPr="007E67BB">
        <w:rPr>
          <w:sz w:val="26"/>
          <w:szCs w:val="26"/>
        </w:rPr>
        <w:t>)</w:t>
      </w:r>
      <w:r w:rsidR="00B3690A" w:rsidRPr="007E67BB">
        <w:rPr>
          <w:sz w:val="26"/>
          <w:szCs w:val="26"/>
        </w:rPr>
        <w:t>.</w:t>
      </w:r>
      <w:proofErr w:type="gramEnd"/>
    </w:p>
    <w:p w14:paraId="3156D45C" w14:textId="77777777" w:rsidR="00B3690A" w:rsidRPr="007E67BB" w:rsidRDefault="00B3690A" w:rsidP="00B3690A">
      <w:pPr>
        <w:bidi w:val="0"/>
        <w:jc w:val="lowKashida"/>
        <w:rPr>
          <w:sz w:val="16"/>
          <w:szCs w:val="16"/>
          <w:rtl/>
        </w:rPr>
      </w:pPr>
    </w:p>
    <w:p w14:paraId="6B1D9713" w14:textId="77777777" w:rsidR="00B3690A" w:rsidRPr="007E67BB" w:rsidRDefault="00B3690A" w:rsidP="00B3690A">
      <w:pPr>
        <w:bidi w:val="0"/>
        <w:jc w:val="lowKashida"/>
        <w:rPr>
          <w:b/>
          <w:bCs/>
          <w:sz w:val="26"/>
          <w:szCs w:val="26"/>
          <w:rtl/>
        </w:rPr>
      </w:pPr>
      <w:proofErr w:type="gramStart"/>
      <w:r w:rsidRPr="007E67BB">
        <w:rPr>
          <w:b/>
          <w:bCs/>
          <w:sz w:val="26"/>
          <w:szCs w:val="26"/>
        </w:rPr>
        <w:t>95%</w:t>
      </w:r>
      <w:proofErr w:type="gramEnd"/>
      <w:r w:rsidRPr="007E67BB">
        <w:rPr>
          <w:b/>
          <w:bCs/>
          <w:sz w:val="26"/>
          <w:szCs w:val="26"/>
        </w:rPr>
        <w:t xml:space="preserve"> of women in Palestine received prenatal health care</w:t>
      </w:r>
    </w:p>
    <w:p w14:paraId="6939A2F2" w14:textId="525775F5" w:rsidR="00B3690A" w:rsidRPr="007E67BB" w:rsidRDefault="009B3E2C" w:rsidP="000F49EE">
      <w:pPr>
        <w:bidi w:val="0"/>
        <w:jc w:val="lowKashida"/>
        <w:rPr>
          <w:sz w:val="26"/>
          <w:szCs w:val="26"/>
          <w:rtl/>
        </w:rPr>
      </w:pPr>
      <w:r w:rsidRPr="007E67BB">
        <w:rPr>
          <w:sz w:val="26"/>
          <w:szCs w:val="26"/>
        </w:rPr>
        <w:t>R</w:t>
      </w:r>
      <w:r w:rsidR="00B3690A" w:rsidRPr="007E67BB">
        <w:rPr>
          <w:sz w:val="26"/>
          <w:szCs w:val="26"/>
        </w:rPr>
        <w:t xml:space="preserve">esults of the </w:t>
      </w:r>
      <w:r w:rsidRPr="007E67BB">
        <w:rPr>
          <w:sz w:val="26"/>
          <w:szCs w:val="26"/>
        </w:rPr>
        <w:t>PMICS</w:t>
      </w:r>
      <w:r w:rsidR="006E3C0E" w:rsidRPr="007E67BB">
        <w:rPr>
          <w:sz w:val="26"/>
          <w:szCs w:val="26"/>
        </w:rPr>
        <w:t>6</w:t>
      </w:r>
      <w:r w:rsidR="00B3690A" w:rsidRPr="007E67BB">
        <w:rPr>
          <w:sz w:val="26"/>
          <w:szCs w:val="26"/>
        </w:rPr>
        <w:t xml:space="preserve"> </w:t>
      </w:r>
      <w:r w:rsidR="00B3690A" w:rsidRPr="007E67BB">
        <w:rPr>
          <w:rFonts w:hint="cs"/>
          <w:sz w:val="26"/>
          <w:szCs w:val="26"/>
          <w:rtl/>
        </w:rPr>
        <w:t>)</w:t>
      </w:r>
      <w:r w:rsidR="00B3690A" w:rsidRPr="007E67BB">
        <w:rPr>
          <w:sz w:val="26"/>
          <w:szCs w:val="26"/>
        </w:rPr>
        <w:t>2019-2020</w:t>
      </w:r>
      <w:r w:rsidR="00B3690A" w:rsidRPr="007E67BB">
        <w:rPr>
          <w:rFonts w:hint="cs"/>
          <w:sz w:val="26"/>
          <w:szCs w:val="26"/>
          <w:rtl/>
        </w:rPr>
        <w:t>(</w:t>
      </w:r>
      <w:r w:rsidR="00B3690A" w:rsidRPr="007E67BB">
        <w:rPr>
          <w:sz w:val="26"/>
          <w:szCs w:val="26"/>
        </w:rPr>
        <w:t xml:space="preserve"> </w:t>
      </w:r>
      <w:r w:rsidR="006E3C0E" w:rsidRPr="007E67BB">
        <w:rPr>
          <w:sz w:val="26"/>
          <w:szCs w:val="26"/>
        </w:rPr>
        <w:t xml:space="preserve">showed </w:t>
      </w:r>
      <w:r w:rsidR="00B3690A" w:rsidRPr="007E67BB">
        <w:rPr>
          <w:sz w:val="26"/>
          <w:szCs w:val="26"/>
        </w:rPr>
        <w:t xml:space="preserve">that about 95% of women aged 15-49 years received </w:t>
      </w:r>
      <w:r w:rsidR="000F49EE" w:rsidRPr="007E67BB">
        <w:rPr>
          <w:sz w:val="26"/>
          <w:szCs w:val="26"/>
        </w:rPr>
        <w:t xml:space="preserve">prenatal </w:t>
      </w:r>
      <w:r w:rsidR="00B3690A" w:rsidRPr="007E67BB">
        <w:rPr>
          <w:sz w:val="26"/>
          <w:szCs w:val="26"/>
        </w:rPr>
        <w:t>health care at least four times by a health care provider during pregnancy; and about 73% of women in the same age received health care eight times or more during pregnancy.</w:t>
      </w:r>
    </w:p>
    <w:p w14:paraId="632CFF3E" w14:textId="77777777" w:rsidR="00B3690A" w:rsidRPr="007E67BB" w:rsidRDefault="00B3690A" w:rsidP="00B3690A">
      <w:pPr>
        <w:bidi w:val="0"/>
        <w:jc w:val="lowKashida"/>
        <w:rPr>
          <w:b/>
          <w:bCs/>
          <w:sz w:val="16"/>
          <w:szCs w:val="16"/>
          <w:rtl/>
        </w:rPr>
      </w:pPr>
    </w:p>
    <w:p w14:paraId="5048EBDA" w14:textId="77777777" w:rsidR="00457B46" w:rsidRPr="007E67BB" w:rsidRDefault="008C560D" w:rsidP="00B3690A">
      <w:pPr>
        <w:bidi w:val="0"/>
        <w:jc w:val="lowKashida"/>
        <w:rPr>
          <w:b/>
          <w:bCs/>
          <w:sz w:val="26"/>
          <w:szCs w:val="26"/>
        </w:rPr>
      </w:pPr>
      <w:r w:rsidRPr="007E67BB">
        <w:rPr>
          <w:b/>
          <w:bCs/>
          <w:sz w:val="26"/>
          <w:szCs w:val="26"/>
        </w:rPr>
        <w:t>Constant D</w:t>
      </w:r>
      <w:r w:rsidR="00457B46" w:rsidRPr="007E67BB">
        <w:rPr>
          <w:b/>
          <w:bCs/>
          <w:sz w:val="26"/>
          <w:szCs w:val="26"/>
        </w:rPr>
        <w:t>ecline in the Average Household Size</w:t>
      </w:r>
    </w:p>
    <w:p w14:paraId="188CED7A" w14:textId="5966CAFA" w:rsidR="00457B46" w:rsidRPr="007E67BB" w:rsidRDefault="00457B46" w:rsidP="000F49EE">
      <w:pPr>
        <w:bidi w:val="0"/>
        <w:jc w:val="lowKashida"/>
        <w:rPr>
          <w:sz w:val="26"/>
          <w:szCs w:val="26"/>
        </w:rPr>
      </w:pPr>
      <w:r w:rsidRPr="007E67BB">
        <w:rPr>
          <w:sz w:val="26"/>
          <w:szCs w:val="26"/>
        </w:rPr>
        <w:t xml:space="preserve">The results of </w:t>
      </w:r>
      <w:r w:rsidR="006E3C0E" w:rsidRPr="007E67BB">
        <w:rPr>
          <w:sz w:val="26"/>
          <w:szCs w:val="26"/>
        </w:rPr>
        <w:t xml:space="preserve">both </w:t>
      </w:r>
      <w:r w:rsidRPr="007E67BB">
        <w:rPr>
          <w:sz w:val="26"/>
          <w:szCs w:val="26"/>
        </w:rPr>
        <w:t>the Labor Force Survey</w:t>
      </w:r>
      <w:r w:rsidR="000F3265" w:rsidRPr="007E67BB">
        <w:rPr>
          <w:sz w:val="26"/>
          <w:szCs w:val="26"/>
        </w:rPr>
        <w:t>,</w:t>
      </w:r>
      <w:r w:rsidR="009B3E2C" w:rsidRPr="007E67BB">
        <w:rPr>
          <w:sz w:val="26"/>
          <w:szCs w:val="26"/>
        </w:rPr>
        <w:t xml:space="preserve"> </w:t>
      </w:r>
      <w:r w:rsidR="0042273B" w:rsidRPr="007E67BB">
        <w:rPr>
          <w:rFonts w:hint="cs"/>
          <w:sz w:val="26"/>
          <w:szCs w:val="26"/>
          <w:rtl/>
        </w:rPr>
        <w:t>2020</w:t>
      </w:r>
      <w:r w:rsidRPr="007E67BB">
        <w:rPr>
          <w:sz w:val="26"/>
          <w:szCs w:val="26"/>
        </w:rPr>
        <w:t xml:space="preserve"> </w:t>
      </w:r>
      <w:r w:rsidR="00DF248A" w:rsidRPr="007E67BB">
        <w:rPr>
          <w:sz w:val="26"/>
          <w:szCs w:val="26"/>
        </w:rPr>
        <w:t>and the Population, Housing and Establishments Census</w:t>
      </w:r>
      <w:r w:rsidR="009B3E2C" w:rsidRPr="007E67BB">
        <w:rPr>
          <w:sz w:val="26"/>
          <w:szCs w:val="26"/>
        </w:rPr>
        <w:t>,</w:t>
      </w:r>
      <w:r w:rsidR="00DF248A" w:rsidRPr="007E67BB">
        <w:rPr>
          <w:sz w:val="26"/>
          <w:szCs w:val="26"/>
        </w:rPr>
        <w:t xml:space="preserve"> 2017 </w:t>
      </w:r>
      <w:r w:rsidRPr="007E67BB">
        <w:rPr>
          <w:sz w:val="26"/>
          <w:szCs w:val="26"/>
        </w:rPr>
        <w:t xml:space="preserve">indicated a decline in the average household size in Palestine compared </w:t>
      </w:r>
      <w:r w:rsidR="00732205" w:rsidRPr="007E67BB">
        <w:rPr>
          <w:sz w:val="26"/>
          <w:szCs w:val="26"/>
        </w:rPr>
        <w:t>to</w:t>
      </w:r>
      <w:r w:rsidRPr="007E67BB">
        <w:rPr>
          <w:sz w:val="26"/>
          <w:szCs w:val="26"/>
        </w:rPr>
        <w:t xml:space="preserve"> </w:t>
      </w:r>
      <w:r w:rsidR="004A14F3" w:rsidRPr="007E67BB">
        <w:rPr>
          <w:sz w:val="26"/>
          <w:szCs w:val="26"/>
        </w:rPr>
        <w:t>2007</w:t>
      </w:r>
      <w:r w:rsidRPr="007E67BB">
        <w:rPr>
          <w:sz w:val="26"/>
          <w:szCs w:val="26"/>
        </w:rPr>
        <w:t>. T</w:t>
      </w:r>
      <w:r w:rsidR="006E3C0E" w:rsidRPr="007E67BB">
        <w:rPr>
          <w:sz w:val="26"/>
          <w:szCs w:val="26"/>
        </w:rPr>
        <w:t>hus, t</w:t>
      </w:r>
      <w:r w:rsidRPr="007E67BB">
        <w:rPr>
          <w:sz w:val="26"/>
          <w:szCs w:val="26"/>
        </w:rPr>
        <w:t>he average size of the household declined to 5.</w:t>
      </w:r>
      <w:r w:rsidR="00EE6165" w:rsidRPr="007E67BB">
        <w:rPr>
          <w:sz w:val="26"/>
          <w:szCs w:val="26"/>
        </w:rPr>
        <w:t>1</w:t>
      </w:r>
      <w:r w:rsidRPr="007E67BB">
        <w:rPr>
          <w:sz w:val="26"/>
          <w:szCs w:val="26"/>
        </w:rPr>
        <w:t xml:space="preserve"> individuals in </w:t>
      </w:r>
      <w:r w:rsidR="0042273B" w:rsidRPr="007E67BB">
        <w:rPr>
          <w:rFonts w:hint="cs"/>
          <w:sz w:val="26"/>
          <w:szCs w:val="26"/>
          <w:rtl/>
        </w:rPr>
        <w:t>2020</w:t>
      </w:r>
      <w:r w:rsidRPr="007E67BB">
        <w:rPr>
          <w:sz w:val="26"/>
          <w:szCs w:val="26"/>
        </w:rPr>
        <w:t xml:space="preserve"> compared to 5.</w:t>
      </w:r>
      <w:r w:rsidR="004A14F3" w:rsidRPr="007E67BB">
        <w:rPr>
          <w:sz w:val="26"/>
          <w:szCs w:val="26"/>
        </w:rPr>
        <w:t>8</w:t>
      </w:r>
      <w:r w:rsidRPr="007E67BB">
        <w:rPr>
          <w:sz w:val="26"/>
          <w:szCs w:val="26"/>
        </w:rPr>
        <w:t xml:space="preserve"> individuals in </w:t>
      </w:r>
      <w:r w:rsidR="004A14F3" w:rsidRPr="007E67BB">
        <w:rPr>
          <w:sz w:val="26"/>
          <w:szCs w:val="26"/>
        </w:rPr>
        <w:t>2007</w:t>
      </w:r>
      <w:r w:rsidRPr="007E67BB">
        <w:rPr>
          <w:sz w:val="26"/>
          <w:szCs w:val="26"/>
        </w:rPr>
        <w:t>. On the other hand, the average household size in the West Bank declined to 4.</w:t>
      </w:r>
      <w:r w:rsidR="0042273B" w:rsidRPr="007E67BB">
        <w:rPr>
          <w:rFonts w:hint="cs"/>
          <w:sz w:val="26"/>
          <w:szCs w:val="26"/>
          <w:rtl/>
        </w:rPr>
        <w:t>7</w:t>
      </w:r>
      <w:r w:rsidRPr="007E67BB">
        <w:rPr>
          <w:sz w:val="26"/>
          <w:szCs w:val="26"/>
        </w:rPr>
        <w:t xml:space="preserve"> individuals in </w:t>
      </w:r>
      <w:r w:rsidR="0042273B" w:rsidRPr="007E67BB">
        <w:rPr>
          <w:rFonts w:hint="cs"/>
          <w:sz w:val="26"/>
          <w:szCs w:val="26"/>
          <w:rtl/>
        </w:rPr>
        <w:t>2020</w:t>
      </w:r>
      <w:r w:rsidRPr="007E67BB">
        <w:rPr>
          <w:sz w:val="26"/>
          <w:szCs w:val="26"/>
        </w:rPr>
        <w:t xml:space="preserve"> compared </w:t>
      </w:r>
      <w:r w:rsidR="000F49EE" w:rsidRPr="007E67BB">
        <w:rPr>
          <w:sz w:val="26"/>
          <w:szCs w:val="26"/>
        </w:rPr>
        <w:t xml:space="preserve">to </w:t>
      </w:r>
      <w:r w:rsidR="004A14F3" w:rsidRPr="007E67BB">
        <w:rPr>
          <w:sz w:val="26"/>
          <w:szCs w:val="26"/>
        </w:rPr>
        <w:t>5.5</w:t>
      </w:r>
      <w:r w:rsidRPr="007E67BB">
        <w:rPr>
          <w:sz w:val="26"/>
          <w:szCs w:val="26"/>
        </w:rPr>
        <w:t xml:space="preserve"> individuals in </w:t>
      </w:r>
      <w:r w:rsidR="004A14F3" w:rsidRPr="007E67BB">
        <w:rPr>
          <w:sz w:val="26"/>
          <w:szCs w:val="26"/>
        </w:rPr>
        <w:t>2007</w:t>
      </w:r>
      <w:r w:rsidRPr="007E67BB">
        <w:rPr>
          <w:sz w:val="26"/>
          <w:szCs w:val="26"/>
        </w:rPr>
        <w:t xml:space="preserve">. In Gaza Strip, </w:t>
      </w:r>
      <w:r w:rsidR="004A14F3" w:rsidRPr="007E67BB">
        <w:rPr>
          <w:sz w:val="26"/>
          <w:szCs w:val="26"/>
        </w:rPr>
        <w:t xml:space="preserve">the average household size </w:t>
      </w:r>
      <w:r w:rsidRPr="007E67BB">
        <w:rPr>
          <w:sz w:val="26"/>
          <w:szCs w:val="26"/>
        </w:rPr>
        <w:t>declined to 5.</w:t>
      </w:r>
      <w:r w:rsidR="0042273B" w:rsidRPr="007E67BB">
        <w:rPr>
          <w:rFonts w:hint="cs"/>
          <w:sz w:val="26"/>
          <w:szCs w:val="26"/>
          <w:rtl/>
        </w:rPr>
        <w:t>7</w:t>
      </w:r>
      <w:r w:rsidRPr="007E67BB">
        <w:rPr>
          <w:sz w:val="26"/>
          <w:szCs w:val="26"/>
        </w:rPr>
        <w:t xml:space="preserve"> in </w:t>
      </w:r>
      <w:r w:rsidR="0042273B" w:rsidRPr="007E67BB">
        <w:rPr>
          <w:rFonts w:hint="cs"/>
          <w:sz w:val="26"/>
          <w:szCs w:val="26"/>
          <w:rtl/>
        </w:rPr>
        <w:t>2020</w:t>
      </w:r>
      <w:r w:rsidRPr="007E67BB">
        <w:rPr>
          <w:sz w:val="26"/>
          <w:szCs w:val="26"/>
        </w:rPr>
        <w:t xml:space="preserve"> compared </w:t>
      </w:r>
      <w:r w:rsidR="000F49EE" w:rsidRPr="007E67BB">
        <w:rPr>
          <w:sz w:val="26"/>
          <w:szCs w:val="26"/>
        </w:rPr>
        <w:t xml:space="preserve">to </w:t>
      </w:r>
      <w:r w:rsidR="004A14F3" w:rsidRPr="007E67BB">
        <w:rPr>
          <w:sz w:val="26"/>
          <w:szCs w:val="26"/>
        </w:rPr>
        <w:t>6.5</w:t>
      </w:r>
      <w:r w:rsidRPr="007E67BB">
        <w:rPr>
          <w:sz w:val="26"/>
          <w:szCs w:val="26"/>
        </w:rPr>
        <w:t xml:space="preserve"> in </w:t>
      </w:r>
      <w:r w:rsidR="004A14F3" w:rsidRPr="007E67BB">
        <w:rPr>
          <w:sz w:val="26"/>
          <w:szCs w:val="26"/>
        </w:rPr>
        <w:t>2007</w:t>
      </w:r>
      <w:r w:rsidRPr="007E67BB">
        <w:rPr>
          <w:sz w:val="26"/>
          <w:szCs w:val="26"/>
        </w:rPr>
        <w:t>.</w:t>
      </w:r>
    </w:p>
    <w:p w14:paraId="32DF9325" w14:textId="4ABF9B1B" w:rsidR="007E67BB" w:rsidRPr="007E67BB" w:rsidRDefault="007E67BB" w:rsidP="007E67BB">
      <w:pPr>
        <w:jc w:val="right"/>
        <w:rPr>
          <w:b/>
          <w:bCs/>
          <w:sz w:val="16"/>
          <w:szCs w:val="16"/>
          <w:rtl/>
        </w:rPr>
      </w:pPr>
    </w:p>
    <w:p w14:paraId="372D5B2A" w14:textId="01444389" w:rsidR="00804A00" w:rsidRPr="007E67BB" w:rsidRDefault="00804A00" w:rsidP="000F3265">
      <w:pPr>
        <w:jc w:val="center"/>
        <w:rPr>
          <w:b/>
          <w:bCs/>
          <w:sz w:val="26"/>
          <w:szCs w:val="26"/>
        </w:rPr>
      </w:pPr>
      <w:r w:rsidRPr="007E67BB">
        <w:rPr>
          <w:b/>
          <w:bCs/>
          <w:sz w:val="26"/>
          <w:szCs w:val="26"/>
        </w:rPr>
        <w:t>The Average Household Size in Palestine by Region</w:t>
      </w:r>
      <w:r w:rsidR="001C3E97" w:rsidRPr="007E67BB">
        <w:rPr>
          <w:b/>
          <w:bCs/>
          <w:sz w:val="26"/>
          <w:szCs w:val="26"/>
        </w:rPr>
        <w:t xml:space="preserve">, </w:t>
      </w:r>
      <w:r w:rsidR="00EF3835" w:rsidRPr="007E67BB">
        <w:rPr>
          <w:b/>
          <w:bCs/>
          <w:sz w:val="26"/>
          <w:szCs w:val="26"/>
        </w:rPr>
        <w:t>S</w:t>
      </w:r>
      <w:r w:rsidR="001C3E97" w:rsidRPr="007E67BB">
        <w:rPr>
          <w:b/>
          <w:bCs/>
          <w:sz w:val="26"/>
          <w:szCs w:val="26"/>
        </w:rPr>
        <w:t xml:space="preserve">elected </w:t>
      </w:r>
      <w:r w:rsidR="00EF3835" w:rsidRPr="007E67BB">
        <w:rPr>
          <w:b/>
          <w:bCs/>
          <w:sz w:val="26"/>
          <w:szCs w:val="26"/>
        </w:rPr>
        <w:t>Y</w:t>
      </w:r>
      <w:r w:rsidR="001C3E97" w:rsidRPr="007E67BB">
        <w:rPr>
          <w:b/>
          <w:bCs/>
          <w:sz w:val="26"/>
          <w:szCs w:val="26"/>
        </w:rPr>
        <w:t>ears</w:t>
      </w:r>
    </w:p>
    <w:p w14:paraId="620F3166" w14:textId="77777777" w:rsidR="00804A00" w:rsidRPr="009B1A86" w:rsidRDefault="00804A00" w:rsidP="00804A00">
      <w:pPr>
        <w:jc w:val="center"/>
        <w:rPr>
          <w:rFonts w:cs="Simplified Arabic"/>
          <w:b/>
          <w:bCs/>
          <w:noProof/>
          <w:sz w:val="8"/>
          <w:szCs w:val="8"/>
        </w:rPr>
      </w:pPr>
      <w:r w:rsidRPr="009B1A86">
        <w:rPr>
          <w:rFonts w:cs="Simplified Arabic"/>
          <w:b/>
          <w:bCs/>
          <w:noProof/>
          <w:sz w:val="8"/>
          <w:szCs w:val="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97"/>
      </w:tblGrid>
      <w:tr w:rsidR="007F6815" w:rsidRPr="009B1A86" w14:paraId="66FB0570" w14:textId="77777777" w:rsidTr="007E67BB">
        <w:trPr>
          <w:trHeight w:val="2428"/>
          <w:jc w:val="center"/>
        </w:trPr>
        <w:tc>
          <w:tcPr>
            <w:tcW w:w="7497" w:type="dxa"/>
          </w:tcPr>
          <w:p w14:paraId="7BE6F968" w14:textId="528CE6DF" w:rsidR="00804A00" w:rsidRPr="009B1A86" w:rsidRDefault="004F777F" w:rsidP="00804A00">
            <w:pPr>
              <w:jc w:val="center"/>
              <w:rPr>
                <w:rFonts w:cs="Simplified Arabic"/>
                <w:b/>
                <w:bCs/>
                <w:sz w:val="12"/>
                <w:szCs w:val="12"/>
                <w:rtl/>
              </w:rPr>
            </w:pPr>
            <w:r w:rsidRPr="009B1A86">
              <w:rPr>
                <w:rFonts w:cs="Simplified Arabic"/>
                <w:b/>
                <w:bCs/>
                <w:noProof/>
                <w:sz w:val="12"/>
                <w:szCs w:val="12"/>
                <w:rtl/>
              </w:rPr>
              <w:drawing>
                <wp:inline distT="0" distB="0" distL="0" distR="0" wp14:anchorId="0281DB66" wp14:editId="4FF20C54">
                  <wp:extent cx="4533900" cy="1447800"/>
                  <wp:effectExtent l="0" t="0" r="0" b="0"/>
                  <wp:docPr id="7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71CE36F3" w14:textId="77777777" w:rsidR="007E67BB" w:rsidRDefault="007E67BB" w:rsidP="006E3C0E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6"/>
          <w:szCs w:val="16"/>
          <w:rtl/>
        </w:rPr>
      </w:pPr>
    </w:p>
    <w:p w14:paraId="470C80DD" w14:textId="09573663" w:rsidR="00804A00" w:rsidRPr="007E67BB" w:rsidRDefault="007F6815" w:rsidP="006E3C0E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8"/>
          <w:szCs w:val="18"/>
          <w:rtl/>
        </w:rPr>
      </w:pPr>
      <w:r w:rsidRPr="007E67BB">
        <w:rPr>
          <w:rFonts w:cs="Times New Roman"/>
          <w:b/>
          <w:bCs/>
          <w:sz w:val="18"/>
          <w:szCs w:val="18"/>
        </w:rPr>
        <w:t xml:space="preserve">Source: Palestinian Central Bureau of Statistics, 2021. </w:t>
      </w:r>
      <w:r w:rsidRPr="007E67BB">
        <w:rPr>
          <w:rFonts w:cs="Times New Roman"/>
          <w:sz w:val="18"/>
          <w:szCs w:val="18"/>
        </w:rPr>
        <w:t xml:space="preserve">Estimates based on the results of the </w:t>
      </w:r>
      <w:r w:rsidR="006E3C0E" w:rsidRPr="007E67BB">
        <w:rPr>
          <w:rFonts w:cs="Times New Roman"/>
          <w:sz w:val="18"/>
          <w:szCs w:val="18"/>
        </w:rPr>
        <w:t xml:space="preserve">Labor Force Survey </w:t>
      </w:r>
      <w:r w:rsidRPr="007E67BB">
        <w:rPr>
          <w:rFonts w:cs="Times New Roman"/>
          <w:sz w:val="18"/>
          <w:szCs w:val="18"/>
        </w:rPr>
        <w:t xml:space="preserve">and on the </w:t>
      </w:r>
      <w:proofErr w:type="gramStart"/>
      <w:r w:rsidRPr="007E67BB">
        <w:rPr>
          <w:rFonts w:cs="Times New Roman"/>
          <w:sz w:val="18"/>
          <w:szCs w:val="18"/>
        </w:rPr>
        <w:t>final results</w:t>
      </w:r>
      <w:proofErr w:type="gramEnd"/>
      <w:r w:rsidRPr="007E67BB">
        <w:rPr>
          <w:rFonts w:cs="Times New Roman"/>
          <w:sz w:val="18"/>
          <w:szCs w:val="18"/>
        </w:rPr>
        <w:t xml:space="preserve"> of Population, Housing and Establishments Census, 2007, 2020. Ramallah - Palestine</w:t>
      </w:r>
      <w:r w:rsidRPr="007E67BB">
        <w:rPr>
          <w:rFonts w:cs="Times New Roman"/>
          <w:sz w:val="18"/>
          <w:szCs w:val="18"/>
          <w:rtl/>
        </w:rPr>
        <w:t>.</w:t>
      </w:r>
    </w:p>
    <w:p w14:paraId="2B599EB9" w14:textId="6CBE34DB" w:rsidR="006D5D12" w:rsidRPr="007E67BB" w:rsidRDefault="006D5D12" w:rsidP="006D5D12">
      <w:pPr>
        <w:bidi w:val="0"/>
        <w:jc w:val="lowKashida"/>
        <w:rPr>
          <w:b/>
          <w:bCs/>
          <w:sz w:val="16"/>
          <w:szCs w:val="16"/>
        </w:rPr>
      </w:pPr>
    </w:p>
    <w:p w14:paraId="51948D68" w14:textId="4509FDC7" w:rsidR="00457B46" w:rsidRPr="007E67BB" w:rsidRDefault="00457B46" w:rsidP="006D5D12">
      <w:pPr>
        <w:bidi w:val="0"/>
        <w:jc w:val="lowKashida"/>
        <w:rPr>
          <w:sz w:val="26"/>
          <w:szCs w:val="26"/>
        </w:rPr>
      </w:pPr>
      <w:r w:rsidRPr="007E67BB">
        <w:rPr>
          <w:b/>
          <w:bCs/>
          <w:sz w:val="26"/>
          <w:szCs w:val="26"/>
        </w:rPr>
        <w:lastRenderedPageBreak/>
        <w:t xml:space="preserve">One out of </w:t>
      </w:r>
      <w:r w:rsidR="00E07B5C" w:rsidRPr="007E67BB">
        <w:rPr>
          <w:b/>
          <w:bCs/>
          <w:sz w:val="26"/>
          <w:szCs w:val="26"/>
        </w:rPr>
        <w:t xml:space="preserve">ten </w:t>
      </w:r>
      <w:r w:rsidR="006E3C0E" w:rsidRPr="007E67BB">
        <w:rPr>
          <w:b/>
          <w:bCs/>
          <w:sz w:val="26"/>
          <w:szCs w:val="26"/>
        </w:rPr>
        <w:t xml:space="preserve">Households </w:t>
      </w:r>
      <w:r w:rsidRPr="007E67BB">
        <w:rPr>
          <w:b/>
          <w:bCs/>
          <w:sz w:val="26"/>
          <w:szCs w:val="26"/>
        </w:rPr>
        <w:t xml:space="preserve">is </w:t>
      </w:r>
      <w:proofErr w:type="gramStart"/>
      <w:r w:rsidRPr="007E67BB">
        <w:rPr>
          <w:b/>
          <w:bCs/>
          <w:sz w:val="26"/>
          <w:szCs w:val="26"/>
        </w:rPr>
        <w:t>Headed</w:t>
      </w:r>
      <w:proofErr w:type="gramEnd"/>
      <w:r w:rsidRPr="007E67BB">
        <w:rPr>
          <w:b/>
          <w:bCs/>
          <w:sz w:val="26"/>
          <w:szCs w:val="26"/>
        </w:rPr>
        <w:t xml:space="preserve"> by a Female</w:t>
      </w:r>
    </w:p>
    <w:p w14:paraId="4B01B954" w14:textId="3E808C33" w:rsidR="00457B46" w:rsidRPr="007E67BB" w:rsidRDefault="00E07B5C" w:rsidP="00E07B5C">
      <w:pPr>
        <w:bidi w:val="0"/>
        <w:jc w:val="lowKashida"/>
        <w:rPr>
          <w:sz w:val="26"/>
          <w:szCs w:val="26"/>
        </w:rPr>
      </w:pPr>
      <w:r w:rsidRPr="007E67BB">
        <w:rPr>
          <w:sz w:val="26"/>
          <w:szCs w:val="26"/>
        </w:rPr>
        <w:t>R</w:t>
      </w:r>
      <w:r w:rsidR="00457B46" w:rsidRPr="007E67BB">
        <w:rPr>
          <w:sz w:val="26"/>
          <w:szCs w:val="26"/>
        </w:rPr>
        <w:t>esults of the Labor Force Survey</w:t>
      </w:r>
      <w:r w:rsidR="000F3265" w:rsidRPr="007E67BB">
        <w:rPr>
          <w:sz w:val="26"/>
          <w:szCs w:val="26"/>
        </w:rPr>
        <w:t xml:space="preserve">, </w:t>
      </w:r>
      <w:r w:rsidR="004933DD" w:rsidRPr="007E67BB">
        <w:rPr>
          <w:rFonts w:hint="cs"/>
          <w:sz w:val="26"/>
          <w:szCs w:val="26"/>
          <w:rtl/>
        </w:rPr>
        <w:t>2020</w:t>
      </w:r>
      <w:r w:rsidR="00457B46" w:rsidRPr="007E67BB">
        <w:rPr>
          <w:sz w:val="26"/>
          <w:szCs w:val="26"/>
        </w:rPr>
        <w:t xml:space="preserve"> showed that </w:t>
      </w:r>
      <w:proofErr w:type="gramStart"/>
      <w:r w:rsidR="00457B46" w:rsidRPr="007E67BB">
        <w:rPr>
          <w:sz w:val="26"/>
          <w:szCs w:val="26"/>
        </w:rPr>
        <w:t xml:space="preserve">11% of </w:t>
      </w:r>
      <w:r w:rsidR="004D7A59" w:rsidRPr="007E67BB">
        <w:rPr>
          <w:sz w:val="26"/>
          <w:szCs w:val="26"/>
        </w:rPr>
        <w:t xml:space="preserve">the </w:t>
      </w:r>
      <w:r w:rsidR="00457B46" w:rsidRPr="007E67BB">
        <w:rPr>
          <w:sz w:val="26"/>
          <w:szCs w:val="26"/>
        </w:rPr>
        <w:t xml:space="preserve">households were headed by females in </w:t>
      </w:r>
      <w:r w:rsidR="00E71BDA" w:rsidRPr="007E67BB">
        <w:rPr>
          <w:sz w:val="26"/>
          <w:szCs w:val="26"/>
        </w:rPr>
        <w:t>Palestine (</w:t>
      </w:r>
      <w:r w:rsidR="00457B46" w:rsidRPr="007E67BB">
        <w:rPr>
          <w:sz w:val="26"/>
          <w:szCs w:val="26"/>
        </w:rPr>
        <w:t xml:space="preserve">12% </w:t>
      </w:r>
      <w:r w:rsidR="000F3CA9" w:rsidRPr="007E67BB">
        <w:rPr>
          <w:sz w:val="26"/>
          <w:szCs w:val="26"/>
        </w:rPr>
        <w:t xml:space="preserve">in the West Bank </w:t>
      </w:r>
      <w:r w:rsidR="00457B46" w:rsidRPr="007E67BB">
        <w:rPr>
          <w:sz w:val="26"/>
          <w:szCs w:val="26"/>
        </w:rPr>
        <w:t>and 9%</w:t>
      </w:r>
      <w:r w:rsidR="004D7A59" w:rsidRPr="007E67BB">
        <w:rPr>
          <w:sz w:val="26"/>
          <w:szCs w:val="26"/>
        </w:rPr>
        <w:t xml:space="preserve"> </w:t>
      </w:r>
      <w:r w:rsidR="00E86FCD" w:rsidRPr="007E67BB">
        <w:rPr>
          <w:sz w:val="26"/>
          <w:szCs w:val="26"/>
        </w:rPr>
        <w:t xml:space="preserve">in </w:t>
      </w:r>
      <w:r w:rsidR="00457B46" w:rsidRPr="007E67BB">
        <w:rPr>
          <w:sz w:val="26"/>
          <w:szCs w:val="26"/>
        </w:rPr>
        <w:t>Gaza Strip</w:t>
      </w:r>
      <w:r w:rsidR="00E86FCD" w:rsidRPr="007E67BB">
        <w:rPr>
          <w:sz w:val="26"/>
          <w:szCs w:val="26"/>
        </w:rPr>
        <w:t>)</w:t>
      </w:r>
      <w:proofErr w:type="gramEnd"/>
      <w:r w:rsidR="00457B46" w:rsidRPr="007E67BB">
        <w:rPr>
          <w:sz w:val="26"/>
          <w:szCs w:val="26"/>
        </w:rPr>
        <w:t xml:space="preserve">.  </w:t>
      </w:r>
    </w:p>
    <w:p w14:paraId="1C2FB099" w14:textId="77777777" w:rsidR="00F10A80" w:rsidRPr="007E67BB" w:rsidRDefault="00F10A80" w:rsidP="00F10A80">
      <w:pPr>
        <w:bidi w:val="0"/>
        <w:rPr>
          <w:b/>
          <w:bCs/>
          <w:sz w:val="16"/>
          <w:szCs w:val="16"/>
          <w:lang w:val="en-GB"/>
        </w:rPr>
      </w:pPr>
    </w:p>
    <w:p w14:paraId="6C969254" w14:textId="77777777" w:rsidR="00BB64B8" w:rsidRPr="007E67BB" w:rsidRDefault="00BB64B8" w:rsidP="00BB64B8">
      <w:pPr>
        <w:pStyle w:val="BodyText3"/>
        <w:rPr>
          <w:b/>
          <w:bCs/>
          <w:sz w:val="26"/>
          <w:szCs w:val="26"/>
        </w:rPr>
      </w:pPr>
      <w:r w:rsidRPr="007E67BB">
        <w:rPr>
          <w:b/>
          <w:bCs/>
          <w:sz w:val="26"/>
          <w:szCs w:val="26"/>
        </w:rPr>
        <w:t>Low Illiteracy Rate in Palestine</w:t>
      </w:r>
    </w:p>
    <w:p w14:paraId="67789BEC" w14:textId="77777777" w:rsidR="00BB64B8" w:rsidRPr="007E67BB" w:rsidRDefault="00BB64B8" w:rsidP="00BB64B8">
      <w:pPr>
        <w:pStyle w:val="BodyText3"/>
        <w:rPr>
          <w:sz w:val="26"/>
          <w:szCs w:val="26"/>
        </w:rPr>
      </w:pPr>
      <w:r w:rsidRPr="007E67BB">
        <w:rPr>
          <w:sz w:val="26"/>
          <w:szCs w:val="26"/>
        </w:rPr>
        <w:t xml:space="preserve">The Labor Force Survey 2020 data showed that illiteracy rate among individuals (15 years and above) in Palestine was 2.5%. The illiteracy gap </w:t>
      </w:r>
      <w:proofErr w:type="gramStart"/>
      <w:r w:rsidRPr="007E67BB">
        <w:rPr>
          <w:sz w:val="26"/>
          <w:szCs w:val="26"/>
        </w:rPr>
        <w:t>is significantly noticed</w:t>
      </w:r>
      <w:proofErr w:type="gramEnd"/>
      <w:r w:rsidRPr="007E67BB">
        <w:rPr>
          <w:sz w:val="26"/>
          <w:szCs w:val="26"/>
        </w:rPr>
        <w:t xml:space="preserve"> among males and females with percentages of 1.2% and 3.8%, respectively.  </w:t>
      </w:r>
    </w:p>
    <w:p w14:paraId="19028CDF" w14:textId="77777777" w:rsidR="00BB64B8" w:rsidRPr="007E67BB" w:rsidRDefault="00BB64B8" w:rsidP="00BB64B8">
      <w:pPr>
        <w:bidi w:val="0"/>
        <w:rPr>
          <w:b/>
          <w:bCs/>
          <w:sz w:val="16"/>
          <w:szCs w:val="16"/>
          <w:rtl/>
        </w:rPr>
      </w:pPr>
    </w:p>
    <w:p w14:paraId="3AF8470E" w14:textId="77777777" w:rsidR="007E67BB" w:rsidRDefault="00BB64B8" w:rsidP="00BB64B8">
      <w:pPr>
        <w:bidi w:val="0"/>
        <w:jc w:val="center"/>
        <w:rPr>
          <w:b/>
          <w:bCs/>
          <w:sz w:val="26"/>
          <w:szCs w:val="26"/>
          <w:rtl/>
        </w:rPr>
      </w:pPr>
      <w:r w:rsidRPr="007E67BB">
        <w:rPr>
          <w:b/>
          <w:bCs/>
          <w:sz w:val="26"/>
          <w:szCs w:val="26"/>
        </w:rPr>
        <w:t>Illiteracy Rates among Palestinian Population (15 years and above) in Palestine by Sex:</w:t>
      </w:r>
    </w:p>
    <w:p w14:paraId="11E2FC37" w14:textId="044089EF" w:rsidR="00BB64B8" w:rsidRPr="007E67BB" w:rsidRDefault="00BB64B8" w:rsidP="007E67BB">
      <w:pPr>
        <w:bidi w:val="0"/>
        <w:jc w:val="center"/>
        <w:rPr>
          <w:b/>
          <w:bCs/>
          <w:sz w:val="26"/>
          <w:szCs w:val="26"/>
        </w:rPr>
      </w:pPr>
      <w:r w:rsidRPr="007E67BB">
        <w:rPr>
          <w:b/>
          <w:bCs/>
          <w:sz w:val="26"/>
          <w:szCs w:val="26"/>
        </w:rPr>
        <w:t xml:space="preserve"> 2000-2020</w:t>
      </w:r>
    </w:p>
    <w:p w14:paraId="4BF27C1B" w14:textId="77777777" w:rsidR="00BB64B8" w:rsidRPr="009B1A86" w:rsidRDefault="00BB64B8" w:rsidP="00BB64B8">
      <w:pPr>
        <w:pStyle w:val="BodyText3"/>
        <w:jc w:val="center"/>
        <w:rPr>
          <w:b/>
          <w:bCs/>
          <w:sz w:val="12"/>
          <w:szCs w:val="12"/>
          <w:lang w:eastAsia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856"/>
      </w:tblGrid>
      <w:tr w:rsidR="00BB64B8" w:rsidRPr="009B1A86" w14:paraId="202FFCB5" w14:textId="77777777" w:rsidTr="006B3F5F">
        <w:tc>
          <w:tcPr>
            <w:tcW w:w="7938" w:type="dxa"/>
          </w:tcPr>
          <w:p w14:paraId="30900581" w14:textId="77777777" w:rsidR="00BB64B8" w:rsidRPr="009B1A86" w:rsidRDefault="00BB64B8" w:rsidP="006B3F5F">
            <w:pPr>
              <w:pStyle w:val="BodyText3"/>
              <w:jc w:val="center"/>
              <w:rPr>
                <w:b/>
                <w:bCs/>
                <w:sz w:val="32"/>
                <w:szCs w:val="32"/>
              </w:rPr>
            </w:pPr>
            <w:r w:rsidRPr="009B1A86">
              <w:rPr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64F39587" wp14:editId="7F619AAE">
                  <wp:extent cx="5486400" cy="227647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6BFE733C" w14:textId="45D1F8B1" w:rsidR="007F6815" w:rsidRDefault="007F6815" w:rsidP="006E3C0E">
      <w:pPr>
        <w:pStyle w:val="BodyTextIndent"/>
        <w:tabs>
          <w:tab w:val="right" w:pos="8100"/>
        </w:tabs>
        <w:ind w:right="71"/>
        <w:rPr>
          <w:rFonts w:cs="Times New Roman"/>
          <w:sz w:val="16"/>
          <w:szCs w:val="16"/>
          <w:rtl/>
        </w:rPr>
      </w:pPr>
      <w:r>
        <w:rPr>
          <w:rFonts w:cs="Times New Roman" w:hint="cs"/>
          <w:b/>
          <w:bCs/>
          <w:sz w:val="16"/>
          <w:szCs w:val="16"/>
          <w:rtl/>
        </w:rPr>
        <w:t xml:space="preserve">              </w:t>
      </w:r>
      <w:r w:rsidRPr="007F6815">
        <w:rPr>
          <w:rFonts w:cs="Times New Roman"/>
          <w:b/>
          <w:bCs/>
          <w:sz w:val="16"/>
          <w:szCs w:val="16"/>
        </w:rPr>
        <w:t xml:space="preserve">Source: Palestinian Central Bureau of Statistics, 2021. </w:t>
      </w:r>
      <w:r w:rsidRPr="007F6815">
        <w:rPr>
          <w:rFonts w:cs="Times New Roman"/>
          <w:sz w:val="16"/>
          <w:szCs w:val="16"/>
        </w:rPr>
        <w:t xml:space="preserve">Database </w:t>
      </w:r>
      <w:r>
        <w:rPr>
          <w:rFonts w:cs="Times New Roman"/>
          <w:sz w:val="16"/>
          <w:szCs w:val="16"/>
        </w:rPr>
        <w:t>of</w:t>
      </w:r>
      <w:r w:rsidRPr="007F6815">
        <w:rPr>
          <w:rFonts w:cs="Times New Roman"/>
          <w:sz w:val="16"/>
          <w:szCs w:val="16"/>
        </w:rPr>
        <w:t xml:space="preserve"> the</w:t>
      </w:r>
      <w:r>
        <w:rPr>
          <w:rFonts w:cs="Times New Roman"/>
          <w:sz w:val="16"/>
          <w:szCs w:val="16"/>
        </w:rPr>
        <w:t xml:space="preserve"> </w:t>
      </w:r>
      <w:r w:rsidR="006E3C0E">
        <w:rPr>
          <w:rFonts w:cs="Times New Roman"/>
          <w:sz w:val="16"/>
          <w:szCs w:val="16"/>
        </w:rPr>
        <w:t>L</w:t>
      </w:r>
      <w:r w:rsidR="006E3C0E" w:rsidRPr="007F6815">
        <w:rPr>
          <w:rFonts w:cs="Times New Roman"/>
          <w:sz w:val="16"/>
          <w:szCs w:val="16"/>
        </w:rPr>
        <w:t xml:space="preserve">abor </w:t>
      </w:r>
      <w:r w:rsidR="006E3C0E">
        <w:rPr>
          <w:rFonts w:cs="Times New Roman"/>
          <w:sz w:val="16"/>
          <w:szCs w:val="16"/>
        </w:rPr>
        <w:t>F</w:t>
      </w:r>
      <w:r w:rsidR="006E3C0E" w:rsidRPr="007F6815">
        <w:rPr>
          <w:rFonts w:cs="Times New Roman"/>
          <w:sz w:val="16"/>
          <w:szCs w:val="16"/>
        </w:rPr>
        <w:t xml:space="preserve">orce </w:t>
      </w:r>
      <w:r w:rsidR="006E3C0E">
        <w:rPr>
          <w:rFonts w:cs="Times New Roman"/>
          <w:sz w:val="16"/>
          <w:szCs w:val="16"/>
        </w:rPr>
        <w:t>S</w:t>
      </w:r>
      <w:r w:rsidR="006E3C0E" w:rsidRPr="007F6815">
        <w:rPr>
          <w:rFonts w:cs="Times New Roman"/>
          <w:sz w:val="16"/>
          <w:szCs w:val="16"/>
        </w:rPr>
        <w:t>urvey</w:t>
      </w:r>
      <w:r w:rsidR="006E3C0E">
        <w:rPr>
          <w:rFonts w:cs="Times New Roman"/>
          <w:sz w:val="16"/>
          <w:szCs w:val="16"/>
        </w:rPr>
        <w:t xml:space="preserve"> </w:t>
      </w:r>
      <w:r w:rsidRPr="007F6815">
        <w:rPr>
          <w:rFonts w:cs="Times New Roman"/>
          <w:sz w:val="16"/>
          <w:szCs w:val="16"/>
        </w:rPr>
        <w:t xml:space="preserve">2007-2020. Ramallah - Palestine. </w:t>
      </w:r>
    </w:p>
    <w:p w14:paraId="1B97A994" w14:textId="77777777" w:rsidR="00BB64B8" w:rsidRPr="007F6815" w:rsidRDefault="007F6815" w:rsidP="007F6815">
      <w:pPr>
        <w:pStyle w:val="BodyTextIndent"/>
        <w:tabs>
          <w:tab w:val="right" w:pos="8100"/>
        </w:tabs>
        <w:ind w:right="71"/>
        <w:rPr>
          <w:rFonts w:cs="Times New Roman"/>
          <w:sz w:val="16"/>
          <w:szCs w:val="16"/>
        </w:rPr>
      </w:pPr>
      <w:r w:rsidRPr="007F6815">
        <w:rPr>
          <w:rFonts w:cs="Times New Roman"/>
          <w:sz w:val="16"/>
          <w:szCs w:val="16"/>
        </w:rPr>
        <w:t xml:space="preserve"> </w:t>
      </w:r>
    </w:p>
    <w:p w14:paraId="5EC6B5C3" w14:textId="77777777" w:rsidR="00883D38" w:rsidRPr="007E67BB" w:rsidRDefault="00883D38" w:rsidP="00883D3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26"/>
          <w:szCs w:val="26"/>
        </w:rPr>
      </w:pPr>
      <w:r w:rsidRPr="007E67BB">
        <w:rPr>
          <w:rFonts w:cs="Times New Roman"/>
          <w:b/>
          <w:bCs/>
          <w:sz w:val="26"/>
          <w:szCs w:val="26"/>
        </w:rPr>
        <w:t>About One-fourth of the Labor Force Participants were Unemployed</w:t>
      </w:r>
    </w:p>
    <w:p w14:paraId="0837D448" w14:textId="52A7D16D" w:rsidR="00883D38" w:rsidRPr="007E67BB" w:rsidRDefault="00E07B5C" w:rsidP="000F49EE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r w:rsidRPr="007E67BB">
        <w:rPr>
          <w:rFonts w:cs="Times New Roman"/>
          <w:sz w:val="26"/>
          <w:szCs w:val="26"/>
        </w:rPr>
        <w:t>R</w:t>
      </w:r>
      <w:r w:rsidR="00883D38" w:rsidRPr="007E67BB">
        <w:rPr>
          <w:rFonts w:cs="Times New Roman"/>
          <w:sz w:val="26"/>
          <w:szCs w:val="26"/>
        </w:rPr>
        <w:t xml:space="preserve">esults also showed that more than one-fourth of the participants in the </w:t>
      </w:r>
      <w:proofErr w:type="spellStart"/>
      <w:r w:rsidR="00883D38" w:rsidRPr="007E67BB">
        <w:rPr>
          <w:rFonts w:cs="Times New Roman"/>
          <w:sz w:val="26"/>
          <w:szCs w:val="26"/>
        </w:rPr>
        <w:t>labour</w:t>
      </w:r>
      <w:proofErr w:type="spellEnd"/>
      <w:r w:rsidR="00883D38" w:rsidRPr="007E67BB">
        <w:rPr>
          <w:rFonts w:cs="Times New Roman"/>
          <w:sz w:val="26"/>
          <w:szCs w:val="26"/>
        </w:rPr>
        <w:t xml:space="preserve"> force were unemployed in 2020, where the percentage reached 26%</w:t>
      </w:r>
      <w:r w:rsidR="000F49EE" w:rsidRPr="007E67BB">
        <w:rPr>
          <w:rFonts w:cs="Times New Roman"/>
          <w:sz w:val="26"/>
          <w:szCs w:val="26"/>
        </w:rPr>
        <w:t xml:space="preserve"> (</w:t>
      </w:r>
      <w:r w:rsidR="00883D38" w:rsidRPr="007E67BB">
        <w:rPr>
          <w:rFonts w:cs="Times New Roman"/>
          <w:sz w:val="26"/>
          <w:szCs w:val="26"/>
        </w:rPr>
        <w:t>16% in the West Bank and 47% in Gaza Strip</w:t>
      </w:r>
      <w:r w:rsidR="000F49EE" w:rsidRPr="007E67BB">
        <w:rPr>
          <w:rFonts w:cs="Times New Roman"/>
          <w:sz w:val="26"/>
          <w:szCs w:val="26"/>
        </w:rPr>
        <w:t>)</w:t>
      </w:r>
      <w:r w:rsidR="00883D38" w:rsidRPr="007E67BB">
        <w:rPr>
          <w:rFonts w:cs="Times New Roman"/>
          <w:sz w:val="26"/>
          <w:szCs w:val="26"/>
        </w:rPr>
        <w:t xml:space="preserve">. </w:t>
      </w:r>
      <w:r w:rsidR="006E3C0E" w:rsidRPr="007E67BB">
        <w:rPr>
          <w:rFonts w:cs="Times New Roman"/>
          <w:sz w:val="26"/>
          <w:szCs w:val="26"/>
        </w:rPr>
        <w:t>Accordingly, u</w:t>
      </w:r>
      <w:r w:rsidR="00883D38" w:rsidRPr="007E67BB">
        <w:rPr>
          <w:rFonts w:cs="Times New Roman"/>
          <w:sz w:val="26"/>
          <w:szCs w:val="26"/>
        </w:rPr>
        <w:t xml:space="preserve">nemployment rate reached 40% among females compared to 23% among males. </w:t>
      </w:r>
    </w:p>
    <w:p w14:paraId="4DA4A621" w14:textId="4005EACF" w:rsidR="007E67BB" w:rsidRPr="007E67BB" w:rsidRDefault="007E67BB" w:rsidP="00883D38">
      <w:pPr>
        <w:pStyle w:val="BodyTextIndent"/>
        <w:tabs>
          <w:tab w:val="right" w:pos="8100"/>
        </w:tabs>
        <w:ind w:right="71"/>
        <w:rPr>
          <w:rFonts w:cs="Times New Roman"/>
          <w:b/>
          <w:bCs/>
          <w:sz w:val="16"/>
          <w:szCs w:val="16"/>
        </w:rPr>
      </w:pPr>
    </w:p>
    <w:p w14:paraId="47F6859E" w14:textId="77777777" w:rsidR="00883D38" w:rsidRPr="007E67BB" w:rsidRDefault="00883D38" w:rsidP="00883D38">
      <w:pPr>
        <w:jc w:val="center"/>
        <w:rPr>
          <w:b/>
          <w:bCs/>
          <w:sz w:val="26"/>
          <w:szCs w:val="26"/>
          <w:rtl/>
        </w:rPr>
      </w:pPr>
      <w:r w:rsidRPr="007E67BB">
        <w:rPr>
          <w:b/>
          <w:bCs/>
          <w:sz w:val="26"/>
          <w:szCs w:val="26"/>
        </w:rPr>
        <w:t xml:space="preserve">Unemployment Rate among </w:t>
      </w:r>
      <w:proofErr w:type="spellStart"/>
      <w:r w:rsidRPr="007E67BB">
        <w:rPr>
          <w:b/>
          <w:bCs/>
          <w:sz w:val="26"/>
          <w:szCs w:val="26"/>
        </w:rPr>
        <w:t>Labour</w:t>
      </w:r>
      <w:proofErr w:type="spellEnd"/>
      <w:r w:rsidRPr="007E67BB">
        <w:rPr>
          <w:b/>
          <w:bCs/>
          <w:sz w:val="26"/>
          <w:szCs w:val="26"/>
        </w:rPr>
        <w:t xml:space="preserve"> Force Participants (15 years and above) in Palestine by Region: 2015-2020</w:t>
      </w:r>
    </w:p>
    <w:p w14:paraId="5770CF9F" w14:textId="77777777" w:rsidR="00883D38" w:rsidRPr="009B1A86" w:rsidRDefault="00883D38" w:rsidP="00883D38">
      <w:pPr>
        <w:bidi w:val="0"/>
        <w:rPr>
          <w:rFonts w:asciiTheme="majorBidi" w:hAnsiTheme="majorBidi" w:cstheme="majorBidi"/>
          <w:b/>
          <w:bCs/>
          <w:sz w:val="18"/>
          <w:szCs w:val="18"/>
          <w:lang w:eastAsia="ar-SA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788"/>
      </w:tblGrid>
      <w:tr w:rsidR="007F6815" w:rsidRPr="009B1A86" w14:paraId="49F4CC58" w14:textId="77777777" w:rsidTr="006B3F5F">
        <w:tc>
          <w:tcPr>
            <w:tcW w:w="8788" w:type="dxa"/>
          </w:tcPr>
          <w:p w14:paraId="1DD9DCB5" w14:textId="77777777" w:rsidR="00883D38" w:rsidRPr="009B1A86" w:rsidRDefault="00883D38" w:rsidP="006B3F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ar-SA"/>
              </w:rPr>
            </w:pPr>
            <w:r w:rsidRPr="009B1A8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378B4B9" wp14:editId="68B9D22E">
                  <wp:extent cx="4547616" cy="1962912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4F501579" w14:textId="0FCC4DD7" w:rsidR="00883D38" w:rsidRPr="007F6815" w:rsidRDefault="007F6815" w:rsidP="00E07B5C">
      <w:pPr>
        <w:bidi w:val="0"/>
        <w:ind w:hanging="567"/>
        <w:jc w:val="center"/>
        <w:rPr>
          <w:rFonts w:asciiTheme="majorBidi" w:hAnsiTheme="majorBidi" w:cstheme="majorBidi"/>
          <w:sz w:val="16"/>
          <w:szCs w:val="16"/>
          <w:lang w:eastAsia="ar-SA"/>
        </w:rPr>
      </w:pPr>
      <w:r w:rsidRPr="007F6815">
        <w:rPr>
          <w:rFonts w:asciiTheme="majorBidi" w:hAnsiTheme="majorBidi" w:cstheme="majorBidi"/>
          <w:b/>
          <w:bCs/>
          <w:sz w:val="16"/>
          <w:szCs w:val="16"/>
          <w:lang w:eastAsia="ar-SA"/>
        </w:rPr>
        <w:t xml:space="preserve">Source: Palestinian Central Bureau of Statistics, 2021. </w:t>
      </w:r>
      <w:r w:rsidRPr="007F6815">
        <w:rPr>
          <w:rFonts w:asciiTheme="majorBidi" w:hAnsiTheme="majorBidi" w:cstheme="majorBidi"/>
          <w:sz w:val="16"/>
          <w:szCs w:val="16"/>
          <w:lang w:eastAsia="ar-SA"/>
        </w:rPr>
        <w:t>Database</w:t>
      </w:r>
      <w:r>
        <w:rPr>
          <w:rFonts w:asciiTheme="majorBidi" w:hAnsiTheme="majorBidi" w:cstheme="majorBidi" w:hint="cs"/>
          <w:sz w:val="16"/>
          <w:szCs w:val="16"/>
          <w:rtl/>
          <w:lang w:eastAsia="ar-SA"/>
        </w:rPr>
        <w:t xml:space="preserve"> </w:t>
      </w:r>
      <w:r>
        <w:rPr>
          <w:rFonts w:asciiTheme="majorBidi" w:hAnsiTheme="majorBidi" w:cstheme="majorBidi"/>
          <w:sz w:val="16"/>
          <w:szCs w:val="16"/>
          <w:lang w:eastAsia="ar-SA"/>
        </w:rPr>
        <w:t>of</w:t>
      </w:r>
      <w:r w:rsidRPr="007F6815">
        <w:rPr>
          <w:rFonts w:asciiTheme="majorBidi" w:hAnsiTheme="majorBidi" w:cstheme="majorBidi"/>
          <w:sz w:val="16"/>
          <w:szCs w:val="16"/>
          <w:lang w:eastAsia="ar-SA"/>
        </w:rPr>
        <w:t xml:space="preserve"> the </w:t>
      </w:r>
      <w:r w:rsidR="00E07B5C">
        <w:rPr>
          <w:rFonts w:asciiTheme="majorBidi" w:hAnsiTheme="majorBidi" w:cstheme="majorBidi"/>
          <w:sz w:val="16"/>
          <w:szCs w:val="16"/>
          <w:lang w:eastAsia="ar-SA"/>
        </w:rPr>
        <w:t>L</w:t>
      </w:r>
      <w:r w:rsidR="00E07B5C" w:rsidRPr="007F6815">
        <w:rPr>
          <w:rFonts w:asciiTheme="majorBidi" w:hAnsiTheme="majorBidi" w:cstheme="majorBidi"/>
          <w:sz w:val="16"/>
          <w:szCs w:val="16"/>
          <w:lang w:eastAsia="ar-SA"/>
        </w:rPr>
        <w:t xml:space="preserve">abor </w:t>
      </w:r>
      <w:r w:rsidR="00E07B5C">
        <w:rPr>
          <w:rFonts w:asciiTheme="majorBidi" w:hAnsiTheme="majorBidi" w:cstheme="majorBidi"/>
          <w:sz w:val="16"/>
          <w:szCs w:val="16"/>
          <w:lang w:eastAsia="ar-SA"/>
        </w:rPr>
        <w:t>F</w:t>
      </w:r>
      <w:r w:rsidR="00E07B5C" w:rsidRPr="007F6815">
        <w:rPr>
          <w:rFonts w:asciiTheme="majorBidi" w:hAnsiTheme="majorBidi" w:cstheme="majorBidi"/>
          <w:sz w:val="16"/>
          <w:szCs w:val="16"/>
          <w:lang w:eastAsia="ar-SA"/>
        </w:rPr>
        <w:t xml:space="preserve">orce </w:t>
      </w:r>
      <w:r w:rsidR="00E07B5C">
        <w:rPr>
          <w:rFonts w:asciiTheme="majorBidi" w:hAnsiTheme="majorBidi" w:cstheme="majorBidi"/>
          <w:sz w:val="16"/>
          <w:szCs w:val="16"/>
          <w:lang w:eastAsia="ar-SA"/>
        </w:rPr>
        <w:t>S</w:t>
      </w:r>
      <w:r w:rsidR="00E07B5C" w:rsidRPr="007F6815">
        <w:rPr>
          <w:rFonts w:asciiTheme="majorBidi" w:hAnsiTheme="majorBidi" w:cstheme="majorBidi"/>
          <w:sz w:val="16"/>
          <w:szCs w:val="16"/>
          <w:lang w:eastAsia="ar-SA"/>
        </w:rPr>
        <w:t>urvey</w:t>
      </w:r>
      <w:proofErr w:type="gramStart"/>
      <w:r w:rsidRPr="007F6815">
        <w:rPr>
          <w:rFonts w:asciiTheme="majorBidi" w:hAnsiTheme="majorBidi" w:cstheme="majorBidi" w:hint="cs"/>
          <w:sz w:val="16"/>
          <w:szCs w:val="16"/>
          <w:rtl/>
          <w:lang w:eastAsia="ar-SA"/>
        </w:rPr>
        <w:t>,</w:t>
      </w:r>
      <w:r w:rsidR="006E3C0E">
        <w:rPr>
          <w:rFonts w:asciiTheme="majorBidi" w:hAnsiTheme="majorBidi" w:cstheme="majorBidi"/>
          <w:sz w:val="16"/>
          <w:szCs w:val="16"/>
          <w:lang w:eastAsia="ar-SA"/>
        </w:rPr>
        <w:t xml:space="preserve"> </w:t>
      </w:r>
      <w:r w:rsidRPr="007F6815">
        <w:rPr>
          <w:rFonts w:asciiTheme="majorBidi" w:hAnsiTheme="majorBidi" w:cstheme="majorBidi" w:hint="cs"/>
          <w:sz w:val="16"/>
          <w:szCs w:val="16"/>
          <w:rtl/>
          <w:lang w:eastAsia="ar-SA"/>
        </w:rPr>
        <w:t xml:space="preserve"> </w:t>
      </w:r>
      <w:r w:rsidRPr="007F6815">
        <w:rPr>
          <w:rFonts w:asciiTheme="majorBidi" w:hAnsiTheme="majorBidi" w:cstheme="majorBidi"/>
          <w:sz w:val="16"/>
          <w:szCs w:val="16"/>
          <w:lang w:eastAsia="ar-SA"/>
        </w:rPr>
        <w:t>2020</w:t>
      </w:r>
      <w:proofErr w:type="gramEnd"/>
      <w:r w:rsidRPr="007F6815">
        <w:rPr>
          <w:rFonts w:asciiTheme="majorBidi" w:hAnsiTheme="majorBidi" w:cstheme="majorBidi"/>
          <w:sz w:val="16"/>
          <w:szCs w:val="16"/>
          <w:lang w:eastAsia="ar-SA"/>
        </w:rPr>
        <w:t>. Ramallah - Palestine.</w:t>
      </w:r>
    </w:p>
    <w:p w14:paraId="4E54A410" w14:textId="77777777" w:rsidR="000D2A9B" w:rsidRPr="007F6815" w:rsidRDefault="000D2A9B" w:rsidP="000D2A9B">
      <w:pPr>
        <w:bidi w:val="0"/>
        <w:rPr>
          <w:rFonts w:asciiTheme="majorBidi" w:hAnsiTheme="majorBidi" w:cstheme="majorBidi"/>
          <w:sz w:val="18"/>
          <w:szCs w:val="18"/>
          <w:lang w:eastAsia="ar-SA"/>
        </w:rPr>
      </w:pPr>
    </w:p>
    <w:p w14:paraId="0EE86471" w14:textId="77777777" w:rsidR="00735F7F" w:rsidRPr="007E67BB" w:rsidRDefault="00735F7F" w:rsidP="00735F7F">
      <w:pPr>
        <w:bidi w:val="0"/>
        <w:jc w:val="both"/>
        <w:rPr>
          <w:b/>
          <w:bCs/>
          <w:sz w:val="26"/>
          <w:szCs w:val="26"/>
          <w:lang w:eastAsia="ar-SA"/>
        </w:rPr>
      </w:pPr>
      <w:r w:rsidRPr="007E67BB">
        <w:rPr>
          <w:b/>
          <w:bCs/>
          <w:sz w:val="26"/>
          <w:szCs w:val="26"/>
          <w:lang w:eastAsia="ar-SA"/>
        </w:rPr>
        <w:t>About 80% of Palestinian Households Have Access to Internet at Home</w:t>
      </w:r>
    </w:p>
    <w:p w14:paraId="54B10006" w14:textId="77777777" w:rsidR="007E67BB" w:rsidRDefault="00E07B5C" w:rsidP="006D5D12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r w:rsidRPr="007E67BB">
        <w:rPr>
          <w:rFonts w:cs="Times New Roman"/>
          <w:sz w:val="26"/>
          <w:szCs w:val="26"/>
        </w:rPr>
        <w:t>R</w:t>
      </w:r>
      <w:r w:rsidR="00735F7F" w:rsidRPr="007E67BB">
        <w:rPr>
          <w:rFonts w:cs="Times New Roman"/>
          <w:sz w:val="26"/>
          <w:szCs w:val="26"/>
        </w:rPr>
        <w:t>esults of the Household Survey on Information and Communications Technology, 2019 showed that 80</w:t>
      </w:r>
      <w:r w:rsidR="005A620E" w:rsidRPr="007E67BB">
        <w:rPr>
          <w:rFonts w:cs="Times New Roman"/>
          <w:sz w:val="26"/>
          <w:szCs w:val="26"/>
        </w:rPr>
        <w:t>%</w:t>
      </w:r>
      <w:r w:rsidR="00735F7F" w:rsidRPr="007E67BB">
        <w:rPr>
          <w:rFonts w:cs="Times New Roman"/>
          <w:sz w:val="26"/>
          <w:szCs w:val="26"/>
        </w:rPr>
        <w:t xml:space="preserve"> of the households in Palestine have internet access at home (84% in the West Bank and 73% in Gaza Strip).  While the percentage of individuals aged (10 years and above) who used the internet from anywhere reached 71% in Palestine (74% in the West Bank and 65% in Gaza Strip).  </w:t>
      </w:r>
    </w:p>
    <w:p w14:paraId="19E00520" w14:textId="77777777" w:rsidR="007E67BB" w:rsidRDefault="007E67BB" w:rsidP="006D5D12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</w:p>
    <w:p w14:paraId="04620F42" w14:textId="411691B1" w:rsidR="00735F7F" w:rsidRPr="007E67BB" w:rsidRDefault="005A620E" w:rsidP="006D5D12">
      <w:pPr>
        <w:pStyle w:val="BodyTextIndent"/>
        <w:tabs>
          <w:tab w:val="right" w:pos="8100"/>
        </w:tabs>
        <w:ind w:right="71"/>
        <w:rPr>
          <w:sz w:val="26"/>
          <w:szCs w:val="26"/>
        </w:rPr>
      </w:pPr>
      <w:r w:rsidRPr="007E67BB">
        <w:rPr>
          <w:rFonts w:cs="Times New Roman"/>
          <w:sz w:val="26"/>
          <w:szCs w:val="26"/>
        </w:rPr>
        <w:lastRenderedPageBreak/>
        <w:t xml:space="preserve">Data also </w:t>
      </w:r>
      <w:r w:rsidR="00735F7F" w:rsidRPr="007E67BB">
        <w:rPr>
          <w:rFonts w:cs="Times New Roman"/>
          <w:sz w:val="26"/>
          <w:szCs w:val="26"/>
        </w:rPr>
        <w:t>showed that the percentage of male</w:t>
      </w:r>
      <w:r w:rsidRPr="007E67BB">
        <w:rPr>
          <w:rFonts w:cs="Times New Roman"/>
          <w:sz w:val="26"/>
          <w:szCs w:val="26"/>
        </w:rPr>
        <w:t>s who</w:t>
      </w:r>
      <w:r w:rsidR="00735F7F" w:rsidRPr="007E67BB">
        <w:rPr>
          <w:rFonts w:cs="Times New Roman"/>
          <w:sz w:val="26"/>
          <w:szCs w:val="26"/>
        </w:rPr>
        <w:t xml:space="preserve"> used internet reached 72% compared to 69% for females.</w:t>
      </w:r>
      <w:r w:rsidR="00E05400" w:rsidRPr="007E67BB">
        <w:rPr>
          <w:rFonts w:cs="Times New Roman"/>
          <w:sz w:val="26"/>
          <w:szCs w:val="26"/>
        </w:rPr>
        <w:t xml:space="preserve"> Data also showed that the percentage of households that own one </w:t>
      </w:r>
      <w:r w:rsidR="006E3C0E" w:rsidRPr="007E67BB">
        <w:rPr>
          <w:rFonts w:cs="Times New Roman"/>
          <w:sz w:val="26"/>
          <w:szCs w:val="26"/>
        </w:rPr>
        <w:t>smart</w:t>
      </w:r>
      <w:r w:rsidR="00E05400" w:rsidRPr="007E67BB">
        <w:rPr>
          <w:rFonts w:cs="Times New Roman"/>
          <w:sz w:val="26"/>
          <w:szCs w:val="26"/>
        </w:rPr>
        <w:t>phone or more was 86% in Palestine (91% in the West Bank and 78% in Gaza Strip)</w:t>
      </w:r>
      <w:r w:rsidR="00E05400" w:rsidRPr="007E67BB">
        <w:rPr>
          <w:rFonts w:cs="Times New Roman"/>
          <w:sz w:val="26"/>
          <w:szCs w:val="26"/>
          <w:rtl/>
        </w:rPr>
        <w:t>.</w:t>
      </w:r>
      <w:r w:rsidR="00254EAD" w:rsidRPr="007E67BB">
        <w:rPr>
          <w:rFonts w:cs="Times New Roman"/>
          <w:sz w:val="26"/>
          <w:szCs w:val="26"/>
        </w:rPr>
        <w:t xml:space="preserve"> </w:t>
      </w:r>
      <w:r w:rsidR="006E3C0E" w:rsidRPr="007E67BB">
        <w:rPr>
          <w:rFonts w:cs="Times New Roman"/>
          <w:sz w:val="26"/>
          <w:szCs w:val="26"/>
        </w:rPr>
        <w:t>Moreover</w:t>
      </w:r>
      <w:r w:rsidR="00E05400" w:rsidRPr="007E67BB">
        <w:rPr>
          <w:rFonts w:cs="Times New Roman"/>
          <w:sz w:val="26"/>
          <w:szCs w:val="26"/>
        </w:rPr>
        <w:t xml:space="preserve">, the results of the survey showed that the percentage of individuals </w:t>
      </w:r>
      <w:r w:rsidR="006E3C0E" w:rsidRPr="007E67BB">
        <w:rPr>
          <w:rFonts w:cs="Times New Roman"/>
          <w:sz w:val="26"/>
          <w:szCs w:val="26"/>
        </w:rPr>
        <w:t xml:space="preserve">aged </w:t>
      </w:r>
      <w:r w:rsidR="00E05400" w:rsidRPr="007E67BB">
        <w:rPr>
          <w:rFonts w:cs="Times New Roman"/>
          <w:sz w:val="26"/>
          <w:szCs w:val="26"/>
        </w:rPr>
        <w:t>(10 years and above) who own a cellular mobile was 75% in Palestine (82% in the West Bank and 64% in Gaza Strip)</w:t>
      </w:r>
      <w:proofErr w:type="gramStart"/>
      <w:r w:rsidR="00E05400" w:rsidRPr="007E67BB">
        <w:rPr>
          <w:rFonts w:cs="Times New Roman"/>
          <w:sz w:val="26"/>
          <w:szCs w:val="26"/>
        </w:rPr>
        <w:t>;</w:t>
      </w:r>
      <w:proofErr w:type="gramEnd"/>
      <w:r w:rsidR="00E05400" w:rsidRPr="007E67BB">
        <w:rPr>
          <w:rFonts w:cs="Times New Roman"/>
          <w:sz w:val="26"/>
          <w:szCs w:val="26"/>
        </w:rPr>
        <w:t xml:space="preserve"> 79% for males and 71% for </w:t>
      </w:r>
      <w:r w:rsidR="006D5D12" w:rsidRPr="007E67BB">
        <w:rPr>
          <w:rFonts w:cs="Times New Roman"/>
          <w:sz w:val="26"/>
          <w:szCs w:val="26"/>
        </w:rPr>
        <w:t>fe</w:t>
      </w:r>
      <w:r w:rsidR="00E05400" w:rsidRPr="007E67BB">
        <w:rPr>
          <w:rFonts w:cs="Times New Roman"/>
          <w:sz w:val="26"/>
          <w:szCs w:val="26"/>
        </w:rPr>
        <w:t xml:space="preserve">males.  </w:t>
      </w:r>
    </w:p>
    <w:p w14:paraId="40F0000A" w14:textId="77777777" w:rsidR="00D80400" w:rsidRPr="007E67BB" w:rsidRDefault="00D80400" w:rsidP="00D80400">
      <w:pPr>
        <w:pStyle w:val="BodyTextIndent"/>
        <w:tabs>
          <w:tab w:val="right" w:pos="8100"/>
        </w:tabs>
        <w:ind w:right="71"/>
        <w:rPr>
          <w:sz w:val="16"/>
          <w:szCs w:val="16"/>
        </w:rPr>
      </w:pPr>
    </w:p>
    <w:p w14:paraId="523E47CA" w14:textId="1F17EFFD" w:rsidR="00D80400" w:rsidRPr="007E67BB" w:rsidRDefault="00D80400" w:rsidP="000F49EE">
      <w:pPr>
        <w:bidi w:val="0"/>
        <w:jc w:val="both"/>
        <w:rPr>
          <w:b/>
          <w:bCs/>
          <w:sz w:val="26"/>
          <w:szCs w:val="26"/>
          <w:lang w:eastAsia="ar-SA"/>
        </w:rPr>
      </w:pPr>
      <w:proofErr w:type="gramStart"/>
      <w:r w:rsidRPr="007E67BB">
        <w:rPr>
          <w:b/>
          <w:bCs/>
          <w:sz w:val="26"/>
          <w:szCs w:val="26"/>
          <w:lang w:eastAsia="ar-SA"/>
        </w:rPr>
        <w:t>29%</w:t>
      </w:r>
      <w:proofErr w:type="gramEnd"/>
      <w:r w:rsidRPr="007E67BB">
        <w:rPr>
          <w:b/>
          <w:bCs/>
          <w:sz w:val="26"/>
          <w:szCs w:val="26"/>
          <w:lang w:eastAsia="ar-SA"/>
        </w:rPr>
        <w:t xml:space="preserve"> of </w:t>
      </w:r>
      <w:r w:rsidR="00650E75" w:rsidRPr="007E67BB">
        <w:rPr>
          <w:b/>
          <w:bCs/>
          <w:sz w:val="26"/>
          <w:szCs w:val="26"/>
          <w:lang w:eastAsia="ar-SA"/>
        </w:rPr>
        <w:t xml:space="preserve">the households </w:t>
      </w:r>
      <w:r w:rsidRPr="007E67BB">
        <w:rPr>
          <w:b/>
          <w:bCs/>
          <w:sz w:val="26"/>
          <w:szCs w:val="26"/>
          <w:lang w:eastAsia="ar-SA"/>
        </w:rPr>
        <w:t xml:space="preserve">in which at least one </w:t>
      </w:r>
      <w:r w:rsidR="00650E75" w:rsidRPr="007E67BB">
        <w:rPr>
          <w:b/>
          <w:bCs/>
          <w:sz w:val="26"/>
          <w:szCs w:val="26"/>
          <w:lang w:eastAsia="ar-SA"/>
        </w:rPr>
        <w:t>of their members</w:t>
      </w:r>
      <w:r w:rsidR="000F49EE" w:rsidRPr="007E67BB">
        <w:rPr>
          <w:b/>
          <w:bCs/>
          <w:sz w:val="26"/>
          <w:szCs w:val="26"/>
          <w:lang w:eastAsia="ar-SA"/>
        </w:rPr>
        <w:t>,</w:t>
      </w:r>
      <w:r w:rsidR="00650E75" w:rsidRPr="007E67BB">
        <w:rPr>
          <w:b/>
          <w:bCs/>
          <w:sz w:val="26"/>
          <w:szCs w:val="26"/>
          <w:lang w:eastAsia="ar-SA"/>
        </w:rPr>
        <w:t xml:space="preserve"> who w</w:t>
      </w:r>
      <w:r w:rsidR="000F49EE" w:rsidRPr="007E67BB">
        <w:rPr>
          <w:b/>
          <w:bCs/>
          <w:sz w:val="26"/>
          <w:szCs w:val="26"/>
          <w:lang w:eastAsia="ar-SA"/>
        </w:rPr>
        <w:t>as</w:t>
      </w:r>
      <w:r w:rsidR="00650E75" w:rsidRPr="007E67BB">
        <w:rPr>
          <w:b/>
          <w:bCs/>
          <w:sz w:val="26"/>
          <w:szCs w:val="26"/>
          <w:lang w:eastAsia="ar-SA"/>
        </w:rPr>
        <w:t xml:space="preserve"> infected with </w:t>
      </w:r>
      <w:r w:rsidRPr="007E67BB">
        <w:rPr>
          <w:b/>
          <w:bCs/>
          <w:sz w:val="26"/>
          <w:szCs w:val="26"/>
          <w:lang w:eastAsia="ar-SA"/>
        </w:rPr>
        <w:t>COVID-19</w:t>
      </w:r>
      <w:r w:rsidR="000F49EE" w:rsidRPr="007E67BB">
        <w:rPr>
          <w:b/>
          <w:bCs/>
          <w:sz w:val="26"/>
          <w:szCs w:val="26"/>
          <w:lang w:eastAsia="ar-SA"/>
        </w:rPr>
        <w:t>,</w:t>
      </w:r>
      <w:r w:rsidRPr="007E67BB">
        <w:rPr>
          <w:b/>
          <w:bCs/>
          <w:sz w:val="26"/>
          <w:szCs w:val="26"/>
          <w:lang w:eastAsia="ar-SA"/>
        </w:rPr>
        <w:t xml:space="preserve"> </w:t>
      </w:r>
      <w:r w:rsidR="000F49EE" w:rsidRPr="007E67BB">
        <w:rPr>
          <w:b/>
          <w:bCs/>
          <w:sz w:val="26"/>
          <w:szCs w:val="26"/>
          <w:lang w:eastAsia="ar-SA"/>
        </w:rPr>
        <w:t xml:space="preserve">has </w:t>
      </w:r>
      <w:r w:rsidRPr="007E67BB">
        <w:rPr>
          <w:b/>
          <w:bCs/>
          <w:sz w:val="26"/>
          <w:szCs w:val="26"/>
          <w:lang w:eastAsia="ar-SA"/>
        </w:rPr>
        <w:t>experienced bullying</w:t>
      </w:r>
    </w:p>
    <w:p w14:paraId="3A54E727" w14:textId="30FADE2F" w:rsidR="00D80400" w:rsidRPr="007E67BB" w:rsidRDefault="00E07B5C" w:rsidP="00B30D06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proofErr w:type="gramStart"/>
      <w:r w:rsidRPr="007E67BB">
        <w:rPr>
          <w:rFonts w:cs="Times New Roman"/>
          <w:sz w:val="26"/>
          <w:szCs w:val="26"/>
        </w:rPr>
        <w:t>R</w:t>
      </w:r>
      <w:r w:rsidR="00D80400" w:rsidRPr="007E67BB">
        <w:rPr>
          <w:rFonts w:cs="Times New Roman"/>
          <w:sz w:val="26"/>
          <w:szCs w:val="26"/>
        </w:rPr>
        <w:t xml:space="preserve">esults of the </w:t>
      </w:r>
      <w:r w:rsidRPr="007E67BB">
        <w:rPr>
          <w:rFonts w:cs="Times New Roman"/>
          <w:sz w:val="26"/>
          <w:szCs w:val="26"/>
        </w:rPr>
        <w:t>COVID</w:t>
      </w:r>
      <w:r w:rsidR="00D80400" w:rsidRPr="007E67BB">
        <w:rPr>
          <w:rFonts w:cs="Times New Roman"/>
          <w:sz w:val="26"/>
          <w:szCs w:val="26"/>
        </w:rPr>
        <w:t xml:space="preserve">-19 </w:t>
      </w:r>
      <w:r w:rsidR="00650E75" w:rsidRPr="007E67BB">
        <w:rPr>
          <w:rFonts w:cs="Times New Roman"/>
          <w:sz w:val="26"/>
          <w:szCs w:val="26"/>
        </w:rPr>
        <w:t xml:space="preserve">Survey </w:t>
      </w:r>
      <w:r w:rsidR="00D80400" w:rsidRPr="007E67BB">
        <w:rPr>
          <w:rFonts w:cs="Times New Roman"/>
          <w:sz w:val="26"/>
          <w:szCs w:val="26"/>
        </w:rPr>
        <w:t>showed that 85% of Palestinian households expressed their concern about</w:t>
      </w:r>
      <w:r w:rsidR="00650E75" w:rsidRPr="007E67BB">
        <w:rPr>
          <w:rFonts w:cs="Times New Roman"/>
          <w:sz w:val="26"/>
          <w:szCs w:val="26"/>
        </w:rPr>
        <w:t xml:space="preserve"> catching the</w:t>
      </w:r>
      <w:r w:rsidR="00D80400" w:rsidRPr="007E67BB">
        <w:rPr>
          <w:rFonts w:cs="Times New Roman"/>
          <w:sz w:val="26"/>
          <w:szCs w:val="26"/>
        </w:rPr>
        <w:t xml:space="preserve"> infection </w:t>
      </w:r>
      <w:r w:rsidR="00650E75" w:rsidRPr="007E67BB">
        <w:rPr>
          <w:rFonts w:cs="Times New Roman"/>
          <w:sz w:val="26"/>
          <w:szCs w:val="26"/>
        </w:rPr>
        <w:t xml:space="preserve">of </w:t>
      </w:r>
      <w:r w:rsidRPr="007E67BB">
        <w:rPr>
          <w:rFonts w:cs="Times New Roman"/>
          <w:sz w:val="26"/>
          <w:szCs w:val="26"/>
        </w:rPr>
        <w:t>COVID</w:t>
      </w:r>
      <w:r w:rsidR="00D80400" w:rsidRPr="007E67BB">
        <w:rPr>
          <w:rFonts w:cs="Times New Roman"/>
          <w:sz w:val="26"/>
          <w:szCs w:val="26"/>
        </w:rPr>
        <w:t xml:space="preserve">-19 (of </w:t>
      </w:r>
      <w:r w:rsidR="00B30D06" w:rsidRPr="007E67BB">
        <w:rPr>
          <w:rFonts w:cs="Times New Roman"/>
          <w:sz w:val="26"/>
          <w:szCs w:val="26"/>
        </w:rPr>
        <w:t xml:space="preserve">whom </w:t>
      </w:r>
      <w:r w:rsidR="00D80400" w:rsidRPr="007E67BB">
        <w:rPr>
          <w:rFonts w:cs="Times New Roman"/>
          <w:sz w:val="26"/>
          <w:szCs w:val="26"/>
        </w:rPr>
        <w:t>35% were very worried about</w:t>
      </w:r>
      <w:r w:rsidR="00650E75" w:rsidRPr="007E67BB">
        <w:rPr>
          <w:rFonts w:cs="Times New Roman"/>
          <w:sz w:val="26"/>
          <w:szCs w:val="26"/>
        </w:rPr>
        <w:t xml:space="preserve"> the</w:t>
      </w:r>
      <w:r w:rsidR="00D80400" w:rsidRPr="007E67BB">
        <w:rPr>
          <w:rFonts w:cs="Times New Roman"/>
          <w:sz w:val="26"/>
          <w:szCs w:val="26"/>
        </w:rPr>
        <w:t xml:space="preserve"> infection), knowing that 15% of the </w:t>
      </w:r>
      <w:r w:rsidR="00650E75" w:rsidRPr="007E67BB">
        <w:rPr>
          <w:rFonts w:cs="Times New Roman"/>
          <w:sz w:val="26"/>
          <w:szCs w:val="26"/>
        </w:rPr>
        <w:t xml:space="preserve">households </w:t>
      </w:r>
      <w:r w:rsidR="00D80400" w:rsidRPr="007E67BB">
        <w:rPr>
          <w:rFonts w:cs="Times New Roman"/>
          <w:sz w:val="26"/>
          <w:szCs w:val="26"/>
        </w:rPr>
        <w:t xml:space="preserve">confirmed that at least one of them was infected with </w:t>
      </w:r>
      <w:r w:rsidRPr="007E67BB">
        <w:rPr>
          <w:rFonts w:cs="Times New Roman"/>
          <w:sz w:val="26"/>
          <w:szCs w:val="26"/>
        </w:rPr>
        <w:t>COVID</w:t>
      </w:r>
      <w:r w:rsidR="00D80400" w:rsidRPr="007E67BB">
        <w:rPr>
          <w:rFonts w:cs="Times New Roman"/>
          <w:sz w:val="26"/>
          <w:szCs w:val="26"/>
        </w:rPr>
        <w:t xml:space="preserve">-19, and 29 % of </w:t>
      </w:r>
      <w:r w:rsidR="00650E75" w:rsidRPr="007E67BB">
        <w:rPr>
          <w:rFonts w:cs="Times New Roman"/>
          <w:sz w:val="26"/>
          <w:szCs w:val="26"/>
        </w:rPr>
        <w:t xml:space="preserve">the households </w:t>
      </w:r>
      <w:r w:rsidR="00D80400" w:rsidRPr="007E67BB">
        <w:rPr>
          <w:rFonts w:cs="Times New Roman"/>
          <w:sz w:val="26"/>
          <w:szCs w:val="26"/>
        </w:rPr>
        <w:t xml:space="preserve">in which at least one </w:t>
      </w:r>
      <w:r w:rsidR="00650E75" w:rsidRPr="007E67BB">
        <w:rPr>
          <w:rFonts w:cs="Times New Roman"/>
          <w:sz w:val="26"/>
          <w:szCs w:val="26"/>
        </w:rPr>
        <w:t xml:space="preserve">member </w:t>
      </w:r>
      <w:r w:rsidR="00B30D06" w:rsidRPr="007E67BB">
        <w:rPr>
          <w:rFonts w:cs="Times New Roman"/>
          <w:sz w:val="26"/>
          <w:szCs w:val="26"/>
        </w:rPr>
        <w:t>was</w:t>
      </w:r>
      <w:r w:rsidR="00650E75" w:rsidRPr="007E67BB">
        <w:rPr>
          <w:rFonts w:cs="Times New Roman"/>
          <w:sz w:val="26"/>
          <w:szCs w:val="26"/>
        </w:rPr>
        <w:t xml:space="preserve"> infect</w:t>
      </w:r>
      <w:r w:rsidR="00B30D06" w:rsidRPr="007E67BB">
        <w:rPr>
          <w:rFonts w:cs="Times New Roman"/>
          <w:sz w:val="26"/>
          <w:szCs w:val="26"/>
        </w:rPr>
        <w:t>ed with</w:t>
      </w:r>
      <w:r w:rsidR="00650E75" w:rsidRPr="007E67BB">
        <w:rPr>
          <w:rFonts w:cs="Times New Roman"/>
          <w:sz w:val="26"/>
          <w:szCs w:val="26"/>
        </w:rPr>
        <w:t xml:space="preserve"> COVID-19 </w:t>
      </w:r>
      <w:r w:rsidR="00D80400" w:rsidRPr="007E67BB">
        <w:rPr>
          <w:rFonts w:cs="Times New Roman"/>
          <w:sz w:val="26"/>
          <w:szCs w:val="26"/>
        </w:rPr>
        <w:t xml:space="preserve">confirmed that their </w:t>
      </w:r>
      <w:r w:rsidR="00650E75" w:rsidRPr="007E67BB">
        <w:rPr>
          <w:rFonts w:cs="Times New Roman"/>
          <w:sz w:val="26"/>
          <w:szCs w:val="26"/>
        </w:rPr>
        <w:t xml:space="preserve">infected household </w:t>
      </w:r>
      <w:r w:rsidR="00D80400" w:rsidRPr="007E67BB">
        <w:rPr>
          <w:rFonts w:cs="Times New Roman"/>
          <w:sz w:val="26"/>
          <w:szCs w:val="26"/>
        </w:rPr>
        <w:t>members were bullied.</w:t>
      </w:r>
      <w:proofErr w:type="gramEnd"/>
    </w:p>
    <w:p w14:paraId="663483AE" w14:textId="77777777" w:rsidR="00D80400" w:rsidRPr="007E67BB" w:rsidRDefault="00D80400" w:rsidP="00D80400">
      <w:pPr>
        <w:pStyle w:val="BodyTextIndent"/>
        <w:tabs>
          <w:tab w:val="right" w:pos="8100"/>
        </w:tabs>
        <w:ind w:right="71"/>
        <w:rPr>
          <w:sz w:val="16"/>
          <w:szCs w:val="16"/>
        </w:rPr>
      </w:pPr>
    </w:p>
    <w:p w14:paraId="07AC931D" w14:textId="663F4B0C" w:rsidR="00D80400" w:rsidRPr="007E67BB" w:rsidRDefault="00D80400" w:rsidP="00B30D06">
      <w:pPr>
        <w:bidi w:val="0"/>
        <w:jc w:val="both"/>
        <w:rPr>
          <w:b/>
          <w:bCs/>
          <w:sz w:val="26"/>
          <w:szCs w:val="26"/>
          <w:lang w:eastAsia="ar-SA"/>
        </w:rPr>
      </w:pPr>
      <w:r w:rsidRPr="007E67BB">
        <w:rPr>
          <w:b/>
          <w:bCs/>
          <w:sz w:val="26"/>
          <w:szCs w:val="26"/>
          <w:lang w:eastAsia="ar-SA"/>
        </w:rPr>
        <w:t xml:space="preserve">Less than half of those </w:t>
      </w:r>
      <w:r w:rsidR="00650E75" w:rsidRPr="007E67BB">
        <w:rPr>
          <w:b/>
          <w:bCs/>
          <w:sz w:val="26"/>
          <w:szCs w:val="26"/>
          <w:lang w:eastAsia="ar-SA"/>
        </w:rPr>
        <w:t xml:space="preserve">who </w:t>
      </w:r>
      <w:proofErr w:type="gramStart"/>
      <w:r w:rsidR="00B30D06" w:rsidRPr="007E67BB">
        <w:rPr>
          <w:b/>
          <w:bCs/>
          <w:sz w:val="26"/>
          <w:szCs w:val="26"/>
          <w:lang w:eastAsia="ar-SA"/>
        </w:rPr>
        <w:t>were infected</w:t>
      </w:r>
      <w:proofErr w:type="gramEnd"/>
      <w:r w:rsidR="00B30D06" w:rsidRPr="007E67BB">
        <w:rPr>
          <w:b/>
          <w:bCs/>
          <w:sz w:val="26"/>
          <w:szCs w:val="26"/>
          <w:lang w:eastAsia="ar-SA"/>
        </w:rPr>
        <w:t xml:space="preserve"> with</w:t>
      </w:r>
      <w:r w:rsidR="00650E75" w:rsidRPr="007E67BB">
        <w:rPr>
          <w:b/>
          <w:bCs/>
          <w:sz w:val="26"/>
          <w:szCs w:val="26"/>
          <w:lang w:eastAsia="ar-SA"/>
        </w:rPr>
        <w:t xml:space="preserve"> COVID – 19 </w:t>
      </w:r>
      <w:r w:rsidRPr="007E67BB">
        <w:rPr>
          <w:b/>
          <w:bCs/>
          <w:sz w:val="26"/>
          <w:szCs w:val="26"/>
          <w:lang w:eastAsia="ar-SA"/>
        </w:rPr>
        <w:t xml:space="preserve">have visited a </w:t>
      </w:r>
      <w:r w:rsidR="00B30D06" w:rsidRPr="007E67BB">
        <w:rPr>
          <w:b/>
          <w:bCs/>
          <w:sz w:val="26"/>
          <w:szCs w:val="26"/>
          <w:lang w:eastAsia="ar-SA"/>
        </w:rPr>
        <w:t xml:space="preserve">COVID-19 specialized </w:t>
      </w:r>
      <w:r w:rsidRPr="007E67BB">
        <w:rPr>
          <w:b/>
          <w:bCs/>
          <w:sz w:val="26"/>
          <w:szCs w:val="26"/>
          <w:lang w:eastAsia="ar-SA"/>
        </w:rPr>
        <w:t>health center</w:t>
      </w:r>
    </w:p>
    <w:p w14:paraId="02947E67" w14:textId="4198F782" w:rsidR="00D80400" w:rsidRPr="007E67BB" w:rsidRDefault="00D80400" w:rsidP="00B30D06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proofErr w:type="gramStart"/>
      <w:r w:rsidRPr="007E67BB">
        <w:rPr>
          <w:rFonts w:cs="Times New Roman"/>
          <w:sz w:val="26"/>
          <w:szCs w:val="26"/>
        </w:rPr>
        <w:t xml:space="preserve">As for the measures taken in case of infection with the </w:t>
      </w:r>
      <w:r w:rsidR="00E07B5C" w:rsidRPr="007E67BB">
        <w:rPr>
          <w:rFonts w:cs="Times New Roman"/>
          <w:sz w:val="26"/>
          <w:szCs w:val="26"/>
        </w:rPr>
        <w:t>COVID</w:t>
      </w:r>
      <w:r w:rsidRPr="007E67BB">
        <w:rPr>
          <w:rFonts w:cs="Times New Roman"/>
          <w:sz w:val="26"/>
          <w:szCs w:val="26"/>
        </w:rPr>
        <w:t>-19, results showed that 96% of the infected people adhered</w:t>
      </w:r>
      <w:r w:rsidR="00650E75" w:rsidRPr="007E67BB">
        <w:rPr>
          <w:rFonts w:cs="Times New Roman"/>
          <w:sz w:val="26"/>
          <w:szCs w:val="26"/>
        </w:rPr>
        <w:t>/committed</w:t>
      </w:r>
      <w:r w:rsidRPr="007E67BB">
        <w:rPr>
          <w:rFonts w:cs="Times New Roman"/>
          <w:sz w:val="26"/>
          <w:szCs w:val="26"/>
        </w:rPr>
        <w:t xml:space="preserve"> to the home quarantine, 80% took </w:t>
      </w:r>
      <w:r w:rsidR="00650E75" w:rsidRPr="007E67BB">
        <w:rPr>
          <w:rFonts w:cs="Times New Roman"/>
          <w:sz w:val="26"/>
          <w:szCs w:val="26"/>
        </w:rPr>
        <w:t xml:space="preserve">only </w:t>
      </w:r>
      <w:r w:rsidRPr="007E67BB">
        <w:rPr>
          <w:rFonts w:cs="Times New Roman"/>
          <w:sz w:val="26"/>
          <w:szCs w:val="26"/>
        </w:rPr>
        <w:t xml:space="preserve">vitamins/antibiotics </w:t>
      </w:r>
      <w:r w:rsidR="00650E75" w:rsidRPr="007E67BB">
        <w:rPr>
          <w:rFonts w:cs="Times New Roman"/>
          <w:sz w:val="26"/>
          <w:szCs w:val="26"/>
        </w:rPr>
        <w:t xml:space="preserve">but </w:t>
      </w:r>
      <w:r w:rsidRPr="007E67BB">
        <w:rPr>
          <w:rFonts w:cs="Times New Roman"/>
          <w:sz w:val="26"/>
          <w:szCs w:val="26"/>
        </w:rPr>
        <w:t xml:space="preserve">without referring to any health center, 83% took only medical herbs </w:t>
      </w:r>
      <w:r w:rsidR="00650E75" w:rsidRPr="007E67BB">
        <w:rPr>
          <w:rFonts w:cs="Times New Roman"/>
          <w:sz w:val="26"/>
          <w:szCs w:val="26"/>
        </w:rPr>
        <w:t xml:space="preserve">but </w:t>
      </w:r>
      <w:r w:rsidRPr="007E67BB">
        <w:rPr>
          <w:rFonts w:cs="Times New Roman"/>
          <w:sz w:val="26"/>
          <w:szCs w:val="26"/>
        </w:rPr>
        <w:t xml:space="preserve">without referring to any health center, </w:t>
      </w:r>
      <w:r w:rsidR="00B30D06" w:rsidRPr="007E67BB">
        <w:rPr>
          <w:rFonts w:cs="Times New Roman"/>
          <w:sz w:val="26"/>
          <w:szCs w:val="26"/>
        </w:rPr>
        <w:t xml:space="preserve">while </w:t>
      </w:r>
      <w:r w:rsidRPr="007E67BB">
        <w:rPr>
          <w:rFonts w:cs="Times New Roman"/>
          <w:sz w:val="26"/>
          <w:szCs w:val="26"/>
        </w:rPr>
        <w:t xml:space="preserve">29% visited a public health center that was not specialized in COVID-19, and 48% visited a </w:t>
      </w:r>
      <w:r w:rsidR="00B30D06" w:rsidRPr="007E67BB">
        <w:rPr>
          <w:rFonts w:cs="Times New Roman"/>
          <w:sz w:val="26"/>
          <w:szCs w:val="26"/>
        </w:rPr>
        <w:t xml:space="preserve">COVID-19 specialized </w:t>
      </w:r>
      <w:r w:rsidRPr="007E67BB">
        <w:rPr>
          <w:rFonts w:cs="Times New Roman"/>
          <w:sz w:val="26"/>
          <w:szCs w:val="26"/>
        </w:rPr>
        <w:t>health center.</w:t>
      </w:r>
      <w:proofErr w:type="gramEnd"/>
    </w:p>
    <w:p w14:paraId="15C1F81B" w14:textId="77777777" w:rsidR="00D80400" w:rsidRPr="007E67BB" w:rsidRDefault="00D80400" w:rsidP="00D80400">
      <w:pPr>
        <w:pStyle w:val="BodyTextIndent"/>
        <w:tabs>
          <w:tab w:val="right" w:pos="8100"/>
        </w:tabs>
        <w:ind w:right="71"/>
        <w:rPr>
          <w:sz w:val="16"/>
          <w:szCs w:val="16"/>
        </w:rPr>
      </w:pPr>
    </w:p>
    <w:p w14:paraId="4D57F09D" w14:textId="3DE01F2E" w:rsidR="00097AC0" w:rsidRPr="007E67BB" w:rsidRDefault="00097AC0" w:rsidP="00650E75">
      <w:pPr>
        <w:bidi w:val="0"/>
        <w:jc w:val="both"/>
        <w:rPr>
          <w:b/>
          <w:bCs/>
          <w:sz w:val="26"/>
          <w:szCs w:val="26"/>
          <w:lang w:eastAsia="ar-SA"/>
        </w:rPr>
      </w:pPr>
      <w:proofErr w:type="gramStart"/>
      <w:r w:rsidRPr="007E67BB">
        <w:rPr>
          <w:b/>
          <w:bCs/>
          <w:sz w:val="26"/>
          <w:szCs w:val="26"/>
          <w:lang w:eastAsia="ar-SA"/>
        </w:rPr>
        <w:t>29%</w:t>
      </w:r>
      <w:proofErr w:type="gramEnd"/>
      <w:r w:rsidRPr="007E67BB">
        <w:rPr>
          <w:b/>
          <w:bCs/>
          <w:sz w:val="26"/>
          <w:szCs w:val="26"/>
          <w:lang w:eastAsia="ar-SA"/>
        </w:rPr>
        <w:t xml:space="preserve"> of people infected with </w:t>
      </w:r>
      <w:r w:rsidR="00650E75" w:rsidRPr="007E67BB">
        <w:rPr>
          <w:b/>
          <w:bCs/>
          <w:sz w:val="26"/>
          <w:szCs w:val="26"/>
          <w:lang w:eastAsia="ar-SA"/>
        </w:rPr>
        <w:t>COVID- 19</w:t>
      </w:r>
      <w:r w:rsidRPr="007E67BB">
        <w:rPr>
          <w:b/>
          <w:bCs/>
          <w:sz w:val="26"/>
          <w:szCs w:val="26"/>
          <w:lang w:eastAsia="ar-SA"/>
        </w:rPr>
        <w:t xml:space="preserve"> have </w:t>
      </w:r>
      <w:r w:rsidR="00650E75" w:rsidRPr="007E67BB">
        <w:rPr>
          <w:b/>
          <w:bCs/>
          <w:sz w:val="26"/>
          <w:szCs w:val="26"/>
          <w:lang w:eastAsia="ar-SA"/>
        </w:rPr>
        <w:t xml:space="preserve">caught </w:t>
      </w:r>
      <w:r w:rsidRPr="007E67BB">
        <w:rPr>
          <w:b/>
          <w:bCs/>
          <w:sz w:val="26"/>
          <w:szCs w:val="26"/>
          <w:lang w:eastAsia="ar-SA"/>
        </w:rPr>
        <w:t xml:space="preserve">the infection </w:t>
      </w:r>
      <w:r w:rsidR="00650E75" w:rsidRPr="007E67BB">
        <w:rPr>
          <w:b/>
          <w:bCs/>
          <w:sz w:val="26"/>
          <w:szCs w:val="26"/>
          <w:lang w:eastAsia="ar-SA"/>
        </w:rPr>
        <w:t xml:space="preserve">when </w:t>
      </w:r>
      <w:r w:rsidRPr="007E67BB">
        <w:rPr>
          <w:b/>
          <w:bCs/>
          <w:sz w:val="26"/>
          <w:szCs w:val="26"/>
          <w:lang w:eastAsia="ar-SA"/>
        </w:rPr>
        <w:t>visiting family and friends</w:t>
      </w:r>
    </w:p>
    <w:p w14:paraId="41B6887C" w14:textId="0A58D06E" w:rsidR="00097AC0" w:rsidRPr="007E67BB" w:rsidRDefault="00097AC0" w:rsidP="00B30D06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  <w:r w:rsidRPr="007E67BB">
        <w:rPr>
          <w:rFonts w:cs="Times New Roman"/>
          <w:sz w:val="26"/>
          <w:szCs w:val="26"/>
        </w:rPr>
        <w:t xml:space="preserve">The results of the </w:t>
      </w:r>
      <w:r w:rsidR="00E07B5C" w:rsidRPr="007E67BB">
        <w:rPr>
          <w:rFonts w:cs="Times New Roman"/>
          <w:sz w:val="26"/>
          <w:szCs w:val="26"/>
        </w:rPr>
        <w:t>COVID</w:t>
      </w:r>
      <w:r w:rsidRPr="007E67BB">
        <w:rPr>
          <w:rFonts w:cs="Times New Roman"/>
          <w:sz w:val="26"/>
          <w:szCs w:val="26"/>
        </w:rPr>
        <w:t xml:space="preserve">-19 </w:t>
      </w:r>
      <w:r w:rsidR="00650E75" w:rsidRPr="007E67BB">
        <w:rPr>
          <w:rFonts w:cs="Times New Roman"/>
          <w:sz w:val="26"/>
          <w:szCs w:val="26"/>
        </w:rPr>
        <w:t xml:space="preserve">Survey </w:t>
      </w:r>
      <w:r w:rsidRPr="007E67BB">
        <w:rPr>
          <w:rFonts w:cs="Times New Roman"/>
          <w:sz w:val="26"/>
          <w:szCs w:val="26"/>
        </w:rPr>
        <w:t xml:space="preserve">showed that 29% of those infected with </w:t>
      </w:r>
      <w:r w:rsidR="00E07B5C" w:rsidRPr="007E67BB">
        <w:rPr>
          <w:rFonts w:cs="Times New Roman"/>
          <w:sz w:val="26"/>
          <w:szCs w:val="26"/>
        </w:rPr>
        <w:t>COVID</w:t>
      </w:r>
      <w:r w:rsidRPr="007E67BB">
        <w:rPr>
          <w:rFonts w:cs="Times New Roman"/>
          <w:sz w:val="26"/>
          <w:szCs w:val="26"/>
        </w:rPr>
        <w:t xml:space="preserve">-19 </w:t>
      </w:r>
      <w:r w:rsidR="00650E75" w:rsidRPr="007E67BB">
        <w:rPr>
          <w:rFonts w:cs="Times New Roman"/>
          <w:sz w:val="26"/>
          <w:szCs w:val="26"/>
        </w:rPr>
        <w:t xml:space="preserve">caught </w:t>
      </w:r>
      <w:r w:rsidRPr="007E67BB">
        <w:rPr>
          <w:rFonts w:cs="Times New Roman"/>
          <w:sz w:val="26"/>
          <w:szCs w:val="26"/>
        </w:rPr>
        <w:t xml:space="preserve">the infection </w:t>
      </w:r>
      <w:r w:rsidR="00650E75" w:rsidRPr="007E67BB">
        <w:rPr>
          <w:rFonts w:cs="Times New Roman"/>
          <w:sz w:val="26"/>
          <w:szCs w:val="26"/>
        </w:rPr>
        <w:t>when</w:t>
      </w:r>
      <w:r w:rsidRPr="007E67BB">
        <w:rPr>
          <w:rFonts w:cs="Times New Roman"/>
          <w:sz w:val="26"/>
          <w:szCs w:val="26"/>
        </w:rPr>
        <w:t xml:space="preserve"> visiting family and friends, 22% from work, 10% from attending a wedding </w:t>
      </w:r>
      <w:r w:rsidR="00650E75" w:rsidRPr="007E67BB">
        <w:rPr>
          <w:rFonts w:cs="Times New Roman"/>
          <w:sz w:val="26"/>
          <w:szCs w:val="26"/>
        </w:rPr>
        <w:t xml:space="preserve">or a </w:t>
      </w:r>
      <w:r w:rsidRPr="007E67BB">
        <w:rPr>
          <w:rFonts w:cs="Times New Roman"/>
          <w:sz w:val="26"/>
          <w:szCs w:val="26"/>
        </w:rPr>
        <w:t>funeral, 9% from hospitals and health care centers,</w:t>
      </w:r>
      <w:r w:rsidR="00650E75" w:rsidRPr="007E67BB">
        <w:rPr>
          <w:rFonts w:cs="Times New Roman"/>
          <w:sz w:val="26"/>
          <w:szCs w:val="26"/>
        </w:rPr>
        <w:t xml:space="preserve"> and</w:t>
      </w:r>
      <w:r w:rsidRPr="007E67BB">
        <w:rPr>
          <w:rFonts w:cs="Times New Roman"/>
          <w:sz w:val="26"/>
          <w:szCs w:val="26"/>
        </w:rPr>
        <w:t xml:space="preserve"> 7% from universities and schools. On the other hand, 18% of the infected </w:t>
      </w:r>
      <w:r w:rsidR="00650E75" w:rsidRPr="007E67BB">
        <w:rPr>
          <w:rFonts w:cs="Times New Roman"/>
          <w:sz w:val="26"/>
          <w:szCs w:val="26"/>
        </w:rPr>
        <w:t xml:space="preserve">persons </w:t>
      </w:r>
      <w:r w:rsidRPr="007E67BB">
        <w:rPr>
          <w:rFonts w:cs="Times New Roman"/>
          <w:sz w:val="26"/>
          <w:szCs w:val="26"/>
        </w:rPr>
        <w:t xml:space="preserve">do not know </w:t>
      </w:r>
      <w:r w:rsidR="00650E75" w:rsidRPr="007E67BB">
        <w:rPr>
          <w:rFonts w:cs="Times New Roman"/>
          <w:sz w:val="26"/>
          <w:szCs w:val="26"/>
        </w:rPr>
        <w:t xml:space="preserve">from </w:t>
      </w:r>
      <w:r w:rsidRPr="007E67BB">
        <w:rPr>
          <w:rFonts w:cs="Times New Roman"/>
          <w:sz w:val="26"/>
          <w:szCs w:val="26"/>
        </w:rPr>
        <w:t xml:space="preserve">where they or their family members </w:t>
      </w:r>
      <w:r w:rsidR="00650E75" w:rsidRPr="007E67BB">
        <w:rPr>
          <w:rFonts w:cs="Times New Roman"/>
          <w:sz w:val="26"/>
          <w:szCs w:val="26"/>
        </w:rPr>
        <w:t xml:space="preserve">caught </w:t>
      </w:r>
      <w:r w:rsidR="00E07B5C" w:rsidRPr="007E67BB">
        <w:rPr>
          <w:rFonts w:cs="Times New Roman"/>
          <w:sz w:val="26"/>
          <w:szCs w:val="26"/>
        </w:rPr>
        <w:t>COVID</w:t>
      </w:r>
      <w:r w:rsidRPr="007E67BB">
        <w:rPr>
          <w:rFonts w:cs="Times New Roman"/>
          <w:sz w:val="26"/>
          <w:szCs w:val="26"/>
        </w:rPr>
        <w:t>-19</w:t>
      </w:r>
      <w:r w:rsidR="0033328E" w:rsidRPr="007E67BB">
        <w:rPr>
          <w:rFonts w:cs="Times New Roman"/>
          <w:sz w:val="26"/>
          <w:szCs w:val="26"/>
        </w:rPr>
        <w:t>.</w:t>
      </w:r>
    </w:p>
    <w:p w14:paraId="0C40BDF1" w14:textId="0F605906" w:rsidR="00254EAD" w:rsidRPr="007E67BB" w:rsidRDefault="00254EAD" w:rsidP="00B30D06">
      <w:pPr>
        <w:pStyle w:val="BodyTextIndent"/>
        <w:tabs>
          <w:tab w:val="right" w:pos="8100"/>
        </w:tabs>
        <w:ind w:right="71"/>
        <w:rPr>
          <w:rFonts w:cs="Times New Roman"/>
          <w:sz w:val="26"/>
          <w:szCs w:val="26"/>
        </w:rPr>
      </w:pPr>
    </w:p>
    <w:p w14:paraId="7E44061B" w14:textId="3C40C47F" w:rsidR="00254EAD" w:rsidRPr="007E67BB" w:rsidRDefault="00254EAD" w:rsidP="00A9657B">
      <w:pPr>
        <w:pStyle w:val="BodyTextIndent"/>
        <w:tabs>
          <w:tab w:val="right" w:pos="8100"/>
        </w:tabs>
        <w:ind w:right="71"/>
        <w:rPr>
          <w:rFonts w:cs="Times New Roman"/>
          <w:color w:val="000000" w:themeColor="text1"/>
          <w:sz w:val="26"/>
          <w:szCs w:val="26"/>
        </w:rPr>
      </w:pPr>
      <w:r w:rsidRPr="007E67BB">
        <w:rPr>
          <w:rFonts w:cs="Times New Roman"/>
          <w:color w:val="000000" w:themeColor="text1"/>
          <w:sz w:val="26"/>
          <w:szCs w:val="26"/>
        </w:rPr>
        <w:t xml:space="preserve">In the same context, the results of the COVID – 19 Survey indicated that 21% of pregnant women needed prenatal health care, but </w:t>
      </w:r>
      <w:proofErr w:type="gramStart"/>
      <w:r w:rsidR="00A9657B" w:rsidRPr="007E67BB">
        <w:rPr>
          <w:rFonts w:cs="Times New Roman"/>
          <w:color w:val="000000" w:themeColor="text1"/>
          <w:sz w:val="26"/>
          <w:szCs w:val="26"/>
        </w:rPr>
        <w:t>couldn’t</w:t>
      </w:r>
      <w:proofErr w:type="gramEnd"/>
      <w:r w:rsidRPr="007E67BB">
        <w:rPr>
          <w:rFonts w:cs="Times New Roman"/>
          <w:color w:val="000000" w:themeColor="text1"/>
          <w:sz w:val="26"/>
          <w:szCs w:val="26"/>
        </w:rPr>
        <w:t xml:space="preserve"> receive it during their pregnancy due to the COVID -19 pandemic </w:t>
      </w:r>
      <w:r w:rsidR="00A9657B" w:rsidRPr="007E67BB">
        <w:rPr>
          <w:rFonts w:cs="Times New Roman"/>
          <w:color w:val="000000" w:themeColor="text1"/>
          <w:sz w:val="26"/>
          <w:szCs w:val="26"/>
        </w:rPr>
        <w:t>during the period of</w:t>
      </w:r>
      <w:r w:rsidRPr="007E67BB">
        <w:rPr>
          <w:rFonts w:cs="Times New Roman"/>
          <w:color w:val="000000" w:themeColor="text1"/>
          <w:sz w:val="26"/>
          <w:szCs w:val="26"/>
        </w:rPr>
        <w:t xml:space="preserve"> March 3</w:t>
      </w:r>
      <w:r w:rsidRPr="007E67BB">
        <w:rPr>
          <w:rFonts w:cs="Times New Roman"/>
          <w:color w:val="000000" w:themeColor="text1"/>
          <w:sz w:val="26"/>
          <w:szCs w:val="26"/>
          <w:vertAlign w:val="superscript"/>
        </w:rPr>
        <w:t>rd</w:t>
      </w:r>
      <w:r w:rsidRPr="007E67BB">
        <w:rPr>
          <w:rFonts w:cs="Times New Roman"/>
          <w:color w:val="000000" w:themeColor="text1"/>
          <w:sz w:val="26"/>
          <w:szCs w:val="26"/>
        </w:rPr>
        <w:t xml:space="preserve"> and</w:t>
      </w:r>
      <w:r w:rsidR="00A9657B" w:rsidRPr="007E67BB">
        <w:rPr>
          <w:rFonts w:cs="Times New Roman"/>
          <w:color w:val="000000" w:themeColor="text1"/>
          <w:sz w:val="26"/>
          <w:szCs w:val="26"/>
        </w:rPr>
        <w:t xml:space="preserve"> up to</w:t>
      </w:r>
      <w:r w:rsidRPr="007E67BB">
        <w:rPr>
          <w:rFonts w:cs="Times New Roman"/>
          <w:color w:val="000000" w:themeColor="text1"/>
          <w:sz w:val="26"/>
          <w:szCs w:val="26"/>
        </w:rPr>
        <w:t xml:space="preserve"> May 25</w:t>
      </w:r>
      <w:r w:rsidRPr="007E67BB">
        <w:rPr>
          <w:rFonts w:cs="Times New Roman"/>
          <w:color w:val="000000" w:themeColor="text1"/>
          <w:sz w:val="26"/>
          <w:szCs w:val="26"/>
          <w:vertAlign w:val="superscript"/>
        </w:rPr>
        <w:t>th</w:t>
      </w:r>
      <w:r w:rsidRPr="007E67BB">
        <w:rPr>
          <w:rFonts w:cs="Times New Roman"/>
          <w:color w:val="000000" w:themeColor="text1"/>
          <w:sz w:val="26"/>
          <w:szCs w:val="26"/>
        </w:rPr>
        <w:t xml:space="preserve">, 2020. While 9% of the women </w:t>
      </w:r>
      <w:proofErr w:type="gramStart"/>
      <w:r w:rsidRPr="007E67BB">
        <w:rPr>
          <w:rFonts w:cs="Times New Roman"/>
          <w:color w:val="000000" w:themeColor="text1"/>
          <w:sz w:val="26"/>
          <w:szCs w:val="26"/>
        </w:rPr>
        <w:t>didn’t</w:t>
      </w:r>
      <w:proofErr w:type="gramEnd"/>
      <w:r w:rsidRPr="007E67BB">
        <w:rPr>
          <w:rFonts w:cs="Times New Roman"/>
          <w:color w:val="000000" w:themeColor="text1"/>
          <w:sz w:val="26"/>
          <w:szCs w:val="26"/>
        </w:rPr>
        <w:t xml:space="preserve"> receive any health care services after birth delivery during the same mentioned period.</w:t>
      </w:r>
    </w:p>
    <w:p w14:paraId="129EC189" w14:textId="77777777" w:rsidR="00F65EC6" w:rsidRPr="009B1A86" w:rsidRDefault="00F65EC6" w:rsidP="00F65EC6">
      <w:pPr>
        <w:bidi w:val="0"/>
        <w:jc w:val="both"/>
        <w:rPr>
          <w:lang w:eastAsia="ar-SA"/>
        </w:rPr>
      </w:pPr>
    </w:p>
    <w:p w14:paraId="6F7358FE" w14:textId="77777777" w:rsidR="00F65EC6" w:rsidRPr="009B1A86" w:rsidRDefault="00F65EC6" w:rsidP="00F65EC6">
      <w:pPr>
        <w:bidi w:val="0"/>
        <w:jc w:val="both"/>
        <w:rPr>
          <w:rFonts w:asciiTheme="majorBidi" w:hAnsiTheme="majorBidi" w:cstheme="majorBidi"/>
          <w:lang w:eastAsia="ar-SA"/>
        </w:rPr>
      </w:pPr>
    </w:p>
    <w:p w14:paraId="29F7C253" w14:textId="77777777" w:rsidR="0089334E" w:rsidRPr="009B1A86" w:rsidRDefault="0089334E" w:rsidP="00ED3D2B">
      <w:pPr>
        <w:pStyle w:val="FootnoteText"/>
        <w:bidi w:val="0"/>
        <w:rPr>
          <w:sz w:val="22"/>
          <w:szCs w:val="22"/>
        </w:rPr>
      </w:pPr>
    </w:p>
    <w:sectPr w:rsidR="0089334E" w:rsidRPr="009B1A86" w:rsidSect="00DE7A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45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D537" w14:textId="77777777" w:rsidR="00C24034" w:rsidRDefault="00C24034">
      <w:r>
        <w:separator/>
      </w:r>
    </w:p>
  </w:endnote>
  <w:endnote w:type="continuationSeparator" w:id="0">
    <w:p w14:paraId="2E47061E" w14:textId="77777777" w:rsidR="00C24034" w:rsidRDefault="00C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81B6" w14:textId="77777777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A1BFC36" w14:textId="77777777" w:rsidR="005F581B" w:rsidRDefault="005F581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E755" w14:textId="0E03F80E" w:rsidR="005F581B" w:rsidRDefault="00424FA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5F58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34E66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F4C725C" w14:textId="77777777" w:rsidR="005F581B" w:rsidRDefault="005F581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53B8" w14:textId="77777777" w:rsidR="00BC21DD" w:rsidRDefault="00BC2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9DAF" w14:textId="77777777" w:rsidR="00C24034" w:rsidRDefault="00C24034">
      <w:r>
        <w:separator/>
      </w:r>
    </w:p>
  </w:footnote>
  <w:footnote w:type="continuationSeparator" w:id="0">
    <w:p w14:paraId="6B8AE45F" w14:textId="77777777" w:rsidR="00C24034" w:rsidRDefault="00C2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D334" w14:textId="77777777" w:rsidR="00BC21DD" w:rsidRDefault="00BC2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7D78" w14:textId="77777777" w:rsidR="00BC21DD" w:rsidRDefault="00BC2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6BDD" w14:textId="77777777" w:rsidR="00BC21DD" w:rsidRDefault="00BC2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MzcysTA0Mje2tDBT0lEKTi0uzszPAykwrAUAZdhCQiwAAAA="/>
  </w:docVars>
  <w:rsids>
    <w:rsidRoot w:val="00C45C54"/>
    <w:rsid w:val="000021E8"/>
    <w:rsid w:val="000063A3"/>
    <w:rsid w:val="000128D6"/>
    <w:rsid w:val="000220F0"/>
    <w:rsid w:val="00023EB9"/>
    <w:rsid w:val="0003189B"/>
    <w:rsid w:val="00034057"/>
    <w:rsid w:val="00035F1A"/>
    <w:rsid w:val="000411CE"/>
    <w:rsid w:val="0004322D"/>
    <w:rsid w:val="000474B2"/>
    <w:rsid w:val="000552B4"/>
    <w:rsid w:val="000612A9"/>
    <w:rsid w:val="000702B4"/>
    <w:rsid w:val="000708A2"/>
    <w:rsid w:val="000736D0"/>
    <w:rsid w:val="000814BC"/>
    <w:rsid w:val="000829A7"/>
    <w:rsid w:val="00084CBD"/>
    <w:rsid w:val="00084E8A"/>
    <w:rsid w:val="00085617"/>
    <w:rsid w:val="00087EA1"/>
    <w:rsid w:val="00090FCD"/>
    <w:rsid w:val="00097AC0"/>
    <w:rsid w:val="000A0915"/>
    <w:rsid w:val="000B074E"/>
    <w:rsid w:val="000B2980"/>
    <w:rsid w:val="000B2FCD"/>
    <w:rsid w:val="000B394D"/>
    <w:rsid w:val="000B55C9"/>
    <w:rsid w:val="000C017A"/>
    <w:rsid w:val="000C1BBB"/>
    <w:rsid w:val="000C622E"/>
    <w:rsid w:val="000D2A9B"/>
    <w:rsid w:val="000D2BC8"/>
    <w:rsid w:val="000E21E9"/>
    <w:rsid w:val="000E6F3E"/>
    <w:rsid w:val="000E7A7D"/>
    <w:rsid w:val="000F278C"/>
    <w:rsid w:val="000F3265"/>
    <w:rsid w:val="000F3CA9"/>
    <w:rsid w:val="000F4450"/>
    <w:rsid w:val="000F49EE"/>
    <w:rsid w:val="000F5280"/>
    <w:rsid w:val="000F56FD"/>
    <w:rsid w:val="000F7AC7"/>
    <w:rsid w:val="001019B4"/>
    <w:rsid w:val="00104478"/>
    <w:rsid w:val="00106C47"/>
    <w:rsid w:val="001105C8"/>
    <w:rsid w:val="00110FAE"/>
    <w:rsid w:val="0012124F"/>
    <w:rsid w:val="00121640"/>
    <w:rsid w:val="00122A5D"/>
    <w:rsid w:val="00124D3D"/>
    <w:rsid w:val="0012688C"/>
    <w:rsid w:val="00133849"/>
    <w:rsid w:val="00133E61"/>
    <w:rsid w:val="001457B6"/>
    <w:rsid w:val="00146248"/>
    <w:rsid w:val="00146ECF"/>
    <w:rsid w:val="00160010"/>
    <w:rsid w:val="00165F13"/>
    <w:rsid w:val="00173F9E"/>
    <w:rsid w:val="00177019"/>
    <w:rsid w:val="0018284B"/>
    <w:rsid w:val="0018326B"/>
    <w:rsid w:val="00184C57"/>
    <w:rsid w:val="00184DC8"/>
    <w:rsid w:val="00191C74"/>
    <w:rsid w:val="00196FA1"/>
    <w:rsid w:val="001A1DE8"/>
    <w:rsid w:val="001A59A3"/>
    <w:rsid w:val="001B2A04"/>
    <w:rsid w:val="001B34B4"/>
    <w:rsid w:val="001C08EC"/>
    <w:rsid w:val="001C0CEE"/>
    <w:rsid w:val="001C3E97"/>
    <w:rsid w:val="001C527C"/>
    <w:rsid w:val="001C5D06"/>
    <w:rsid w:val="001C6801"/>
    <w:rsid w:val="001E2718"/>
    <w:rsid w:val="001F3FA2"/>
    <w:rsid w:val="001F5B63"/>
    <w:rsid w:val="001F69AE"/>
    <w:rsid w:val="00203ECE"/>
    <w:rsid w:val="0020497F"/>
    <w:rsid w:val="00205541"/>
    <w:rsid w:val="002074BE"/>
    <w:rsid w:val="00210098"/>
    <w:rsid w:val="0021158F"/>
    <w:rsid w:val="002146B2"/>
    <w:rsid w:val="00226149"/>
    <w:rsid w:val="0022733D"/>
    <w:rsid w:val="00233A74"/>
    <w:rsid w:val="00234AD2"/>
    <w:rsid w:val="00237115"/>
    <w:rsid w:val="00244FD5"/>
    <w:rsid w:val="002454B1"/>
    <w:rsid w:val="002503B6"/>
    <w:rsid w:val="00254E4F"/>
    <w:rsid w:val="00254EAD"/>
    <w:rsid w:val="0025574C"/>
    <w:rsid w:val="002626E5"/>
    <w:rsid w:val="002667C1"/>
    <w:rsid w:val="00277661"/>
    <w:rsid w:val="002842C3"/>
    <w:rsid w:val="00284528"/>
    <w:rsid w:val="002862A4"/>
    <w:rsid w:val="002876CB"/>
    <w:rsid w:val="00287C28"/>
    <w:rsid w:val="002908C4"/>
    <w:rsid w:val="00290C02"/>
    <w:rsid w:val="00290EE6"/>
    <w:rsid w:val="00291304"/>
    <w:rsid w:val="00294AF4"/>
    <w:rsid w:val="00296AB5"/>
    <w:rsid w:val="002971EC"/>
    <w:rsid w:val="002973F3"/>
    <w:rsid w:val="002A0C43"/>
    <w:rsid w:val="002A1BB0"/>
    <w:rsid w:val="002A5EA8"/>
    <w:rsid w:val="002D2891"/>
    <w:rsid w:val="002D40CE"/>
    <w:rsid w:val="002E1A34"/>
    <w:rsid w:val="002E5089"/>
    <w:rsid w:val="002F4A16"/>
    <w:rsid w:val="00301013"/>
    <w:rsid w:val="00301A1E"/>
    <w:rsid w:val="00313146"/>
    <w:rsid w:val="00314CB2"/>
    <w:rsid w:val="003162E7"/>
    <w:rsid w:val="0033328E"/>
    <w:rsid w:val="00337835"/>
    <w:rsid w:val="00340F00"/>
    <w:rsid w:val="003476CF"/>
    <w:rsid w:val="00354616"/>
    <w:rsid w:val="003605DE"/>
    <w:rsid w:val="003707D0"/>
    <w:rsid w:val="00372130"/>
    <w:rsid w:val="00372533"/>
    <w:rsid w:val="00385420"/>
    <w:rsid w:val="0038550A"/>
    <w:rsid w:val="00387F92"/>
    <w:rsid w:val="0039254F"/>
    <w:rsid w:val="003A1E6F"/>
    <w:rsid w:val="003A1E9B"/>
    <w:rsid w:val="003A45FD"/>
    <w:rsid w:val="003C14ED"/>
    <w:rsid w:val="003C174B"/>
    <w:rsid w:val="003C1E90"/>
    <w:rsid w:val="003C34A4"/>
    <w:rsid w:val="003D24F6"/>
    <w:rsid w:val="003D3CA9"/>
    <w:rsid w:val="003D562A"/>
    <w:rsid w:val="003D66BB"/>
    <w:rsid w:val="003E1493"/>
    <w:rsid w:val="003E32D9"/>
    <w:rsid w:val="003E38CB"/>
    <w:rsid w:val="003E66B2"/>
    <w:rsid w:val="003F0C0A"/>
    <w:rsid w:val="00400A9E"/>
    <w:rsid w:val="004043E7"/>
    <w:rsid w:val="00405149"/>
    <w:rsid w:val="004060E9"/>
    <w:rsid w:val="00406EAD"/>
    <w:rsid w:val="00410A2D"/>
    <w:rsid w:val="004155EB"/>
    <w:rsid w:val="00420BB4"/>
    <w:rsid w:val="00420BEC"/>
    <w:rsid w:val="0042184E"/>
    <w:rsid w:val="0042273B"/>
    <w:rsid w:val="00422E31"/>
    <w:rsid w:val="00424FAF"/>
    <w:rsid w:val="004276FC"/>
    <w:rsid w:val="00431160"/>
    <w:rsid w:val="0043526D"/>
    <w:rsid w:val="00435E3F"/>
    <w:rsid w:val="004416E0"/>
    <w:rsid w:val="00445022"/>
    <w:rsid w:val="00445A5A"/>
    <w:rsid w:val="00451728"/>
    <w:rsid w:val="0045441B"/>
    <w:rsid w:val="00454540"/>
    <w:rsid w:val="004547A7"/>
    <w:rsid w:val="00457B46"/>
    <w:rsid w:val="00460538"/>
    <w:rsid w:val="0046124E"/>
    <w:rsid w:val="00464D20"/>
    <w:rsid w:val="004654CB"/>
    <w:rsid w:val="00466C4A"/>
    <w:rsid w:val="0047165F"/>
    <w:rsid w:val="00474EA9"/>
    <w:rsid w:val="00482CE8"/>
    <w:rsid w:val="004871D9"/>
    <w:rsid w:val="004933DD"/>
    <w:rsid w:val="0049430C"/>
    <w:rsid w:val="004961DB"/>
    <w:rsid w:val="004A054E"/>
    <w:rsid w:val="004A14F3"/>
    <w:rsid w:val="004A5626"/>
    <w:rsid w:val="004B3515"/>
    <w:rsid w:val="004B3612"/>
    <w:rsid w:val="004B7DBD"/>
    <w:rsid w:val="004C2EE9"/>
    <w:rsid w:val="004C3E67"/>
    <w:rsid w:val="004D61F1"/>
    <w:rsid w:val="004D7A59"/>
    <w:rsid w:val="004D7B63"/>
    <w:rsid w:val="004E3F7C"/>
    <w:rsid w:val="004E4EC8"/>
    <w:rsid w:val="004E7AFE"/>
    <w:rsid w:val="004F777F"/>
    <w:rsid w:val="004F7DD0"/>
    <w:rsid w:val="00503831"/>
    <w:rsid w:val="00504880"/>
    <w:rsid w:val="00504DD3"/>
    <w:rsid w:val="00504FB6"/>
    <w:rsid w:val="005059DD"/>
    <w:rsid w:val="00516A40"/>
    <w:rsid w:val="0051753D"/>
    <w:rsid w:val="0052005B"/>
    <w:rsid w:val="0052443C"/>
    <w:rsid w:val="00526017"/>
    <w:rsid w:val="0052758A"/>
    <w:rsid w:val="0053039A"/>
    <w:rsid w:val="00530D3B"/>
    <w:rsid w:val="00531F97"/>
    <w:rsid w:val="00536726"/>
    <w:rsid w:val="00537638"/>
    <w:rsid w:val="005409C2"/>
    <w:rsid w:val="005417CD"/>
    <w:rsid w:val="00541BCF"/>
    <w:rsid w:val="0054695E"/>
    <w:rsid w:val="00546EF9"/>
    <w:rsid w:val="00547623"/>
    <w:rsid w:val="00547D78"/>
    <w:rsid w:val="00564711"/>
    <w:rsid w:val="005654E2"/>
    <w:rsid w:val="00565508"/>
    <w:rsid w:val="00571AFF"/>
    <w:rsid w:val="005A08A5"/>
    <w:rsid w:val="005A4D23"/>
    <w:rsid w:val="005A6027"/>
    <w:rsid w:val="005A620E"/>
    <w:rsid w:val="005A6242"/>
    <w:rsid w:val="005B067C"/>
    <w:rsid w:val="005B14AC"/>
    <w:rsid w:val="005B1B1C"/>
    <w:rsid w:val="005B47F5"/>
    <w:rsid w:val="005B7E46"/>
    <w:rsid w:val="005C15E8"/>
    <w:rsid w:val="005C18C4"/>
    <w:rsid w:val="005C4FB8"/>
    <w:rsid w:val="005D1FFE"/>
    <w:rsid w:val="005D5CF0"/>
    <w:rsid w:val="005E1EE1"/>
    <w:rsid w:val="005E1FF4"/>
    <w:rsid w:val="005E2853"/>
    <w:rsid w:val="005E3CC5"/>
    <w:rsid w:val="005E421C"/>
    <w:rsid w:val="005E6A32"/>
    <w:rsid w:val="005F581B"/>
    <w:rsid w:val="005F5E4E"/>
    <w:rsid w:val="006054D9"/>
    <w:rsid w:val="00606B94"/>
    <w:rsid w:val="00607C0C"/>
    <w:rsid w:val="00623759"/>
    <w:rsid w:val="00637B92"/>
    <w:rsid w:val="00641BD1"/>
    <w:rsid w:val="006438BC"/>
    <w:rsid w:val="00645709"/>
    <w:rsid w:val="00650E75"/>
    <w:rsid w:val="00653B8D"/>
    <w:rsid w:val="00656940"/>
    <w:rsid w:val="0065694A"/>
    <w:rsid w:val="00660945"/>
    <w:rsid w:val="00671838"/>
    <w:rsid w:val="006808F9"/>
    <w:rsid w:val="00681A79"/>
    <w:rsid w:val="006867CD"/>
    <w:rsid w:val="006A0607"/>
    <w:rsid w:val="006A06EF"/>
    <w:rsid w:val="006A342F"/>
    <w:rsid w:val="006B32B5"/>
    <w:rsid w:val="006B6CD0"/>
    <w:rsid w:val="006B747B"/>
    <w:rsid w:val="006C1904"/>
    <w:rsid w:val="006C32BC"/>
    <w:rsid w:val="006C5F32"/>
    <w:rsid w:val="006D0BA4"/>
    <w:rsid w:val="006D5D12"/>
    <w:rsid w:val="006D5E0C"/>
    <w:rsid w:val="006D67D3"/>
    <w:rsid w:val="006D78C6"/>
    <w:rsid w:val="006E1103"/>
    <w:rsid w:val="006E3C0E"/>
    <w:rsid w:val="006E4C5C"/>
    <w:rsid w:val="006F00F6"/>
    <w:rsid w:val="006F2ED2"/>
    <w:rsid w:val="006F438B"/>
    <w:rsid w:val="006F598A"/>
    <w:rsid w:val="006F7163"/>
    <w:rsid w:val="006F79B3"/>
    <w:rsid w:val="006F79CE"/>
    <w:rsid w:val="00706707"/>
    <w:rsid w:val="007133C4"/>
    <w:rsid w:val="00731F6D"/>
    <w:rsid w:val="00732205"/>
    <w:rsid w:val="007348B1"/>
    <w:rsid w:val="00735F7F"/>
    <w:rsid w:val="00736382"/>
    <w:rsid w:val="007511DD"/>
    <w:rsid w:val="00755D59"/>
    <w:rsid w:val="00762580"/>
    <w:rsid w:val="00766ADB"/>
    <w:rsid w:val="007738DA"/>
    <w:rsid w:val="0077511E"/>
    <w:rsid w:val="00780D6E"/>
    <w:rsid w:val="00782856"/>
    <w:rsid w:val="00791110"/>
    <w:rsid w:val="00796C73"/>
    <w:rsid w:val="007B4C9B"/>
    <w:rsid w:val="007B5DF7"/>
    <w:rsid w:val="007C0466"/>
    <w:rsid w:val="007C2848"/>
    <w:rsid w:val="007C326F"/>
    <w:rsid w:val="007C655F"/>
    <w:rsid w:val="007D460C"/>
    <w:rsid w:val="007E67BB"/>
    <w:rsid w:val="007F0402"/>
    <w:rsid w:val="007F0FB2"/>
    <w:rsid w:val="007F5D67"/>
    <w:rsid w:val="007F6815"/>
    <w:rsid w:val="00802D34"/>
    <w:rsid w:val="00804A00"/>
    <w:rsid w:val="008101F2"/>
    <w:rsid w:val="00810401"/>
    <w:rsid w:val="00821C4C"/>
    <w:rsid w:val="00824C92"/>
    <w:rsid w:val="00826F69"/>
    <w:rsid w:val="00830D01"/>
    <w:rsid w:val="00831283"/>
    <w:rsid w:val="00831950"/>
    <w:rsid w:val="00837A54"/>
    <w:rsid w:val="008409A6"/>
    <w:rsid w:val="00841622"/>
    <w:rsid w:val="00843122"/>
    <w:rsid w:val="00850BC4"/>
    <w:rsid w:val="00854733"/>
    <w:rsid w:val="00854A3D"/>
    <w:rsid w:val="0086267C"/>
    <w:rsid w:val="008634AB"/>
    <w:rsid w:val="008667F7"/>
    <w:rsid w:val="00871BA0"/>
    <w:rsid w:val="008720C3"/>
    <w:rsid w:val="00883D38"/>
    <w:rsid w:val="00884C33"/>
    <w:rsid w:val="00891D2D"/>
    <w:rsid w:val="0089334E"/>
    <w:rsid w:val="0089424D"/>
    <w:rsid w:val="008A0E63"/>
    <w:rsid w:val="008A2B21"/>
    <w:rsid w:val="008A3D39"/>
    <w:rsid w:val="008A49E1"/>
    <w:rsid w:val="008C14F0"/>
    <w:rsid w:val="008C5005"/>
    <w:rsid w:val="008C560D"/>
    <w:rsid w:val="008C7A3A"/>
    <w:rsid w:val="008D37A5"/>
    <w:rsid w:val="008D3E6C"/>
    <w:rsid w:val="008D6C56"/>
    <w:rsid w:val="008E0125"/>
    <w:rsid w:val="008E0B4E"/>
    <w:rsid w:val="008F22E1"/>
    <w:rsid w:val="009000AE"/>
    <w:rsid w:val="009015EC"/>
    <w:rsid w:val="00905D31"/>
    <w:rsid w:val="00911F37"/>
    <w:rsid w:val="00925C77"/>
    <w:rsid w:val="00930451"/>
    <w:rsid w:val="00930A4C"/>
    <w:rsid w:val="00936DDB"/>
    <w:rsid w:val="00940175"/>
    <w:rsid w:val="00943FC5"/>
    <w:rsid w:val="00960F5F"/>
    <w:rsid w:val="009658B8"/>
    <w:rsid w:val="00970B89"/>
    <w:rsid w:val="00971727"/>
    <w:rsid w:val="009757B8"/>
    <w:rsid w:val="00975F53"/>
    <w:rsid w:val="00976C8F"/>
    <w:rsid w:val="00985FE8"/>
    <w:rsid w:val="0098753A"/>
    <w:rsid w:val="00987FB6"/>
    <w:rsid w:val="00990C9A"/>
    <w:rsid w:val="00992104"/>
    <w:rsid w:val="00992AB3"/>
    <w:rsid w:val="0099424F"/>
    <w:rsid w:val="009967D4"/>
    <w:rsid w:val="009A63A7"/>
    <w:rsid w:val="009B1A86"/>
    <w:rsid w:val="009B221D"/>
    <w:rsid w:val="009B3E2C"/>
    <w:rsid w:val="009B3EC9"/>
    <w:rsid w:val="009B5077"/>
    <w:rsid w:val="009B6A06"/>
    <w:rsid w:val="009B73B8"/>
    <w:rsid w:val="009C0510"/>
    <w:rsid w:val="009D202A"/>
    <w:rsid w:val="009E3541"/>
    <w:rsid w:val="009E3576"/>
    <w:rsid w:val="009E3CF8"/>
    <w:rsid w:val="009F01EC"/>
    <w:rsid w:val="009F0CD1"/>
    <w:rsid w:val="00A1328D"/>
    <w:rsid w:val="00A13C75"/>
    <w:rsid w:val="00A1616B"/>
    <w:rsid w:val="00A21082"/>
    <w:rsid w:val="00A22AD9"/>
    <w:rsid w:val="00A22E3D"/>
    <w:rsid w:val="00A23B82"/>
    <w:rsid w:val="00A23CB3"/>
    <w:rsid w:val="00A23DA5"/>
    <w:rsid w:val="00A25BA3"/>
    <w:rsid w:val="00A26E92"/>
    <w:rsid w:val="00A4589A"/>
    <w:rsid w:val="00A46934"/>
    <w:rsid w:val="00A61F4E"/>
    <w:rsid w:val="00A62ED3"/>
    <w:rsid w:val="00A66A25"/>
    <w:rsid w:val="00A70158"/>
    <w:rsid w:val="00A72F52"/>
    <w:rsid w:val="00A76340"/>
    <w:rsid w:val="00A81BEB"/>
    <w:rsid w:val="00A81E32"/>
    <w:rsid w:val="00A87107"/>
    <w:rsid w:val="00A87A0F"/>
    <w:rsid w:val="00A92846"/>
    <w:rsid w:val="00A92C2B"/>
    <w:rsid w:val="00A95A6E"/>
    <w:rsid w:val="00A9657B"/>
    <w:rsid w:val="00A96EF5"/>
    <w:rsid w:val="00AA2FCB"/>
    <w:rsid w:val="00AA4DE9"/>
    <w:rsid w:val="00AA6C06"/>
    <w:rsid w:val="00AB2846"/>
    <w:rsid w:val="00AB7521"/>
    <w:rsid w:val="00AC0DD5"/>
    <w:rsid w:val="00AC67C7"/>
    <w:rsid w:val="00AC72B8"/>
    <w:rsid w:val="00AD259E"/>
    <w:rsid w:val="00AD6178"/>
    <w:rsid w:val="00AF1DEF"/>
    <w:rsid w:val="00AF29A7"/>
    <w:rsid w:val="00AF2E22"/>
    <w:rsid w:val="00AF62F4"/>
    <w:rsid w:val="00AF789D"/>
    <w:rsid w:val="00B02896"/>
    <w:rsid w:val="00B040B0"/>
    <w:rsid w:val="00B06ECA"/>
    <w:rsid w:val="00B11ECD"/>
    <w:rsid w:val="00B11F17"/>
    <w:rsid w:val="00B13985"/>
    <w:rsid w:val="00B149AA"/>
    <w:rsid w:val="00B16891"/>
    <w:rsid w:val="00B16E70"/>
    <w:rsid w:val="00B2131C"/>
    <w:rsid w:val="00B21A2C"/>
    <w:rsid w:val="00B30D06"/>
    <w:rsid w:val="00B322F8"/>
    <w:rsid w:val="00B36296"/>
    <w:rsid w:val="00B3690A"/>
    <w:rsid w:val="00B3774C"/>
    <w:rsid w:val="00B405D0"/>
    <w:rsid w:val="00B45B04"/>
    <w:rsid w:val="00B45CF7"/>
    <w:rsid w:val="00B57302"/>
    <w:rsid w:val="00B63626"/>
    <w:rsid w:val="00B64BAA"/>
    <w:rsid w:val="00B72D92"/>
    <w:rsid w:val="00B84142"/>
    <w:rsid w:val="00B8451D"/>
    <w:rsid w:val="00B869D6"/>
    <w:rsid w:val="00B87A73"/>
    <w:rsid w:val="00B96DB3"/>
    <w:rsid w:val="00BA3B8D"/>
    <w:rsid w:val="00BB1782"/>
    <w:rsid w:val="00BB225E"/>
    <w:rsid w:val="00BB2397"/>
    <w:rsid w:val="00BB28DD"/>
    <w:rsid w:val="00BB3175"/>
    <w:rsid w:val="00BB64B8"/>
    <w:rsid w:val="00BC0705"/>
    <w:rsid w:val="00BC1407"/>
    <w:rsid w:val="00BC17BE"/>
    <w:rsid w:val="00BC21DD"/>
    <w:rsid w:val="00BC5096"/>
    <w:rsid w:val="00BD5B75"/>
    <w:rsid w:val="00BD7A77"/>
    <w:rsid w:val="00BE244D"/>
    <w:rsid w:val="00BE39A8"/>
    <w:rsid w:val="00BE418B"/>
    <w:rsid w:val="00BF0317"/>
    <w:rsid w:val="00BF0978"/>
    <w:rsid w:val="00BF1027"/>
    <w:rsid w:val="00BF10DD"/>
    <w:rsid w:val="00BF21FD"/>
    <w:rsid w:val="00BF5F7A"/>
    <w:rsid w:val="00BF72C5"/>
    <w:rsid w:val="00C0114B"/>
    <w:rsid w:val="00C10CC2"/>
    <w:rsid w:val="00C15E11"/>
    <w:rsid w:val="00C204FC"/>
    <w:rsid w:val="00C21AF5"/>
    <w:rsid w:val="00C24034"/>
    <w:rsid w:val="00C25E15"/>
    <w:rsid w:val="00C436CD"/>
    <w:rsid w:val="00C456B6"/>
    <w:rsid w:val="00C45C54"/>
    <w:rsid w:val="00C46EF4"/>
    <w:rsid w:val="00C51845"/>
    <w:rsid w:val="00C52246"/>
    <w:rsid w:val="00C6200C"/>
    <w:rsid w:val="00C637E1"/>
    <w:rsid w:val="00C6388C"/>
    <w:rsid w:val="00C72C41"/>
    <w:rsid w:val="00C731B5"/>
    <w:rsid w:val="00C8423B"/>
    <w:rsid w:val="00C879F0"/>
    <w:rsid w:val="00C93887"/>
    <w:rsid w:val="00C94016"/>
    <w:rsid w:val="00C94EDE"/>
    <w:rsid w:val="00C96210"/>
    <w:rsid w:val="00CA033D"/>
    <w:rsid w:val="00CA2F95"/>
    <w:rsid w:val="00CA5CD9"/>
    <w:rsid w:val="00CB5E49"/>
    <w:rsid w:val="00CC058D"/>
    <w:rsid w:val="00CC1FE3"/>
    <w:rsid w:val="00CC201D"/>
    <w:rsid w:val="00CC3D29"/>
    <w:rsid w:val="00CC562C"/>
    <w:rsid w:val="00CC59FF"/>
    <w:rsid w:val="00CC7829"/>
    <w:rsid w:val="00CD7153"/>
    <w:rsid w:val="00CE1260"/>
    <w:rsid w:val="00CE6A0D"/>
    <w:rsid w:val="00CE7700"/>
    <w:rsid w:val="00D045D9"/>
    <w:rsid w:val="00D04C79"/>
    <w:rsid w:val="00D0709F"/>
    <w:rsid w:val="00D1037C"/>
    <w:rsid w:val="00D14B0E"/>
    <w:rsid w:val="00D2315A"/>
    <w:rsid w:val="00D24B67"/>
    <w:rsid w:val="00D302FF"/>
    <w:rsid w:val="00D3058A"/>
    <w:rsid w:val="00D305B4"/>
    <w:rsid w:val="00D3264A"/>
    <w:rsid w:val="00D35968"/>
    <w:rsid w:val="00D37A99"/>
    <w:rsid w:val="00D37C5B"/>
    <w:rsid w:val="00D40C05"/>
    <w:rsid w:val="00D45167"/>
    <w:rsid w:val="00D73991"/>
    <w:rsid w:val="00D73D08"/>
    <w:rsid w:val="00D80400"/>
    <w:rsid w:val="00D819C9"/>
    <w:rsid w:val="00D872E9"/>
    <w:rsid w:val="00D95859"/>
    <w:rsid w:val="00DA34AA"/>
    <w:rsid w:val="00DB4F4A"/>
    <w:rsid w:val="00DB591A"/>
    <w:rsid w:val="00DC341F"/>
    <w:rsid w:val="00DC543A"/>
    <w:rsid w:val="00DC6358"/>
    <w:rsid w:val="00DD34F3"/>
    <w:rsid w:val="00DE5287"/>
    <w:rsid w:val="00DE6629"/>
    <w:rsid w:val="00DE7A04"/>
    <w:rsid w:val="00DE7A06"/>
    <w:rsid w:val="00DF248A"/>
    <w:rsid w:val="00DF2681"/>
    <w:rsid w:val="00E024BC"/>
    <w:rsid w:val="00E044D8"/>
    <w:rsid w:val="00E05400"/>
    <w:rsid w:val="00E07B5C"/>
    <w:rsid w:val="00E10A3E"/>
    <w:rsid w:val="00E16285"/>
    <w:rsid w:val="00E17334"/>
    <w:rsid w:val="00E234E7"/>
    <w:rsid w:val="00E34E66"/>
    <w:rsid w:val="00E356B0"/>
    <w:rsid w:val="00E37538"/>
    <w:rsid w:val="00E37E34"/>
    <w:rsid w:val="00E40B2B"/>
    <w:rsid w:val="00E46093"/>
    <w:rsid w:val="00E50540"/>
    <w:rsid w:val="00E52505"/>
    <w:rsid w:val="00E546AB"/>
    <w:rsid w:val="00E60850"/>
    <w:rsid w:val="00E61A62"/>
    <w:rsid w:val="00E6792B"/>
    <w:rsid w:val="00E71BDA"/>
    <w:rsid w:val="00E770AF"/>
    <w:rsid w:val="00E80393"/>
    <w:rsid w:val="00E8074D"/>
    <w:rsid w:val="00E81C79"/>
    <w:rsid w:val="00E8656E"/>
    <w:rsid w:val="00E86FCD"/>
    <w:rsid w:val="00E976DD"/>
    <w:rsid w:val="00EA5A9D"/>
    <w:rsid w:val="00EA7DDC"/>
    <w:rsid w:val="00EB55AF"/>
    <w:rsid w:val="00EC2793"/>
    <w:rsid w:val="00EC3BDC"/>
    <w:rsid w:val="00EC41C6"/>
    <w:rsid w:val="00ED3D2B"/>
    <w:rsid w:val="00ED4E7C"/>
    <w:rsid w:val="00EE3228"/>
    <w:rsid w:val="00EE6165"/>
    <w:rsid w:val="00EF0A2B"/>
    <w:rsid w:val="00EF35B3"/>
    <w:rsid w:val="00EF3835"/>
    <w:rsid w:val="00EF7FB4"/>
    <w:rsid w:val="00F072EE"/>
    <w:rsid w:val="00F10A80"/>
    <w:rsid w:val="00F17442"/>
    <w:rsid w:val="00F1793C"/>
    <w:rsid w:val="00F24797"/>
    <w:rsid w:val="00F25D55"/>
    <w:rsid w:val="00F311E8"/>
    <w:rsid w:val="00F31D09"/>
    <w:rsid w:val="00F35837"/>
    <w:rsid w:val="00F37101"/>
    <w:rsid w:val="00F3791A"/>
    <w:rsid w:val="00F407B0"/>
    <w:rsid w:val="00F4545B"/>
    <w:rsid w:val="00F518F1"/>
    <w:rsid w:val="00F51C38"/>
    <w:rsid w:val="00F52144"/>
    <w:rsid w:val="00F528C8"/>
    <w:rsid w:val="00F556D1"/>
    <w:rsid w:val="00F56735"/>
    <w:rsid w:val="00F620C3"/>
    <w:rsid w:val="00F64286"/>
    <w:rsid w:val="00F65EC6"/>
    <w:rsid w:val="00F75C00"/>
    <w:rsid w:val="00F763B5"/>
    <w:rsid w:val="00F80773"/>
    <w:rsid w:val="00F81A63"/>
    <w:rsid w:val="00F8678E"/>
    <w:rsid w:val="00F912C8"/>
    <w:rsid w:val="00F91F48"/>
    <w:rsid w:val="00F92FAD"/>
    <w:rsid w:val="00F93037"/>
    <w:rsid w:val="00F94F97"/>
    <w:rsid w:val="00FA1B76"/>
    <w:rsid w:val="00FA2605"/>
    <w:rsid w:val="00FA2801"/>
    <w:rsid w:val="00FA4BAC"/>
    <w:rsid w:val="00FA4C99"/>
    <w:rsid w:val="00FA680F"/>
    <w:rsid w:val="00FB027C"/>
    <w:rsid w:val="00FB217B"/>
    <w:rsid w:val="00FB3069"/>
    <w:rsid w:val="00FB4B0D"/>
    <w:rsid w:val="00FB52AE"/>
    <w:rsid w:val="00FC0790"/>
    <w:rsid w:val="00FC2E24"/>
    <w:rsid w:val="00FC5546"/>
    <w:rsid w:val="00FC5C69"/>
    <w:rsid w:val="00FD42C1"/>
    <w:rsid w:val="00FD61DE"/>
    <w:rsid w:val="00FE5E4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B0A22B0"/>
  <w15:docId w15:val="{84A5E739-535C-46F4-941D-3E263B17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  <w:style w:type="table" w:styleId="TableGrid">
    <w:name w:val="Table Grid"/>
    <w:basedOn w:val="TableNormal"/>
    <w:rsid w:val="00301A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5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1B"/>
    <w:rPr>
      <w:rFonts w:ascii="Courier New" w:hAnsi="Courier New" w:cs="Courier New"/>
    </w:rPr>
  </w:style>
  <w:style w:type="character" w:customStyle="1" w:styleId="tlid-translation">
    <w:name w:val="tlid-translation"/>
    <w:basedOn w:val="DefaultParagraphFont"/>
    <w:rsid w:val="001E2718"/>
  </w:style>
  <w:style w:type="paragraph" w:styleId="BlockText">
    <w:name w:val="Block Text"/>
    <w:basedOn w:val="Normal"/>
    <w:uiPriority w:val="99"/>
    <w:semiHidden/>
    <w:rsid w:val="003D562A"/>
    <w:pPr>
      <w:bidi w:val="0"/>
      <w:ind w:left="-284" w:right="-338"/>
      <w:jc w:val="lowKashida"/>
    </w:pPr>
    <w:rPr>
      <w:rFonts w:cs="Traditional Arabic"/>
    </w:rPr>
  </w:style>
  <w:style w:type="paragraph" w:styleId="Title">
    <w:name w:val="Title"/>
    <w:basedOn w:val="Normal"/>
    <w:link w:val="TitleChar"/>
    <w:qFormat/>
    <w:rsid w:val="003D562A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3D562A"/>
    <w:rPr>
      <w:rFonts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9089384660262"/>
          <c:y val="5.4624943099824706E-2"/>
          <c:w val="0.80923581667676658"/>
          <c:h val="0.78556759740825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B00-46AB-8AE4-0A086368F07B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EB00-46AB-8AE4-0A086368F07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B00-46AB-8AE4-0A086368F07B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State of Palestine </c:v>
                </c:pt>
                <c:pt idx="1">
                  <c:v>1948 Territory</c:v>
                </c:pt>
                <c:pt idx="2">
                  <c:v>Arab Countries</c:v>
                </c:pt>
                <c:pt idx="3">
                  <c:v>Foreign Countries</c:v>
                </c:pt>
              </c:strCache>
            </c:strRef>
          </c:cat>
          <c:val>
            <c:numRef>
              <c:f>Sheet1!$B$2:$B$5</c:f>
              <c:numCache>
                <c:formatCode>0</c:formatCode>
                <c:ptCount val="4"/>
                <c:pt idx="0">
                  <c:v>5226801</c:v>
                </c:pt>
                <c:pt idx="1">
                  <c:v>1652982</c:v>
                </c:pt>
                <c:pt idx="2">
                  <c:v>6224680</c:v>
                </c:pt>
                <c:pt idx="3">
                  <c:v>743822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00-46AB-8AE4-0A086368F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32928"/>
        <c:axId val="133934464"/>
      </c:barChart>
      <c:catAx>
        <c:axId val="13393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34464"/>
        <c:crosses val="autoZero"/>
        <c:auto val="1"/>
        <c:lblAlgn val="ctr"/>
        <c:lblOffset val="100"/>
        <c:noMultiLvlLbl val="0"/>
      </c:catAx>
      <c:valAx>
        <c:axId val="13393446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393292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2620633959216705E-3"/>
                <c:y val="0.30479542998301684"/>
              </c:manualLayout>
            </c:layout>
            <c:tx>
              <c:rich>
                <a:bodyPr/>
                <a:lstStyle/>
                <a:p>
                  <a:pPr>
                    <a:defRPr sz="800">
                      <a:latin typeface="Arial" pitchFamily="34" charset="0"/>
                      <a:cs typeface="Arial" pitchFamily="34" charset="0"/>
                    </a:defRPr>
                  </a:pPr>
                  <a:r>
                    <a:rPr lang="en-US" sz="800">
                      <a:latin typeface="Arial" pitchFamily="34" charset="0"/>
                      <a:cs typeface="Arial" pitchFamily="34" charset="0"/>
                    </a:rPr>
                    <a:t>Million</a:t>
                  </a:r>
                  <a:endParaRPr lang="ar-SA" sz="800">
                    <a:latin typeface="Arial" pitchFamily="34" charset="0"/>
                    <a:cs typeface="Arial" pitchFamily="34" charset="0"/>
                  </a:endParaRPr>
                </a:p>
              </c:rich>
            </c:tx>
          </c:dispUnitsLbl>
        </c:dispUnits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751029599075637"/>
          <c:y val="5.0591519005685232E-2"/>
          <c:w val="0.88160913110947414"/>
          <c:h val="0.7519551213654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Sheet6!$A$2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Sheet6!$B$2:$C$2</c:f>
              <c:numCache>
                <c:formatCode>General</c:formatCode>
                <c:ptCount val="2"/>
                <c:pt idx="0">
                  <c:v>5.8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B-4F17-BC06-E791D88F812A}"/>
            </c:ext>
          </c:extLst>
        </c:ser>
        <c:ser>
          <c:idx val="1"/>
          <c:order val="1"/>
          <c:tx>
            <c:strRef>
              <c:f>Sheet6!$A$3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Sheet6!$B$3:$C$3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EB-4F17-BC06-E791D88F812A}"/>
            </c:ext>
          </c:extLst>
        </c:ser>
        <c:ser>
          <c:idx val="2"/>
          <c:order val="2"/>
          <c:tx>
            <c:strRef>
              <c:f>Sheet6!$A$4</c:f>
              <c:strCache>
                <c:ptCount val="1"/>
                <c:pt idx="0">
                  <c:v>Palestine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Sheet6!$B$1:$C$1</c:f>
              <c:strCache>
                <c:ptCount val="2"/>
                <c:pt idx="0">
                  <c:v>2003-1999</c:v>
                </c:pt>
                <c:pt idx="1">
                  <c:v>2019-2017</c:v>
                </c:pt>
              </c:strCache>
            </c:strRef>
          </c:cat>
          <c:val>
            <c:numRef>
              <c:f>Sheet6!$B$4:$C$4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EB-4F17-BC06-E791D88F81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470976"/>
        <c:axId val="145472896"/>
      </c:barChart>
      <c:catAx>
        <c:axId val="14547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  <a:endParaRPr lang="ar-SA"/>
              </a:p>
            </c:rich>
          </c:tx>
          <c:layout>
            <c:manualLayout>
              <c:xMode val="edge"/>
              <c:yMode val="edge"/>
              <c:x val="0.4977242985471888"/>
              <c:y val="0.9006216114877596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547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472896"/>
        <c:scaling>
          <c:orientation val="minMax"/>
          <c:max val="7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547097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35904884874033621"/>
          <c:y val="3.1707854927154853E-2"/>
          <c:w val="0.56703322281605351"/>
          <c:h val="0.16254294917680748"/>
        </c:manualLayout>
      </c:layout>
      <c:overlay val="0"/>
      <c:spPr>
        <a:ln>
          <a:solidFill>
            <a:srgbClr val="4F81BD"/>
          </a:solidFill>
        </a:ln>
      </c:sp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72597542954224"/>
          <c:y val="0.17970930520477393"/>
          <c:w val="0.81556427507031948"/>
          <c:h val="0.70918735925763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D2D-425C-8B7D-7A19071EB4A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D2D-425C-8B7D-7A19071EB4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5.8</c:v>
                </c:pt>
                <c:pt idx="1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2D-425C-8B7D-7A19071EB4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5.5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2D-425C-8B7D-7A19071EB4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2007</c:v>
                </c:pt>
                <c:pt idx="1">
                  <c:v>2020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6.5</c:v>
                </c:pt>
                <c:pt idx="1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2D-425C-8B7D-7A19071EB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93632"/>
        <c:axId val="136954240"/>
      </c:barChart>
      <c:catAx>
        <c:axId val="13669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6954240"/>
        <c:crosses val="autoZero"/>
        <c:auto val="1"/>
        <c:lblAlgn val="ctr"/>
        <c:lblOffset val="100"/>
        <c:noMultiLvlLbl val="0"/>
      </c:catAx>
      <c:valAx>
        <c:axId val="136954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669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93632413595408"/>
          <c:y val="4.0806883675623032E-2"/>
          <c:w val="0.68685083457513663"/>
          <c:h val="0.10939531790771836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564413823272772E-2"/>
          <c:y val="4.4057617797775513E-2"/>
          <c:w val="0.88248651210264994"/>
          <c:h val="0.7091829650325965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9F-4232-90C1-0DFBCAFC3215}"/>
                </c:ext>
              </c:extLst>
            </c:dLbl>
            <c:dLbl>
              <c:idx val="2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9F-4232-90C1-0DFBCAFC321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Sheet1!$A$2:$A$22</c:f>
              <c:numCache>
                <c:formatCode>General</c:formatCode>
                <c:ptCount val="2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</c:numCache>
            </c:numRef>
          </c:cat>
          <c:val>
            <c:numRef>
              <c:f>Sheet1!$B$2:$B$22</c:f>
              <c:numCache>
                <c:formatCode>0.0</c:formatCode>
                <c:ptCount val="21"/>
                <c:pt idx="0">
                  <c:v>5.6</c:v>
                </c:pt>
                <c:pt idx="1">
                  <c:v>4.7</c:v>
                </c:pt>
                <c:pt idx="2">
                  <c:v>4.3</c:v>
                </c:pt>
                <c:pt idx="3">
                  <c:v>3.7</c:v>
                </c:pt>
                <c:pt idx="4">
                  <c:v>3.5</c:v>
                </c:pt>
                <c:pt idx="5">
                  <c:v>3.1</c:v>
                </c:pt>
                <c:pt idx="6">
                  <c:v>2.9</c:v>
                </c:pt>
                <c:pt idx="7">
                  <c:v>2.8</c:v>
                </c:pt>
                <c:pt idx="8">
                  <c:v>2.9</c:v>
                </c:pt>
                <c:pt idx="9">
                  <c:v>2.6</c:v>
                </c:pt>
                <c:pt idx="10">
                  <c:v>2.4</c:v>
                </c:pt>
                <c:pt idx="11">
                  <c:v>2.1</c:v>
                </c:pt>
                <c:pt idx="12">
                  <c:v>1.8</c:v>
                </c:pt>
                <c:pt idx="13">
                  <c:v>1.6</c:v>
                </c:pt>
                <c:pt idx="14">
                  <c:v>1.6</c:v>
                </c:pt>
                <c:pt idx="15">
                  <c:v>1.5</c:v>
                </c:pt>
                <c:pt idx="16">
                  <c:v>1.4</c:v>
                </c:pt>
                <c:pt idx="17">
                  <c:v>1.7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9F-4232-90C1-0DFBCAFC32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7777777777777853E-2"/>
                  <c:y val="-5.0890585241730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F9F-4232-90C1-0DFBCAFC3215}"/>
                </c:ext>
              </c:extLst>
            </c:dLbl>
            <c:dLbl>
              <c:idx val="2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F9F-4232-90C1-0DFBCAFC321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Sheet1!$A$2:$A$22</c:f>
              <c:numCache>
                <c:formatCode>General</c:formatCode>
                <c:ptCount val="2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</c:numCache>
            </c:numRef>
          </c:cat>
          <c:val>
            <c:numRef>
              <c:f>Sheet1!$C$2:$C$22</c:f>
              <c:numCache>
                <c:formatCode>0.0</c:formatCode>
                <c:ptCount val="21"/>
                <c:pt idx="0">
                  <c:v>16.100000000000001</c:v>
                </c:pt>
                <c:pt idx="1">
                  <c:v>15</c:v>
                </c:pt>
                <c:pt idx="2">
                  <c:v>13.6</c:v>
                </c:pt>
                <c:pt idx="3">
                  <c:v>12.6</c:v>
                </c:pt>
                <c:pt idx="4">
                  <c:v>12</c:v>
                </c:pt>
                <c:pt idx="5">
                  <c:v>11.1</c:v>
                </c:pt>
                <c:pt idx="6">
                  <c:v>10.200000000000001</c:v>
                </c:pt>
                <c:pt idx="7">
                  <c:v>9.5</c:v>
                </c:pt>
                <c:pt idx="8">
                  <c:v>9.1</c:v>
                </c:pt>
                <c:pt idx="9">
                  <c:v>8.3000000000000007</c:v>
                </c:pt>
                <c:pt idx="10">
                  <c:v>7.8</c:v>
                </c:pt>
                <c:pt idx="11">
                  <c:v>7.4</c:v>
                </c:pt>
                <c:pt idx="12">
                  <c:v>6.4</c:v>
                </c:pt>
                <c:pt idx="13">
                  <c:v>5.9</c:v>
                </c:pt>
                <c:pt idx="14">
                  <c:v>5.6</c:v>
                </c:pt>
                <c:pt idx="15">
                  <c:v>5.0999999999999996</c:v>
                </c:pt>
                <c:pt idx="16">
                  <c:v>4.8</c:v>
                </c:pt>
                <c:pt idx="17">
                  <c:v>5</c:v>
                </c:pt>
                <c:pt idx="18">
                  <c:v>4.3</c:v>
                </c:pt>
                <c:pt idx="19">
                  <c:v>4.0999999999999996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F9F-4232-90C1-0DFBCAFC3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158592"/>
        <c:axId val="154160128"/>
      </c:lineChart>
      <c:catAx>
        <c:axId val="15415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54160128"/>
        <c:crosses val="autoZero"/>
        <c:auto val="1"/>
        <c:lblAlgn val="ctr"/>
        <c:lblOffset val="100"/>
        <c:noMultiLvlLbl val="0"/>
      </c:catAx>
      <c:valAx>
        <c:axId val="15416012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5415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349537037037065"/>
          <c:y val="0.17030589926259221"/>
          <c:w val="0.29057870370370575"/>
          <c:h val="9.5896137982752205E-2"/>
        </c:manualLayout>
      </c:layout>
      <c:overlay val="0"/>
      <c:txPr>
        <a:bodyPr/>
        <a:lstStyle/>
        <a:p>
          <a:pPr>
            <a:defRPr lang="en-US"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51961993989995"/>
          <c:y val="4.6431359846476623E-2"/>
          <c:w val="0.86375221920296241"/>
          <c:h val="0.8244386621909375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5.8203400968200002E-2"/>
                  <c:y val="-7.1149220337981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B5F-4C0E-8832-5BB03520B8B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5F-4C0E-8832-5BB03520B8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5F-4C0E-8832-5BB03520B8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5F-4C0E-8832-5BB03520B8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5F-4C0E-8832-5BB03520B8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.0">
                  <c:v>23</c:v>
                </c:pt>
                <c:pt idx="1">
                  <c:v>23.9</c:v>
                </c:pt>
                <c:pt idx="2">
                  <c:v>25.7</c:v>
                </c:pt>
                <c:pt idx="3">
                  <c:v>26.2</c:v>
                </c:pt>
                <c:pt idx="4">
                  <c:v>25.3</c:v>
                </c:pt>
                <c:pt idx="5">
                  <c:v>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B5F-4C0E-8832-5BB03520B8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6.2680585658061561E-2"/>
                  <c:y val="9.0553553157432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B5F-4C0E-8832-5BB03520B8B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5F-4C0E-8832-5BB03520B8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5F-4C0E-8832-5BB03520B8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5F-4C0E-8832-5BB03520B8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5F-4C0E-8832-5BB03520B8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B5F-4C0E-8832-5BB03520B8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B5F-4C0E-8832-5BB03520B8B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5F-4C0E-8832-5BB03520B8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5F-4C0E-8832-5BB03520B8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5F-4C0E-8832-5BB03520B8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5F-4C0E-8832-5BB03520B8B0}"/>
                </c:ext>
              </c:extLst>
            </c:dLbl>
            <c:dLbl>
              <c:idx val="5"/>
              <c:layout>
                <c:manualLayout>
                  <c:x val="4.4477578132645443E-3"/>
                  <c:y val="3.01051821773651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B5F-4C0E-8832-5BB03520B8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34.800000000000011</c:v>
                </c:pt>
                <c:pt idx="1">
                  <c:v>35.4</c:v>
                </c:pt>
                <c:pt idx="2">
                  <c:v>38.800000000000011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3B5F-4C0E-8832-5BB03520B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28128"/>
        <c:axId val="110276992"/>
      </c:lineChart>
      <c:catAx>
        <c:axId val="1097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0276992"/>
        <c:crosses val="autoZero"/>
        <c:auto val="1"/>
        <c:lblAlgn val="ctr"/>
        <c:lblOffset val="100"/>
        <c:noMultiLvlLbl val="0"/>
      </c:catAx>
      <c:valAx>
        <c:axId val="110276992"/>
        <c:scaling>
          <c:orientation val="minMax"/>
          <c:max val="55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972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36651150460197"/>
          <c:y val="3.8813249339565196E-2"/>
          <c:w val="0.74074950186914035"/>
          <c:h val="0.10571337916015409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81DE-F6A1-4CE1-A06E-8F1218CF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1471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Indeed, demographic</vt:lpstr>
      <vt:lpstr>Indeed, demographic</vt:lpstr>
    </vt:vector>
  </TitlesOfParts>
  <Company>marsel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LOAY SHEHADEH</cp:lastModifiedBy>
  <cp:revision>6</cp:revision>
  <cp:lastPrinted>2021-07-11T10:19:00Z</cp:lastPrinted>
  <dcterms:created xsi:type="dcterms:W3CDTF">2021-07-11T09:02:00Z</dcterms:created>
  <dcterms:modified xsi:type="dcterms:W3CDTF">2021-07-11T10:24:00Z</dcterms:modified>
</cp:coreProperties>
</file>