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F" w:rsidRDefault="002E3F5F" w:rsidP="008054BA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</w:p>
    <w:p w:rsidR="002E3F5F" w:rsidRDefault="002E3F5F" w:rsidP="008054BA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</w:p>
    <w:p w:rsidR="008054BA" w:rsidRPr="002E3F5F" w:rsidRDefault="008054BA" w:rsidP="008054BA">
      <w:pPr>
        <w:pStyle w:val="BodyText3"/>
        <w:ind w:right="1"/>
        <w:jc w:val="center"/>
        <w:rPr>
          <w:rFonts w:cs="Times New Roman"/>
          <w:sz w:val="32"/>
          <w:szCs w:val="32"/>
          <w:rtl/>
        </w:rPr>
      </w:pPr>
      <w:r w:rsidRPr="002E3F5F">
        <w:rPr>
          <w:rFonts w:cs="Times New Roman"/>
          <w:sz w:val="32"/>
          <w:szCs w:val="32"/>
        </w:rPr>
        <w:t>Palestinian Central Bureau of Statistics (PCBS)</w:t>
      </w:r>
    </w:p>
    <w:p w:rsidR="008054BA" w:rsidRPr="008054BA" w:rsidRDefault="008054BA" w:rsidP="008054BA">
      <w:pPr>
        <w:pStyle w:val="BodyText3"/>
        <w:ind w:right="1"/>
        <w:jc w:val="center"/>
        <w:rPr>
          <w:rFonts w:cs="Times New Roman"/>
          <w:sz w:val="16"/>
          <w:szCs w:val="16"/>
          <w:rtl/>
        </w:rPr>
      </w:pPr>
    </w:p>
    <w:p w:rsidR="002E3F5F" w:rsidRDefault="00F9771A" w:rsidP="002E3F5F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  <w:r w:rsidRPr="008054BA">
        <w:rPr>
          <w:rFonts w:cs="Times New Roman"/>
          <w:sz w:val="28"/>
          <w:szCs w:val="28"/>
        </w:rPr>
        <w:t xml:space="preserve">Increase in the number of building licenses in Palestine* in the third quarter </w:t>
      </w:r>
    </w:p>
    <w:p w:rsidR="00F9771A" w:rsidRPr="008054BA" w:rsidRDefault="00F9771A" w:rsidP="002E3F5F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8054BA">
        <w:rPr>
          <w:rFonts w:cs="Times New Roman"/>
          <w:sz w:val="28"/>
          <w:szCs w:val="28"/>
        </w:rPr>
        <w:t>of 2020, due to the increase in the number of new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2E3F5F" w:rsidRDefault="002E3F5F" w:rsidP="007C5A08">
      <w:pPr>
        <w:bidi w:val="0"/>
        <w:ind w:right="-2"/>
        <w:jc w:val="both"/>
        <w:rPr>
          <w:rFonts w:cs="Simplified Arabic"/>
          <w:rtl/>
        </w:rPr>
      </w:pPr>
    </w:p>
    <w:p w:rsidR="00EB1374" w:rsidRPr="001163C8" w:rsidRDefault="00EB1374" w:rsidP="002E3F5F">
      <w:pPr>
        <w:bidi w:val="0"/>
        <w:ind w:right="-2"/>
        <w:jc w:val="both"/>
      </w:pPr>
      <w:r w:rsidRPr="001163C8">
        <w:rPr>
          <w:rFonts w:cs="Simplified Arabic"/>
        </w:rPr>
        <w:t>A total</w:t>
      </w:r>
      <w:r w:rsidRPr="001163C8">
        <w:rPr>
          <w:rFonts w:cs="Simplified Arabic"/>
          <w:b/>
          <w:bCs/>
        </w:rPr>
        <w:t xml:space="preserve"> </w:t>
      </w:r>
      <w:r w:rsidRPr="001163C8">
        <w:t xml:space="preserve">of </w:t>
      </w:r>
      <w:r w:rsidR="00F9771A" w:rsidRPr="00F9771A">
        <w:t>1,974</w:t>
      </w:r>
      <w:r w:rsidRPr="001163C8">
        <w:t xml:space="preserve"> building licenses were issued in the </w:t>
      </w:r>
      <w:r w:rsidR="007C5A08">
        <w:t>third</w:t>
      </w:r>
      <w:r w:rsidRPr="001163C8">
        <w:t xml:space="preserve"> quarter of 20</w:t>
      </w:r>
      <w:r w:rsidR="002B118B">
        <w:t>20</w:t>
      </w:r>
      <w:r w:rsidRPr="001163C8">
        <w:t xml:space="preserve"> which included </w:t>
      </w:r>
      <w:r w:rsidR="007C5A08" w:rsidRPr="007C5A08">
        <w:t>1,353</w:t>
      </w:r>
      <w:r w:rsidRPr="001163C8">
        <w:t xml:space="preserve"> for new buildings</w:t>
      </w:r>
      <w:r>
        <w:t>.</w:t>
      </w:r>
      <w:r w:rsidRPr="001163C8">
        <w:t xml:space="preserve"> </w:t>
      </w:r>
    </w:p>
    <w:p w:rsidR="00EB1374" w:rsidRPr="001E1151" w:rsidRDefault="00EB1374" w:rsidP="001E1151">
      <w:pPr>
        <w:bidi w:val="0"/>
        <w:rPr>
          <w:color w:val="1F497D"/>
        </w:rPr>
      </w:pPr>
    </w:p>
    <w:p w:rsidR="00EB1374" w:rsidRPr="00071EE1" w:rsidRDefault="00EB1374" w:rsidP="00D36FCA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  <w:r w:rsidRPr="00071EE1">
        <w:t xml:space="preserve">The total number of building licenses issued in the </w:t>
      </w:r>
      <w:r w:rsidR="00D36FCA">
        <w:t>third</w:t>
      </w:r>
      <w:r w:rsidRPr="00071EE1">
        <w:rPr>
          <w:rFonts w:cs="Simplified Arabic"/>
        </w:rPr>
        <w:t xml:space="preserve"> </w:t>
      </w:r>
      <w:r w:rsidRPr="00071EE1">
        <w:t>quarter of 20</w:t>
      </w:r>
      <w:r w:rsidR="004968B5">
        <w:t>20</w:t>
      </w:r>
      <w:r w:rsidRPr="00071EE1">
        <w:t xml:space="preserve"> </w:t>
      </w:r>
      <w:r w:rsidR="00D36FCA">
        <w:t>in</w:t>
      </w:r>
      <w:r w:rsidRPr="00071EE1">
        <w:t xml:space="preserve">creased by </w:t>
      </w:r>
      <w:r w:rsidR="00D36FCA">
        <w:t>62</w:t>
      </w:r>
      <w:r w:rsidRPr="00071EE1">
        <w:t xml:space="preserve">% compared with the </w:t>
      </w:r>
      <w:r w:rsidR="00D36FCA">
        <w:t>second</w:t>
      </w:r>
      <w:r w:rsidR="004968B5" w:rsidRPr="00071EE1">
        <w:t xml:space="preserve"> </w:t>
      </w:r>
      <w:r w:rsidRPr="00071EE1">
        <w:t>quarter</w:t>
      </w:r>
      <w:bookmarkStart w:id="0" w:name="OLE_LINK12"/>
      <w:r w:rsidRPr="00071EE1">
        <w:t xml:space="preserve"> of 20</w:t>
      </w:r>
      <w:r w:rsidR="009827BF">
        <w:t>20</w:t>
      </w:r>
      <w:r w:rsidRPr="00071EE1">
        <w:t xml:space="preserve"> </w:t>
      </w:r>
      <w:bookmarkEnd w:id="0"/>
      <w:r w:rsidRPr="00071EE1">
        <w:t xml:space="preserve">and </w:t>
      </w:r>
      <w:r w:rsidR="004968B5">
        <w:t>de</w:t>
      </w:r>
      <w:r w:rsidRPr="00071EE1">
        <w:t xml:space="preserve">creased by </w:t>
      </w:r>
      <w:r w:rsidR="00D36FCA">
        <w:t>10</w:t>
      </w:r>
      <w:r w:rsidRPr="00071EE1">
        <w:t xml:space="preserve">% compared with the </w:t>
      </w:r>
      <w:r w:rsidR="00D36FCA">
        <w:t>third</w:t>
      </w:r>
      <w:r w:rsidRPr="00071EE1">
        <w:rPr>
          <w:rFonts w:cs="Simplified Arabic"/>
        </w:rPr>
        <w:t xml:space="preserve"> </w:t>
      </w:r>
      <w:r w:rsidRPr="00071EE1">
        <w:t>quarter of 201</w:t>
      </w:r>
      <w:r w:rsidR="004968B5">
        <w:t>9</w:t>
      </w:r>
      <w:r w:rsidRPr="00071EE1">
        <w:t xml:space="preserve">, where the number of new building licenses </w:t>
      </w:r>
      <w:r w:rsidR="00D36FCA">
        <w:t>in</w:t>
      </w:r>
      <w:r w:rsidRPr="00071EE1">
        <w:t xml:space="preserve">creased by </w:t>
      </w:r>
      <w:r w:rsidR="00D36FCA">
        <w:t>66</w:t>
      </w:r>
      <w:r w:rsidRPr="00071EE1">
        <w:t xml:space="preserve">% compared with the </w:t>
      </w:r>
      <w:r w:rsidR="00D36FCA">
        <w:t>second</w:t>
      </w:r>
      <w:r w:rsidR="004968B5" w:rsidRPr="00071EE1">
        <w:t xml:space="preserve"> </w:t>
      </w:r>
      <w:r w:rsidRPr="00071EE1">
        <w:t>quarter of 20</w:t>
      </w:r>
      <w:r w:rsidR="009827BF">
        <w:t>20</w:t>
      </w:r>
      <w:r w:rsidRPr="00071EE1">
        <w:t xml:space="preserve"> and </w:t>
      </w:r>
      <w:r w:rsidR="004968B5">
        <w:t>de</w:t>
      </w:r>
      <w:r w:rsidRPr="00071EE1">
        <w:t xml:space="preserve">creased by </w:t>
      </w:r>
      <w:r w:rsidR="00D36FCA">
        <w:t>7</w:t>
      </w:r>
      <w:r w:rsidRPr="00071EE1">
        <w:t xml:space="preserve">% compared with the </w:t>
      </w:r>
      <w:r w:rsidR="00D36FCA">
        <w:t>third</w:t>
      </w:r>
      <w:r w:rsidRPr="00071EE1">
        <w:t xml:space="preserve"> quarter of 201</w:t>
      </w:r>
      <w:r w:rsidR="004968B5">
        <w:t>9</w:t>
      </w:r>
      <w:r w:rsidRPr="00071EE1">
        <w:t>.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1163C8" w:rsidRDefault="00EB1374" w:rsidP="00D36FCA">
      <w:pPr>
        <w:numPr>
          <w:ilvl w:val="12"/>
          <w:numId w:val="0"/>
        </w:numPr>
        <w:bidi w:val="0"/>
        <w:ind w:left="1" w:right="1"/>
        <w:jc w:val="both"/>
      </w:pPr>
      <w:r w:rsidRPr="001163C8">
        <w:t xml:space="preserve">The area of licensed buildings (residential and non-residential) totaled </w:t>
      </w:r>
      <w:r w:rsidR="00D36FCA">
        <w:t>822</w:t>
      </w:r>
      <w:r>
        <w:t xml:space="preserve">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, of which new buildings made up </w:t>
      </w:r>
      <w:r w:rsidR="00D36FCA">
        <w:t>677</w:t>
      </w:r>
      <w:r>
        <w:t xml:space="preserve">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 and existing buildings comprised </w:t>
      </w:r>
      <w:r w:rsidR="00D36FCA">
        <w:t>145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>.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FD16E7" w:rsidRDefault="00EB1374" w:rsidP="00FD16E7">
      <w:pPr>
        <w:bidi w:val="0"/>
        <w:jc w:val="both"/>
        <w:rPr>
          <w:sz w:val="20"/>
          <w:szCs w:val="20"/>
          <w:rtl/>
          <w:lang w:eastAsia="en-US"/>
        </w:rPr>
      </w:pPr>
      <w:r w:rsidRPr="001163C8">
        <w:t xml:space="preserve">The total number of licensed dwellings was </w:t>
      </w:r>
      <w:r w:rsidR="00FD16E7" w:rsidRPr="00FD16E7">
        <w:t>3,614</w:t>
      </w:r>
      <w:r w:rsidR="00FD16E7">
        <w:rPr>
          <w:sz w:val="20"/>
          <w:szCs w:val="20"/>
          <w:lang w:eastAsia="en-US"/>
        </w:rPr>
        <w:t xml:space="preserve"> </w:t>
      </w:r>
      <w:r w:rsidRPr="001163C8">
        <w:t xml:space="preserve">with a total area of </w:t>
      </w:r>
      <w:r w:rsidR="00FD16E7" w:rsidRPr="00FD16E7">
        <w:t>596</w:t>
      </w:r>
      <w:r>
        <w:t xml:space="preserve">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, of which </w:t>
      </w:r>
      <w:r w:rsidR="00FD16E7" w:rsidRPr="00FD16E7">
        <w:t>2,836</w:t>
      </w:r>
      <w:r w:rsidR="00FD16E7">
        <w:t xml:space="preserve"> </w:t>
      </w:r>
      <w:r w:rsidRPr="001163C8">
        <w:rPr>
          <w:rFonts w:eastAsia="Arial Unicode MS"/>
        </w:rPr>
        <w:t xml:space="preserve">were </w:t>
      </w:r>
      <w:r w:rsidRPr="001163C8">
        <w:t xml:space="preserve">new dwellings with a total area of </w:t>
      </w:r>
      <w:r w:rsidR="00FD16E7">
        <w:rPr>
          <w:rFonts w:hint="cs"/>
          <w:rtl/>
        </w:rPr>
        <w:t>469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 xml:space="preserve"> and </w:t>
      </w:r>
      <w:r w:rsidR="00FD16E7" w:rsidRPr="00FD16E7">
        <w:t>778</w:t>
      </w:r>
      <w:r w:rsidRPr="001163C8">
        <w:t xml:space="preserve"> were existing dwellings with a total area of </w:t>
      </w:r>
      <w:r w:rsidR="00FD16E7">
        <w:rPr>
          <w:rFonts w:hint="cs"/>
          <w:rtl/>
        </w:rPr>
        <w:t>127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 xml:space="preserve">. 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  <w:bookmarkStart w:id="1" w:name="_GoBack"/>
      <w:bookmarkEnd w:id="1"/>
    </w:p>
    <w:p w:rsidR="00EB1374" w:rsidRPr="00C05406" w:rsidRDefault="00EB1374" w:rsidP="00EC43B4">
      <w:pPr>
        <w:numPr>
          <w:ilvl w:val="12"/>
          <w:numId w:val="0"/>
        </w:numPr>
        <w:bidi w:val="0"/>
        <w:ind w:left="1" w:right="1"/>
        <w:jc w:val="both"/>
      </w:pPr>
      <w:r w:rsidRPr="001163C8">
        <w:t xml:space="preserve">The number of new dwellings in the </w:t>
      </w:r>
      <w:r w:rsidR="00197B48">
        <w:t>third</w:t>
      </w:r>
      <w:r w:rsidRPr="001163C8">
        <w:t xml:space="preserve"> quarter of 20</w:t>
      </w:r>
      <w:r w:rsidR="00513DCC">
        <w:t>20</w:t>
      </w:r>
      <w:r w:rsidRPr="001163C8">
        <w:t xml:space="preserve"> </w:t>
      </w:r>
      <w:r w:rsidR="00197B48">
        <w:t>in</w:t>
      </w:r>
      <w:r w:rsidRPr="001163C8">
        <w:t xml:space="preserve">creased by </w:t>
      </w:r>
      <w:r w:rsidR="00EC43B4">
        <w:t>64</w:t>
      </w:r>
      <w:r w:rsidRPr="001163C8">
        <w:t xml:space="preserve">% compared with the </w:t>
      </w:r>
      <w:r w:rsidR="00197B48">
        <w:t>second</w:t>
      </w:r>
      <w:r w:rsidRPr="001163C8">
        <w:t xml:space="preserve"> quarter of 20</w:t>
      </w:r>
      <w:r w:rsidR="00F734FE">
        <w:t>20</w:t>
      </w:r>
      <w:r w:rsidRPr="001163C8">
        <w:t xml:space="preserve"> and </w:t>
      </w:r>
      <w:r w:rsidR="00513DCC">
        <w:t>de</w:t>
      </w:r>
      <w:r w:rsidRPr="00DA5190">
        <w:t>creased</w:t>
      </w:r>
      <w:r w:rsidRPr="001163C8">
        <w:t xml:space="preserve"> by </w:t>
      </w:r>
      <w:r w:rsidR="00197B48">
        <w:t>12</w:t>
      </w:r>
      <w:r w:rsidRPr="001163C8">
        <w:t xml:space="preserve">% compared with the </w:t>
      </w:r>
      <w:r w:rsidR="00197B48">
        <w:t>third</w:t>
      </w:r>
      <w:r w:rsidRPr="001163C8">
        <w:t xml:space="preserve"> quarter of 201</w:t>
      </w:r>
      <w:r w:rsidR="00513DCC">
        <w:t>9</w:t>
      </w:r>
      <w:r w:rsidRPr="001163C8">
        <w:t>.</w:t>
      </w:r>
    </w:p>
    <w:p w:rsidR="008054BA" w:rsidRDefault="008054BA" w:rsidP="008054BA">
      <w:pPr>
        <w:bidi w:val="0"/>
        <w:jc w:val="center"/>
        <w:rPr>
          <w:rFonts w:cs="Simplified Arabic"/>
          <w:snapToGrid w:val="0"/>
          <w:color w:val="000000"/>
          <w:rtl/>
        </w:rPr>
      </w:pPr>
    </w:p>
    <w:p w:rsidR="002E3F5F" w:rsidRDefault="00EB1374" w:rsidP="008054BA">
      <w:pPr>
        <w:bidi w:val="0"/>
        <w:jc w:val="center"/>
        <w:rPr>
          <w:b/>
          <w:bCs/>
          <w:sz w:val="26"/>
          <w:szCs w:val="26"/>
          <w:rtl/>
        </w:rPr>
      </w:pPr>
      <w:r w:rsidRPr="008054BA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Default="00A41AC4" w:rsidP="002E3F5F">
      <w:pPr>
        <w:bidi w:val="0"/>
        <w:jc w:val="center"/>
        <w:rPr>
          <w:b/>
          <w:bCs/>
          <w:sz w:val="26"/>
          <w:szCs w:val="26"/>
          <w:rtl/>
        </w:rPr>
      </w:pPr>
      <w:r w:rsidRPr="008054BA">
        <w:rPr>
          <w:b/>
          <w:bCs/>
          <w:sz w:val="26"/>
          <w:szCs w:val="26"/>
        </w:rPr>
        <w:t>Third</w:t>
      </w:r>
      <w:r w:rsidR="00EB1374" w:rsidRPr="008054BA">
        <w:rPr>
          <w:b/>
          <w:bCs/>
          <w:sz w:val="26"/>
          <w:szCs w:val="26"/>
        </w:rPr>
        <w:t xml:space="preserve"> Quarter 201</w:t>
      </w:r>
      <w:r w:rsidR="003B5E7A" w:rsidRPr="008054BA">
        <w:rPr>
          <w:b/>
          <w:bCs/>
          <w:sz w:val="26"/>
          <w:szCs w:val="26"/>
        </w:rPr>
        <w:t>9</w:t>
      </w:r>
      <w:r w:rsidR="00EB1374" w:rsidRPr="008054BA">
        <w:rPr>
          <w:b/>
          <w:bCs/>
          <w:sz w:val="26"/>
          <w:szCs w:val="26"/>
        </w:rPr>
        <w:t xml:space="preserve"> - </w:t>
      </w:r>
      <w:r w:rsidRPr="008054BA">
        <w:rPr>
          <w:b/>
          <w:bCs/>
          <w:sz w:val="26"/>
          <w:szCs w:val="26"/>
        </w:rPr>
        <w:t xml:space="preserve">Third </w:t>
      </w:r>
      <w:r w:rsidR="00EB1374" w:rsidRPr="008054BA">
        <w:rPr>
          <w:b/>
          <w:bCs/>
          <w:sz w:val="26"/>
          <w:szCs w:val="26"/>
        </w:rPr>
        <w:t>Quarter 20</w:t>
      </w:r>
      <w:r w:rsidR="003B5E7A" w:rsidRPr="008054BA">
        <w:rPr>
          <w:b/>
          <w:bCs/>
          <w:sz w:val="26"/>
          <w:szCs w:val="26"/>
        </w:rPr>
        <w:t>20</w:t>
      </w:r>
    </w:p>
    <w:p w:rsidR="008054BA" w:rsidRPr="008054BA" w:rsidRDefault="008054BA" w:rsidP="008054BA">
      <w:pPr>
        <w:bidi w:val="0"/>
        <w:jc w:val="center"/>
        <w:rPr>
          <w:b/>
          <w:bCs/>
          <w:sz w:val="16"/>
          <w:szCs w:val="16"/>
        </w:rPr>
      </w:pPr>
    </w:p>
    <w:p w:rsidR="00EB1374" w:rsidRPr="001163C8" w:rsidRDefault="00EB1374" w:rsidP="002E3F5F">
      <w:pPr>
        <w:bidi w:val="0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371850" cy="28384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54BA" w:rsidRDefault="008054BA" w:rsidP="00EB1374">
      <w:pPr>
        <w:bidi w:val="0"/>
        <w:jc w:val="lowKashida"/>
        <w:rPr>
          <w:sz w:val="20"/>
          <w:szCs w:val="20"/>
          <w:rtl/>
        </w:rPr>
      </w:pPr>
    </w:p>
    <w:p w:rsidR="002E3F5F" w:rsidRDefault="002E3F5F" w:rsidP="002E3F5F">
      <w:pPr>
        <w:bidi w:val="0"/>
        <w:jc w:val="lowKashida"/>
        <w:rPr>
          <w:sz w:val="20"/>
          <w:szCs w:val="20"/>
          <w:rtl/>
        </w:rPr>
      </w:pPr>
    </w:p>
    <w:p w:rsidR="00EB1374" w:rsidRPr="001163C8" w:rsidRDefault="00EB1374" w:rsidP="008054BA">
      <w:pPr>
        <w:bidi w:val="0"/>
        <w:jc w:val="lowKashida"/>
        <w:rPr>
          <w:sz w:val="20"/>
          <w:szCs w:val="20"/>
        </w:rPr>
      </w:pPr>
      <w:r w:rsidRPr="001163C8">
        <w:rPr>
          <w:sz w:val="20"/>
          <w:szCs w:val="20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2E3F5F">
      <w:footerReference w:type="default" r:id="rId8"/>
      <w:pgSz w:w="11906" w:h="16838"/>
      <w:pgMar w:top="1138" w:right="1138" w:bottom="1138" w:left="900" w:header="360" w:footer="706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D8" w:rsidRDefault="00522AD8">
      <w:r>
        <w:separator/>
      </w:r>
    </w:p>
  </w:endnote>
  <w:endnote w:type="continuationSeparator" w:id="0">
    <w:p w:rsidR="00522AD8" w:rsidRDefault="0052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39060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F5F" w:rsidRDefault="002E3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9D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3F5F" w:rsidRDefault="002E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D8" w:rsidRDefault="00522AD8">
      <w:r>
        <w:separator/>
      </w:r>
    </w:p>
  </w:footnote>
  <w:footnote w:type="continuationSeparator" w:id="0">
    <w:p w:rsidR="00522AD8" w:rsidRDefault="0052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C9B"/>
    <w:rsid w:val="00046807"/>
    <w:rsid w:val="00050DDA"/>
    <w:rsid w:val="00053AB0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7FD4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72DA"/>
    <w:rsid w:val="0017506D"/>
    <w:rsid w:val="00175CB9"/>
    <w:rsid w:val="00177FF2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724B"/>
    <w:rsid w:val="001E1151"/>
    <w:rsid w:val="001E5226"/>
    <w:rsid w:val="001F408D"/>
    <w:rsid w:val="001F4777"/>
    <w:rsid w:val="001F5F1F"/>
    <w:rsid w:val="002039D5"/>
    <w:rsid w:val="00204B4D"/>
    <w:rsid w:val="0020624F"/>
    <w:rsid w:val="00243761"/>
    <w:rsid w:val="00253712"/>
    <w:rsid w:val="00253E3B"/>
    <w:rsid w:val="002547F3"/>
    <w:rsid w:val="002602B9"/>
    <w:rsid w:val="00267FBF"/>
    <w:rsid w:val="00273F5D"/>
    <w:rsid w:val="0028004F"/>
    <w:rsid w:val="00291073"/>
    <w:rsid w:val="0029128C"/>
    <w:rsid w:val="00291D18"/>
    <w:rsid w:val="002A6DE9"/>
    <w:rsid w:val="002B118B"/>
    <w:rsid w:val="002C09B4"/>
    <w:rsid w:val="002C114E"/>
    <w:rsid w:val="002C4D32"/>
    <w:rsid w:val="002D03F3"/>
    <w:rsid w:val="002D5FBE"/>
    <w:rsid w:val="002E2249"/>
    <w:rsid w:val="002E3F5F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A0268"/>
    <w:rsid w:val="003A2496"/>
    <w:rsid w:val="003A6B6E"/>
    <w:rsid w:val="003B47FE"/>
    <w:rsid w:val="003B5366"/>
    <w:rsid w:val="003B5E7A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2AD8"/>
    <w:rsid w:val="005230D2"/>
    <w:rsid w:val="00525B1A"/>
    <w:rsid w:val="0052785D"/>
    <w:rsid w:val="005340E0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2593"/>
    <w:rsid w:val="005D3BAF"/>
    <w:rsid w:val="005E7D59"/>
    <w:rsid w:val="005F1C2E"/>
    <w:rsid w:val="005F7F8D"/>
    <w:rsid w:val="00610D6E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50419"/>
    <w:rsid w:val="006531D5"/>
    <w:rsid w:val="00667427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F77"/>
    <w:rsid w:val="006C0264"/>
    <w:rsid w:val="006C3CC9"/>
    <w:rsid w:val="006C5B09"/>
    <w:rsid w:val="006F0009"/>
    <w:rsid w:val="006F5950"/>
    <w:rsid w:val="00700FD0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C9D"/>
    <w:rsid w:val="00777AC6"/>
    <w:rsid w:val="00780C2F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054BA"/>
    <w:rsid w:val="00813DB1"/>
    <w:rsid w:val="00823658"/>
    <w:rsid w:val="00825092"/>
    <w:rsid w:val="00837CEF"/>
    <w:rsid w:val="008450FB"/>
    <w:rsid w:val="00853CE4"/>
    <w:rsid w:val="00854F43"/>
    <w:rsid w:val="00863720"/>
    <w:rsid w:val="00891B38"/>
    <w:rsid w:val="00892C87"/>
    <w:rsid w:val="008973FE"/>
    <w:rsid w:val="008A2309"/>
    <w:rsid w:val="008B022A"/>
    <w:rsid w:val="008B0374"/>
    <w:rsid w:val="008B0AD7"/>
    <w:rsid w:val="008B1864"/>
    <w:rsid w:val="008C64B6"/>
    <w:rsid w:val="008D6A47"/>
    <w:rsid w:val="008F03A6"/>
    <w:rsid w:val="009019C7"/>
    <w:rsid w:val="00910ABD"/>
    <w:rsid w:val="009207FA"/>
    <w:rsid w:val="009209F6"/>
    <w:rsid w:val="00933027"/>
    <w:rsid w:val="009338E7"/>
    <w:rsid w:val="00935FD6"/>
    <w:rsid w:val="009373CB"/>
    <w:rsid w:val="0094467D"/>
    <w:rsid w:val="00944E10"/>
    <w:rsid w:val="0095694E"/>
    <w:rsid w:val="00961942"/>
    <w:rsid w:val="00962A2F"/>
    <w:rsid w:val="00962F80"/>
    <w:rsid w:val="009677F4"/>
    <w:rsid w:val="009820C8"/>
    <w:rsid w:val="009827BF"/>
    <w:rsid w:val="00993951"/>
    <w:rsid w:val="0099789E"/>
    <w:rsid w:val="00997DEE"/>
    <w:rsid w:val="009A02E9"/>
    <w:rsid w:val="009A1EAD"/>
    <w:rsid w:val="009A5B12"/>
    <w:rsid w:val="009A7FF6"/>
    <w:rsid w:val="009B18EC"/>
    <w:rsid w:val="009B4622"/>
    <w:rsid w:val="009B52E1"/>
    <w:rsid w:val="009D06AA"/>
    <w:rsid w:val="009E1040"/>
    <w:rsid w:val="009E23B1"/>
    <w:rsid w:val="009F2099"/>
    <w:rsid w:val="009F3075"/>
    <w:rsid w:val="00A04086"/>
    <w:rsid w:val="00A07A15"/>
    <w:rsid w:val="00A07A22"/>
    <w:rsid w:val="00A15F8A"/>
    <w:rsid w:val="00A20C19"/>
    <w:rsid w:val="00A32AE5"/>
    <w:rsid w:val="00A41AC4"/>
    <w:rsid w:val="00A4700B"/>
    <w:rsid w:val="00A518DE"/>
    <w:rsid w:val="00A52CAE"/>
    <w:rsid w:val="00A71F7C"/>
    <w:rsid w:val="00A74822"/>
    <w:rsid w:val="00A808BD"/>
    <w:rsid w:val="00A81FCC"/>
    <w:rsid w:val="00A8699E"/>
    <w:rsid w:val="00A937FB"/>
    <w:rsid w:val="00A94114"/>
    <w:rsid w:val="00A9633C"/>
    <w:rsid w:val="00AA10AD"/>
    <w:rsid w:val="00AA11D1"/>
    <w:rsid w:val="00AB2851"/>
    <w:rsid w:val="00AB4905"/>
    <w:rsid w:val="00AB547D"/>
    <w:rsid w:val="00AC22E4"/>
    <w:rsid w:val="00AC3619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803BD"/>
    <w:rsid w:val="00B807B0"/>
    <w:rsid w:val="00B81378"/>
    <w:rsid w:val="00B85638"/>
    <w:rsid w:val="00B85A0A"/>
    <w:rsid w:val="00B956AE"/>
    <w:rsid w:val="00B95768"/>
    <w:rsid w:val="00BA0C72"/>
    <w:rsid w:val="00BB0952"/>
    <w:rsid w:val="00BB2A6F"/>
    <w:rsid w:val="00BB5057"/>
    <w:rsid w:val="00BC2F03"/>
    <w:rsid w:val="00BC41A0"/>
    <w:rsid w:val="00BF20C5"/>
    <w:rsid w:val="00BF2CDC"/>
    <w:rsid w:val="00BF4F6B"/>
    <w:rsid w:val="00C013D5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768"/>
    <w:rsid w:val="00C761AC"/>
    <w:rsid w:val="00C8594D"/>
    <w:rsid w:val="00C90B00"/>
    <w:rsid w:val="00C9245F"/>
    <w:rsid w:val="00C96A00"/>
    <w:rsid w:val="00CB32F3"/>
    <w:rsid w:val="00CD074D"/>
    <w:rsid w:val="00CE0118"/>
    <w:rsid w:val="00CF01F3"/>
    <w:rsid w:val="00CF15D3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80C7D"/>
    <w:rsid w:val="00D85188"/>
    <w:rsid w:val="00D86248"/>
    <w:rsid w:val="00D8653D"/>
    <w:rsid w:val="00DA3CBE"/>
    <w:rsid w:val="00DB419C"/>
    <w:rsid w:val="00DC166D"/>
    <w:rsid w:val="00DD1C5E"/>
    <w:rsid w:val="00DD5B05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EB3"/>
    <w:rsid w:val="00E64508"/>
    <w:rsid w:val="00E67CF4"/>
    <w:rsid w:val="00E73BBA"/>
    <w:rsid w:val="00E76177"/>
    <w:rsid w:val="00E7702A"/>
    <w:rsid w:val="00E80943"/>
    <w:rsid w:val="00E82A14"/>
    <w:rsid w:val="00EA1E7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D224B"/>
    <w:rsid w:val="00ED69B8"/>
    <w:rsid w:val="00ED7CEB"/>
    <w:rsid w:val="00EF1853"/>
    <w:rsid w:val="00F0458C"/>
    <w:rsid w:val="00F066E3"/>
    <w:rsid w:val="00F1019D"/>
    <w:rsid w:val="00F2310E"/>
    <w:rsid w:val="00F31F7E"/>
    <w:rsid w:val="00F375E0"/>
    <w:rsid w:val="00F50468"/>
    <w:rsid w:val="00F6352E"/>
    <w:rsid w:val="00F734FE"/>
    <w:rsid w:val="00F754E1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589CC"/>
  <w15:docId w15:val="{2E51B66F-A4A8-4BA2-A095-6AF4AAF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E3F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58E-2"/>
          <c:w val="0.81609675817549865"/>
          <c:h val="0.750549535540033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Q III 2019</c:v>
                </c:pt>
                <c:pt idx="1">
                  <c:v> Q IV 2019</c:v>
                </c:pt>
                <c:pt idx="2">
                  <c:v> Q I 2020</c:v>
                </c:pt>
                <c:pt idx="3">
                  <c:v> Q II 2020</c:v>
                </c:pt>
                <c:pt idx="4">
                  <c:v> Q III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203</c:v>
                </c:pt>
                <c:pt idx="1">
                  <c:v>267</c:v>
                </c:pt>
                <c:pt idx="2">
                  <c:v>244</c:v>
                </c:pt>
                <c:pt idx="3">
                  <c:v>125</c:v>
                </c:pt>
                <c:pt idx="4">
                  <c:v>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89-4C0E-94B4-FB116075568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Q III 2019</c:v>
                </c:pt>
                <c:pt idx="1">
                  <c:v> Q IV 2019</c:v>
                </c:pt>
                <c:pt idx="2">
                  <c:v> Q I 2020</c:v>
                </c:pt>
                <c:pt idx="3">
                  <c:v> Q II 2020</c:v>
                </c:pt>
                <c:pt idx="4">
                  <c:v> Q III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1451</c:v>
                </c:pt>
                <c:pt idx="1">
                  <c:v>2007</c:v>
                </c:pt>
                <c:pt idx="2">
                  <c:v>1551</c:v>
                </c:pt>
                <c:pt idx="3">
                  <c:v>813</c:v>
                </c:pt>
                <c:pt idx="4">
                  <c:v>1353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89-4C0E-94B4-FB116075568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Q III 2019</c:v>
                </c:pt>
                <c:pt idx="1">
                  <c:v> Q IV 2019</c:v>
                </c:pt>
                <c:pt idx="2">
                  <c:v> Q I 2020</c:v>
                </c:pt>
                <c:pt idx="3">
                  <c:v> Q II 2020</c:v>
                </c:pt>
                <c:pt idx="4">
                  <c:v> Q III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2205</c:v>
                </c:pt>
                <c:pt idx="1">
                  <c:v>2654</c:v>
                </c:pt>
                <c:pt idx="2">
                  <c:v>2211</c:v>
                </c:pt>
                <c:pt idx="3">
                  <c:v>1217</c:v>
                </c:pt>
                <c:pt idx="4">
                  <c:v>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89-4C0E-94B4-FB11607556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728616"/>
        <c:axId val="307730576"/>
      </c:lineChart>
      <c:catAx>
        <c:axId val="307728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07730576"/>
        <c:crosses val="autoZero"/>
        <c:auto val="1"/>
        <c:lblAlgn val="ctr"/>
        <c:lblOffset val="100"/>
        <c:noMultiLvlLbl val="0"/>
      </c:catAx>
      <c:valAx>
        <c:axId val="307730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3.4408410813055149E-3"/>
              <c:y val="0.223236977928094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307728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25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718F-A489-4C55-AB1C-20E13EAF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2</cp:revision>
  <cp:lastPrinted>2020-12-08T10:03:00Z</cp:lastPrinted>
  <dcterms:created xsi:type="dcterms:W3CDTF">2020-12-08T10:04:00Z</dcterms:created>
  <dcterms:modified xsi:type="dcterms:W3CDTF">2020-12-08T10:04:00Z</dcterms:modified>
</cp:coreProperties>
</file>