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1F" w:rsidRPr="006C579D" w:rsidRDefault="006C579D" w:rsidP="006C579D">
      <w:pPr>
        <w:pStyle w:val="Header"/>
        <w:tabs>
          <w:tab w:val="left" w:pos="5925"/>
        </w:tabs>
        <w:jc w:val="center"/>
        <w:rPr>
          <w:rFonts w:cs="Simplified Arabic"/>
          <w:b/>
          <w:bCs/>
          <w:color w:val="000000"/>
          <w:sz w:val="32"/>
          <w:szCs w:val="32"/>
        </w:rPr>
      </w:pPr>
      <w:bookmarkStart w:id="0" w:name="OLE_LINK5"/>
      <w:bookmarkStart w:id="1" w:name="OLE_LINK6"/>
      <w:r w:rsidRPr="006C579D">
        <w:rPr>
          <w:rFonts w:cs="Simplified Arabic" w:hint="cs"/>
          <w:b/>
          <w:bCs/>
          <w:color w:val="000000"/>
          <w:sz w:val="32"/>
          <w:szCs w:val="32"/>
          <w:rtl/>
        </w:rPr>
        <w:t>الاحصاء الفلسطيني</w:t>
      </w:r>
      <w:r w:rsidR="00456970">
        <w:rPr>
          <w:rFonts w:cs="Simplified Arabic" w:hint="cs"/>
          <w:b/>
          <w:bCs/>
          <w:color w:val="000000"/>
          <w:sz w:val="32"/>
          <w:szCs w:val="32"/>
          <w:rtl/>
        </w:rPr>
        <w:t>:</w:t>
      </w:r>
      <w:bookmarkStart w:id="2" w:name="_GoBack"/>
      <w:bookmarkEnd w:id="2"/>
      <w:r w:rsidRPr="006C579D">
        <w:rPr>
          <w:rFonts w:cs="Simplified Arabic" w:hint="cs"/>
          <w:b/>
          <w:bCs/>
          <w:color w:val="000000"/>
          <w:sz w:val="32"/>
          <w:szCs w:val="32"/>
          <w:rtl/>
        </w:rPr>
        <w:t xml:space="preserve"> </w:t>
      </w:r>
      <w:r w:rsidR="00A74B41" w:rsidRPr="006C579D">
        <w:rPr>
          <w:rFonts w:cs="Simplified Arabic" w:hint="cs"/>
          <w:b/>
          <w:bCs/>
          <w:color w:val="000000"/>
          <w:sz w:val="32"/>
          <w:szCs w:val="32"/>
          <w:rtl/>
        </w:rPr>
        <w:t>ارتفاع حاد</w:t>
      </w:r>
      <w:r w:rsidR="006B1656" w:rsidRPr="006C579D">
        <w:rPr>
          <w:rFonts w:cs="Simplified Arabic" w:hint="cs"/>
          <w:b/>
          <w:bCs/>
          <w:color w:val="000000"/>
          <w:sz w:val="32"/>
          <w:szCs w:val="32"/>
          <w:rtl/>
        </w:rPr>
        <w:t xml:space="preserve"> </w:t>
      </w:r>
      <w:r w:rsidR="00A74B41" w:rsidRPr="006C579D">
        <w:rPr>
          <w:rFonts w:cs="Simplified Arabic" w:hint="cs"/>
          <w:b/>
          <w:bCs/>
          <w:color w:val="000000"/>
          <w:sz w:val="32"/>
          <w:szCs w:val="32"/>
          <w:rtl/>
        </w:rPr>
        <w:t>ل</w:t>
      </w:r>
      <w:r w:rsidR="00FC64F8" w:rsidRPr="006C579D">
        <w:rPr>
          <w:rFonts w:cs="Simplified Arabic" w:hint="cs"/>
          <w:b/>
          <w:bCs/>
          <w:color w:val="000000"/>
          <w:sz w:val="32"/>
          <w:szCs w:val="32"/>
          <w:rtl/>
        </w:rPr>
        <w:t>مؤشر</w:t>
      </w:r>
      <w:r w:rsidR="006B1656" w:rsidRPr="006C579D">
        <w:rPr>
          <w:rFonts w:cs="Simplified Arabic" w:hint="cs"/>
          <w:b/>
          <w:bCs/>
          <w:color w:val="000000"/>
          <w:sz w:val="32"/>
          <w:szCs w:val="32"/>
          <w:rtl/>
        </w:rPr>
        <w:t xml:space="preserve"> </w:t>
      </w:r>
      <w:r w:rsidR="003F371F" w:rsidRPr="006C579D">
        <w:rPr>
          <w:rFonts w:cs="Simplified Arabic"/>
          <w:b/>
          <w:bCs/>
          <w:color w:val="000000"/>
          <w:sz w:val="32"/>
          <w:szCs w:val="32"/>
          <w:rtl/>
        </w:rPr>
        <w:t>أسعار الجملة</w:t>
      </w:r>
      <w:r w:rsidR="00CA15B9" w:rsidRPr="006C579D">
        <w:rPr>
          <w:rStyle w:val="FootnoteReference"/>
          <w:rFonts w:cs="Simplified Arabic"/>
          <w:b/>
          <w:bCs/>
          <w:color w:val="000000"/>
          <w:sz w:val="32"/>
          <w:szCs w:val="32"/>
          <w:rtl/>
        </w:rPr>
        <w:footnoteReference w:customMarkFollows="1" w:id="1"/>
        <w:t>1</w:t>
      </w:r>
      <w:r w:rsidR="006B1656" w:rsidRPr="006C579D">
        <w:rPr>
          <w:rStyle w:val="FootnoteReference"/>
          <w:rFonts w:cs="Simplified Arabic" w:hint="cs"/>
          <w:b/>
          <w:bCs/>
          <w:color w:val="000000"/>
          <w:sz w:val="32"/>
          <w:szCs w:val="32"/>
          <w:rtl/>
        </w:rPr>
        <w:t xml:space="preserve"> </w:t>
      </w:r>
      <w:r w:rsidR="003F371F" w:rsidRPr="006C579D">
        <w:rPr>
          <w:rFonts w:cs="Simplified Arabic"/>
          <w:b/>
          <w:bCs/>
          <w:color w:val="000000"/>
          <w:sz w:val="32"/>
          <w:szCs w:val="32"/>
          <w:rtl/>
        </w:rPr>
        <w:t xml:space="preserve">خلال </w:t>
      </w:r>
      <w:r w:rsidR="006B1656" w:rsidRPr="006C579D">
        <w:rPr>
          <w:rFonts w:cs="Simplified Arabic" w:hint="cs"/>
          <w:b/>
          <w:bCs/>
          <w:color w:val="000000"/>
          <w:sz w:val="32"/>
          <w:szCs w:val="32"/>
          <w:rtl/>
        </w:rPr>
        <w:t xml:space="preserve">الربع </w:t>
      </w:r>
      <w:r w:rsidR="00A74B41" w:rsidRPr="006C579D">
        <w:rPr>
          <w:rFonts w:cs="Simplified Arabic" w:hint="cs"/>
          <w:b/>
          <w:bCs/>
          <w:color w:val="000000"/>
          <w:sz w:val="32"/>
          <w:szCs w:val="32"/>
          <w:rtl/>
        </w:rPr>
        <w:t>الثالث</w:t>
      </w:r>
      <w:r w:rsidR="006B1656" w:rsidRPr="006C579D">
        <w:rPr>
          <w:rFonts w:cs="Simplified Arabic" w:hint="cs"/>
          <w:b/>
          <w:bCs/>
          <w:color w:val="000000"/>
          <w:sz w:val="32"/>
          <w:szCs w:val="32"/>
          <w:rtl/>
        </w:rPr>
        <w:t xml:space="preserve"> من العام </w:t>
      </w:r>
      <w:r w:rsidR="00B7555B" w:rsidRPr="006C579D">
        <w:rPr>
          <w:rFonts w:cs="Simplified Arabic" w:hint="cs"/>
          <w:b/>
          <w:bCs/>
          <w:color w:val="000000"/>
          <w:sz w:val="32"/>
          <w:szCs w:val="32"/>
          <w:rtl/>
        </w:rPr>
        <w:t>2023</w:t>
      </w:r>
    </w:p>
    <w:p w:rsidR="006C579D" w:rsidRDefault="006C579D" w:rsidP="00A74B41">
      <w:pPr>
        <w:pStyle w:val="Header"/>
        <w:tabs>
          <w:tab w:val="left" w:pos="5925"/>
        </w:tabs>
        <w:jc w:val="both"/>
        <w:rPr>
          <w:rFonts w:ascii="Simplified Arabic" w:hAnsi="Simplified Arabic" w:cs="Simplified Arabic"/>
          <w:color w:val="000000"/>
          <w:sz w:val="24"/>
          <w:szCs w:val="24"/>
          <w:rtl/>
        </w:rPr>
      </w:pPr>
    </w:p>
    <w:p w:rsidR="003F371F" w:rsidRPr="006C579D" w:rsidRDefault="003F371F" w:rsidP="00A74B41">
      <w:pPr>
        <w:pStyle w:val="Header"/>
        <w:tabs>
          <w:tab w:val="left" w:pos="5925"/>
        </w:tabs>
        <w:jc w:val="both"/>
        <w:rPr>
          <w:rFonts w:ascii="Simplified Arabic" w:hAnsi="Simplified Arabic" w:cs="Simplified Arabic"/>
          <w:color w:val="000000"/>
          <w:sz w:val="26"/>
          <w:szCs w:val="26"/>
          <w:rtl/>
        </w:rPr>
      </w:pPr>
      <w:r w:rsidRPr="006C579D">
        <w:rPr>
          <w:rFonts w:ascii="Simplified Arabic" w:hAnsi="Simplified Arabic" w:cs="Simplified Arabic"/>
          <w:color w:val="000000"/>
          <w:sz w:val="26"/>
          <w:szCs w:val="26"/>
          <w:rtl/>
        </w:rPr>
        <w:t>سجل ال</w:t>
      </w:r>
      <w:r w:rsidR="003216C7" w:rsidRPr="006C579D">
        <w:rPr>
          <w:rFonts w:ascii="Simplified Arabic" w:hAnsi="Simplified Arabic" w:cs="Simplified Arabic"/>
          <w:color w:val="000000"/>
          <w:sz w:val="26"/>
          <w:szCs w:val="26"/>
          <w:rtl/>
        </w:rPr>
        <w:t>رقم القياسي العام لأسعار الجملة</w:t>
      </w:r>
      <w:r w:rsidR="001A2605" w:rsidRPr="006C579D">
        <w:rPr>
          <w:rFonts w:ascii="Simplified Arabic" w:hAnsi="Simplified Arabic" w:cs="Simplified Arabic" w:hint="cs"/>
          <w:color w:val="000000"/>
          <w:sz w:val="26"/>
          <w:szCs w:val="26"/>
          <w:rtl/>
        </w:rPr>
        <w:t xml:space="preserve"> في فلسطين</w:t>
      </w:r>
      <w:r w:rsidR="003216C7" w:rsidRPr="006C579D">
        <w:rPr>
          <w:rFonts w:ascii="Simplified Arabic" w:hAnsi="Simplified Arabic" w:cs="Simplified Arabic" w:hint="cs"/>
          <w:color w:val="000000"/>
          <w:sz w:val="26"/>
          <w:szCs w:val="26"/>
          <w:rtl/>
        </w:rPr>
        <w:t xml:space="preserve"> </w:t>
      </w:r>
      <w:r w:rsidR="00A74B41" w:rsidRPr="006C579D">
        <w:rPr>
          <w:rFonts w:ascii="Simplified Arabic" w:hAnsi="Simplified Arabic" w:cs="Simplified Arabic" w:hint="cs"/>
          <w:color w:val="000000"/>
          <w:sz w:val="26"/>
          <w:szCs w:val="26"/>
          <w:rtl/>
        </w:rPr>
        <w:t>ارتفاعاً حاداً</w:t>
      </w:r>
      <w:r w:rsidR="006B1656" w:rsidRPr="006C579D">
        <w:rPr>
          <w:rFonts w:ascii="Simplified Arabic" w:hAnsi="Simplified Arabic" w:cs="Simplified Arabic" w:hint="cs"/>
          <w:color w:val="000000"/>
          <w:sz w:val="26"/>
          <w:szCs w:val="26"/>
          <w:rtl/>
        </w:rPr>
        <w:t xml:space="preserve"> </w:t>
      </w:r>
      <w:r w:rsidR="00A74B41" w:rsidRPr="006C579D">
        <w:rPr>
          <w:rFonts w:ascii="Simplified Arabic" w:hAnsi="Simplified Arabic" w:cs="Simplified Arabic" w:hint="cs"/>
          <w:color w:val="000000"/>
          <w:sz w:val="26"/>
          <w:szCs w:val="26"/>
          <w:rtl/>
        </w:rPr>
        <w:t>نسبته</w:t>
      </w:r>
      <w:r w:rsidR="006B1656" w:rsidRPr="006C579D">
        <w:rPr>
          <w:rFonts w:ascii="Simplified Arabic" w:hAnsi="Simplified Arabic" w:cs="Simplified Arabic" w:hint="cs"/>
          <w:color w:val="000000"/>
          <w:sz w:val="26"/>
          <w:szCs w:val="26"/>
          <w:rtl/>
        </w:rPr>
        <w:t xml:space="preserve"> </w:t>
      </w:r>
      <w:r w:rsidR="00A74B41" w:rsidRPr="006C579D">
        <w:rPr>
          <w:rFonts w:ascii="Simplified Arabic" w:hAnsi="Simplified Arabic" w:cs="Simplified Arabic" w:hint="cs"/>
          <w:b/>
          <w:bCs/>
          <w:color w:val="000000"/>
          <w:sz w:val="26"/>
          <w:szCs w:val="26"/>
          <w:rtl/>
        </w:rPr>
        <w:t>1.37</w:t>
      </w:r>
      <w:r w:rsidRPr="006C579D">
        <w:rPr>
          <w:rFonts w:ascii="Simplified Arabic" w:hAnsi="Simplified Arabic" w:cs="Simplified Arabic"/>
          <w:b/>
          <w:bCs/>
          <w:color w:val="000000"/>
          <w:sz w:val="26"/>
          <w:szCs w:val="26"/>
          <w:rtl/>
        </w:rPr>
        <w:t xml:space="preserve">% </w:t>
      </w:r>
      <w:r w:rsidRPr="006C579D">
        <w:rPr>
          <w:rFonts w:ascii="Simplified Arabic" w:hAnsi="Simplified Arabic" w:cs="Simplified Arabic"/>
          <w:color w:val="000000"/>
          <w:sz w:val="26"/>
          <w:szCs w:val="26"/>
          <w:rtl/>
        </w:rPr>
        <w:t xml:space="preserve">خلال </w:t>
      </w:r>
      <w:r w:rsidR="006B1656" w:rsidRPr="006C579D">
        <w:rPr>
          <w:rFonts w:ascii="Simplified Arabic" w:hAnsi="Simplified Arabic" w:cs="Simplified Arabic" w:hint="cs"/>
          <w:color w:val="000000"/>
          <w:sz w:val="26"/>
          <w:szCs w:val="26"/>
          <w:rtl/>
        </w:rPr>
        <w:t xml:space="preserve">الربع </w:t>
      </w:r>
      <w:r w:rsidR="00A74B41" w:rsidRPr="006C579D">
        <w:rPr>
          <w:rFonts w:ascii="Simplified Arabic" w:hAnsi="Simplified Arabic" w:cs="Simplified Arabic" w:hint="cs"/>
          <w:color w:val="000000"/>
          <w:sz w:val="26"/>
          <w:szCs w:val="26"/>
          <w:rtl/>
        </w:rPr>
        <w:t>الثالث</w:t>
      </w:r>
      <w:r w:rsidR="006B1656" w:rsidRPr="006C579D">
        <w:rPr>
          <w:rFonts w:ascii="Simplified Arabic" w:hAnsi="Simplified Arabic" w:cs="Simplified Arabic" w:hint="cs"/>
          <w:color w:val="000000"/>
          <w:sz w:val="26"/>
          <w:szCs w:val="26"/>
          <w:rtl/>
        </w:rPr>
        <w:t xml:space="preserve"> من </w:t>
      </w:r>
      <w:r w:rsidRPr="006C579D">
        <w:rPr>
          <w:rFonts w:ascii="Simplified Arabic" w:hAnsi="Simplified Arabic" w:cs="Simplified Arabic"/>
          <w:color w:val="000000"/>
          <w:sz w:val="26"/>
          <w:szCs w:val="26"/>
          <w:rtl/>
        </w:rPr>
        <w:t xml:space="preserve">العام </w:t>
      </w:r>
      <w:r w:rsidR="00B7555B" w:rsidRPr="006C579D">
        <w:rPr>
          <w:rFonts w:ascii="Simplified Arabic" w:hAnsi="Simplified Arabic" w:cs="Simplified Arabic" w:hint="cs"/>
          <w:color w:val="000000"/>
          <w:sz w:val="26"/>
          <w:szCs w:val="26"/>
          <w:rtl/>
        </w:rPr>
        <w:t>2023</w:t>
      </w:r>
      <w:r w:rsidRPr="006C579D">
        <w:rPr>
          <w:rFonts w:ascii="Simplified Arabic" w:hAnsi="Simplified Arabic" w:cs="Simplified Arabic"/>
          <w:color w:val="000000"/>
          <w:sz w:val="26"/>
          <w:szCs w:val="26"/>
          <w:rtl/>
        </w:rPr>
        <w:t xml:space="preserve"> مقارنة </w:t>
      </w:r>
      <w:r w:rsidR="006B1656" w:rsidRPr="006C579D">
        <w:rPr>
          <w:rFonts w:ascii="Simplified Arabic" w:hAnsi="Simplified Arabic" w:cs="Simplified Arabic" w:hint="cs"/>
          <w:color w:val="000000"/>
          <w:sz w:val="26"/>
          <w:szCs w:val="26"/>
          <w:rtl/>
        </w:rPr>
        <w:t xml:space="preserve">بالربع </w:t>
      </w:r>
      <w:r w:rsidR="00A74B41" w:rsidRPr="006C579D">
        <w:rPr>
          <w:rFonts w:ascii="Simplified Arabic" w:hAnsi="Simplified Arabic" w:cs="Simplified Arabic" w:hint="cs"/>
          <w:color w:val="000000"/>
          <w:sz w:val="26"/>
          <w:szCs w:val="26"/>
          <w:rtl/>
        </w:rPr>
        <w:t>الثاني</w:t>
      </w:r>
      <w:r w:rsidR="006B1656" w:rsidRPr="006C579D">
        <w:rPr>
          <w:rFonts w:ascii="Simplified Arabic" w:hAnsi="Simplified Arabic" w:cs="Simplified Arabic" w:hint="cs"/>
          <w:color w:val="000000"/>
          <w:sz w:val="26"/>
          <w:szCs w:val="26"/>
          <w:rtl/>
        </w:rPr>
        <w:t xml:space="preserve"> من العام</w:t>
      </w:r>
      <w:r w:rsidRPr="006C579D">
        <w:rPr>
          <w:rFonts w:ascii="Simplified Arabic" w:hAnsi="Simplified Arabic" w:cs="Simplified Arabic"/>
          <w:color w:val="000000"/>
          <w:sz w:val="26"/>
          <w:szCs w:val="26"/>
          <w:rtl/>
        </w:rPr>
        <w:t xml:space="preserve"> </w:t>
      </w:r>
      <w:r w:rsidR="00F36BE0" w:rsidRPr="006C579D">
        <w:rPr>
          <w:rFonts w:ascii="Simplified Arabic" w:hAnsi="Simplified Arabic" w:cs="Simplified Arabic" w:hint="cs"/>
          <w:color w:val="000000"/>
          <w:sz w:val="26"/>
          <w:szCs w:val="26"/>
          <w:rtl/>
        </w:rPr>
        <w:t>2023</w:t>
      </w:r>
      <w:r w:rsidR="00F949D4" w:rsidRPr="006C579D">
        <w:rPr>
          <w:rFonts w:ascii="Simplified Arabic" w:hAnsi="Simplified Arabic" w:cs="Simplified Arabic" w:hint="cs"/>
          <w:color w:val="000000"/>
          <w:sz w:val="26"/>
          <w:szCs w:val="26"/>
          <w:rtl/>
        </w:rPr>
        <w:t xml:space="preserve">، بواقع </w:t>
      </w:r>
      <w:r w:rsidR="00A74B41" w:rsidRPr="006C579D">
        <w:rPr>
          <w:rFonts w:ascii="Simplified Arabic" w:hAnsi="Simplified Arabic" w:cs="Simplified Arabic" w:hint="cs"/>
          <w:b/>
          <w:bCs/>
          <w:color w:val="000000"/>
          <w:sz w:val="26"/>
          <w:szCs w:val="26"/>
          <w:rtl/>
        </w:rPr>
        <w:t>2.04</w:t>
      </w:r>
      <w:r w:rsidR="00F949D4" w:rsidRPr="006C579D">
        <w:rPr>
          <w:rFonts w:ascii="Simplified Arabic" w:hAnsi="Simplified Arabic" w:cs="Simplified Arabic" w:hint="cs"/>
          <w:b/>
          <w:bCs/>
          <w:color w:val="000000"/>
          <w:sz w:val="26"/>
          <w:szCs w:val="26"/>
          <w:rtl/>
        </w:rPr>
        <w:t>%</w:t>
      </w:r>
      <w:r w:rsidR="00B94AAE" w:rsidRPr="006C579D">
        <w:rPr>
          <w:rFonts w:ascii="Simplified Arabic" w:hAnsi="Simplified Arabic" w:cs="Simplified Arabic" w:hint="cs"/>
          <w:color w:val="000000"/>
          <w:sz w:val="26"/>
          <w:szCs w:val="26"/>
          <w:rtl/>
        </w:rPr>
        <w:t xml:space="preserve"> </w:t>
      </w:r>
      <w:r w:rsidR="00F36BE0" w:rsidRPr="006C579D">
        <w:rPr>
          <w:rFonts w:ascii="Simplified Arabic" w:hAnsi="Simplified Arabic" w:cs="Simplified Arabic" w:hint="cs"/>
          <w:color w:val="000000"/>
          <w:sz w:val="26"/>
          <w:szCs w:val="26"/>
          <w:rtl/>
        </w:rPr>
        <w:t xml:space="preserve">للسلع </w:t>
      </w:r>
      <w:r w:rsidR="00A74B41" w:rsidRPr="006C579D">
        <w:rPr>
          <w:rFonts w:ascii="Simplified Arabic" w:hAnsi="Simplified Arabic" w:cs="Simplified Arabic" w:hint="cs"/>
          <w:color w:val="000000"/>
          <w:sz w:val="26"/>
          <w:szCs w:val="26"/>
          <w:rtl/>
        </w:rPr>
        <w:t>المحلية</w:t>
      </w:r>
      <w:r w:rsidR="00F36BE0" w:rsidRPr="006C579D">
        <w:rPr>
          <w:rFonts w:ascii="Simplified Arabic" w:hAnsi="Simplified Arabic" w:cs="Simplified Arabic" w:hint="cs"/>
          <w:color w:val="000000"/>
          <w:sz w:val="26"/>
          <w:szCs w:val="26"/>
          <w:rtl/>
        </w:rPr>
        <w:t xml:space="preserve">، </w:t>
      </w:r>
      <w:r w:rsidR="00A74B41" w:rsidRPr="006C579D">
        <w:rPr>
          <w:rFonts w:ascii="Simplified Arabic" w:hAnsi="Simplified Arabic" w:cs="Simplified Arabic" w:hint="cs"/>
          <w:color w:val="000000"/>
          <w:sz w:val="26"/>
          <w:szCs w:val="26"/>
          <w:rtl/>
        </w:rPr>
        <w:t>وبنسبة</w:t>
      </w:r>
      <w:r w:rsidR="00F36BE0" w:rsidRPr="006C579D">
        <w:rPr>
          <w:rFonts w:ascii="Simplified Arabic" w:hAnsi="Simplified Arabic" w:cs="Simplified Arabic" w:hint="cs"/>
          <w:color w:val="000000"/>
          <w:sz w:val="26"/>
          <w:szCs w:val="26"/>
          <w:rtl/>
        </w:rPr>
        <w:t xml:space="preserve"> </w:t>
      </w:r>
      <w:r w:rsidR="00A74B41" w:rsidRPr="006C579D">
        <w:rPr>
          <w:rFonts w:ascii="Simplified Arabic" w:hAnsi="Simplified Arabic" w:cs="Simplified Arabic" w:hint="cs"/>
          <w:b/>
          <w:bCs/>
          <w:color w:val="000000"/>
          <w:sz w:val="26"/>
          <w:szCs w:val="26"/>
          <w:rtl/>
        </w:rPr>
        <w:t>1.13</w:t>
      </w:r>
      <w:r w:rsidR="00F36BE0" w:rsidRPr="006C579D">
        <w:rPr>
          <w:rFonts w:ascii="Simplified Arabic" w:hAnsi="Simplified Arabic" w:cs="Simplified Arabic" w:hint="cs"/>
          <w:b/>
          <w:bCs/>
          <w:color w:val="000000"/>
          <w:sz w:val="26"/>
          <w:szCs w:val="26"/>
          <w:rtl/>
        </w:rPr>
        <w:t>%</w:t>
      </w:r>
      <w:r w:rsidR="00A74B41" w:rsidRPr="006C579D">
        <w:rPr>
          <w:rFonts w:ascii="Simplified Arabic" w:hAnsi="Simplified Arabic" w:cs="Simplified Arabic" w:hint="cs"/>
          <w:color w:val="000000"/>
          <w:sz w:val="26"/>
          <w:szCs w:val="26"/>
          <w:rtl/>
        </w:rPr>
        <w:t xml:space="preserve"> للسلع المستوردة</w:t>
      </w:r>
      <w:r w:rsidR="00F949D4" w:rsidRPr="006C579D">
        <w:rPr>
          <w:rFonts w:ascii="Simplified Arabic" w:hAnsi="Simplified Arabic" w:cs="Simplified Arabic" w:hint="cs"/>
          <w:color w:val="000000"/>
          <w:sz w:val="26"/>
          <w:szCs w:val="26"/>
          <w:rtl/>
        </w:rPr>
        <w:t>.</w:t>
      </w:r>
    </w:p>
    <w:p w:rsidR="006B1656" w:rsidRPr="006C579D" w:rsidRDefault="006B1656" w:rsidP="003F371F">
      <w:pPr>
        <w:pStyle w:val="Header"/>
        <w:tabs>
          <w:tab w:val="left" w:pos="5925"/>
        </w:tabs>
        <w:jc w:val="both"/>
        <w:rPr>
          <w:rFonts w:ascii="Simplified Arabic" w:hAnsi="Simplified Arabic" w:cs="Simplified Arabic"/>
          <w:sz w:val="16"/>
          <w:szCs w:val="16"/>
        </w:rPr>
      </w:pPr>
    </w:p>
    <w:p w:rsidR="003F371F" w:rsidRPr="006C579D" w:rsidRDefault="003F371F" w:rsidP="007C0D81">
      <w:pPr>
        <w:pStyle w:val="Header"/>
        <w:tabs>
          <w:tab w:val="left" w:pos="5925"/>
        </w:tabs>
        <w:jc w:val="both"/>
        <w:rPr>
          <w:rFonts w:ascii="Simplified Arabic" w:hAnsi="Simplified Arabic" w:cs="Simplified Arabic"/>
          <w:color w:val="000000"/>
          <w:sz w:val="26"/>
          <w:szCs w:val="26"/>
        </w:rPr>
      </w:pPr>
      <w:r w:rsidRPr="006C579D">
        <w:rPr>
          <w:rFonts w:ascii="Simplified Arabic" w:hAnsi="Simplified Arabic" w:cs="Simplified Arabic"/>
          <w:color w:val="000000"/>
          <w:sz w:val="26"/>
          <w:szCs w:val="26"/>
          <w:rtl/>
        </w:rPr>
        <w:t>و</w:t>
      </w:r>
      <w:r w:rsidR="00F949D4" w:rsidRPr="006C579D">
        <w:rPr>
          <w:rFonts w:ascii="Simplified Arabic" w:hAnsi="Simplified Arabic" w:cs="Simplified Arabic" w:hint="cs"/>
          <w:color w:val="000000"/>
          <w:sz w:val="26"/>
          <w:szCs w:val="26"/>
          <w:rtl/>
        </w:rPr>
        <w:t>يرجع</w:t>
      </w:r>
      <w:r w:rsidRPr="006C579D">
        <w:rPr>
          <w:rFonts w:ascii="Simplified Arabic" w:hAnsi="Simplified Arabic" w:cs="Simplified Arabic"/>
          <w:color w:val="000000"/>
          <w:sz w:val="26"/>
          <w:szCs w:val="26"/>
          <w:rtl/>
        </w:rPr>
        <w:t xml:space="preserve"> السبب الرئيسي لهذا </w:t>
      </w:r>
      <w:r w:rsidR="00303BCC" w:rsidRPr="006C579D">
        <w:rPr>
          <w:rFonts w:ascii="Simplified Arabic" w:hAnsi="Simplified Arabic" w:cs="Simplified Arabic" w:hint="cs"/>
          <w:color w:val="000000"/>
          <w:sz w:val="26"/>
          <w:szCs w:val="26"/>
          <w:rtl/>
        </w:rPr>
        <w:t>الارتفاع</w:t>
      </w:r>
      <w:r w:rsidRPr="006C579D">
        <w:rPr>
          <w:rFonts w:ascii="Simplified Arabic" w:hAnsi="Simplified Arabic" w:cs="Simplified Arabic"/>
          <w:color w:val="000000"/>
          <w:sz w:val="26"/>
          <w:szCs w:val="26"/>
          <w:rtl/>
        </w:rPr>
        <w:t xml:space="preserve"> إلى </w:t>
      </w:r>
      <w:r w:rsidR="00303BCC" w:rsidRPr="006C579D">
        <w:rPr>
          <w:rFonts w:ascii="Simplified Arabic" w:hAnsi="Simplified Arabic" w:cs="Simplified Arabic" w:hint="cs"/>
          <w:color w:val="000000"/>
          <w:sz w:val="26"/>
          <w:szCs w:val="26"/>
          <w:rtl/>
        </w:rPr>
        <w:t>ارتفاع</w:t>
      </w:r>
      <w:r w:rsidRPr="006C579D">
        <w:rPr>
          <w:rFonts w:ascii="Simplified Arabic" w:hAnsi="Simplified Arabic" w:cs="Simplified Arabic"/>
          <w:color w:val="000000"/>
          <w:sz w:val="26"/>
          <w:szCs w:val="26"/>
          <w:rtl/>
        </w:rPr>
        <w:t xml:space="preserve"> أسعار السلع </w:t>
      </w:r>
      <w:r w:rsidR="00F949D4" w:rsidRPr="006C579D">
        <w:rPr>
          <w:rFonts w:ascii="Simplified Arabic" w:hAnsi="Simplified Arabic" w:cs="Simplified Arabic" w:hint="cs"/>
          <w:color w:val="000000"/>
          <w:sz w:val="26"/>
          <w:szCs w:val="26"/>
          <w:rtl/>
        </w:rPr>
        <w:t xml:space="preserve">ضمن </w:t>
      </w:r>
      <w:r w:rsidR="00F949D4" w:rsidRPr="006C579D">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303BCC" w:rsidRPr="006C579D">
        <w:rPr>
          <w:rFonts w:ascii="Simplified Arabic" w:hAnsi="Simplified Arabic" w:cs="Simplified Arabic" w:hint="cs"/>
          <w:b/>
          <w:bCs/>
          <w:color w:val="000000"/>
          <w:sz w:val="26"/>
          <w:szCs w:val="26"/>
          <w:rtl/>
        </w:rPr>
        <w:t>بنسبة</w:t>
      </w:r>
      <w:r w:rsidR="00F949D4" w:rsidRPr="006C579D">
        <w:rPr>
          <w:rFonts w:ascii="Simplified Arabic" w:hAnsi="Simplified Arabic" w:cs="Simplified Arabic" w:hint="cs"/>
          <w:b/>
          <w:bCs/>
          <w:color w:val="000000"/>
          <w:sz w:val="26"/>
          <w:szCs w:val="26"/>
          <w:rtl/>
        </w:rPr>
        <w:t xml:space="preserve"> </w:t>
      </w:r>
      <w:r w:rsidR="00303BCC" w:rsidRPr="006C579D">
        <w:rPr>
          <w:rFonts w:ascii="Simplified Arabic" w:hAnsi="Simplified Arabic" w:cs="Simplified Arabic" w:hint="cs"/>
          <w:b/>
          <w:bCs/>
          <w:color w:val="000000"/>
          <w:sz w:val="26"/>
          <w:szCs w:val="26"/>
          <w:rtl/>
        </w:rPr>
        <w:t>1.08</w:t>
      </w:r>
      <w:r w:rsidR="00F949D4" w:rsidRPr="006C579D">
        <w:rPr>
          <w:rFonts w:ascii="Simplified Arabic" w:hAnsi="Simplified Arabic" w:cs="Simplified Arabic" w:hint="cs"/>
          <w:b/>
          <w:bCs/>
          <w:color w:val="000000"/>
          <w:sz w:val="26"/>
          <w:szCs w:val="26"/>
          <w:rtl/>
        </w:rPr>
        <w:t xml:space="preserve">%، والذي يشكل ما نسبته </w:t>
      </w:r>
      <w:r w:rsidR="00F949D4" w:rsidRPr="006C579D">
        <w:rPr>
          <w:rFonts w:ascii="Simplified Arabic" w:hAnsi="Simplified Arabic" w:cs="Simplified Arabic"/>
          <w:b/>
          <w:bCs/>
          <w:color w:val="000000"/>
          <w:sz w:val="26"/>
          <w:szCs w:val="26"/>
        </w:rPr>
        <w:t>89</w:t>
      </w:r>
      <w:r w:rsidR="00F949D4" w:rsidRPr="006C579D">
        <w:rPr>
          <w:rFonts w:ascii="Simplified Arabic" w:hAnsi="Simplified Arabic" w:cs="Simplified Arabic" w:hint="cs"/>
          <w:b/>
          <w:bCs/>
          <w:color w:val="000000"/>
          <w:sz w:val="26"/>
          <w:szCs w:val="26"/>
          <w:rtl/>
        </w:rPr>
        <w:t>% من تجارة الجملة،</w:t>
      </w:r>
      <w:r w:rsidR="00F949D4" w:rsidRPr="006C579D">
        <w:rPr>
          <w:rFonts w:ascii="Simplified Arabic" w:hAnsi="Simplified Arabic" w:cs="Simplified Arabic" w:hint="cs"/>
          <w:color w:val="000000"/>
          <w:sz w:val="26"/>
          <w:szCs w:val="26"/>
          <w:rtl/>
        </w:rPr>
        <w:t xml:space="preserve"> حيث </w:t>
      </w:r>
      <w:r w:rsidR="00303BCC" w:rsidRPr="006C579D">
        <w:rPr>
          <w:rFonts w:ascii="Simplified Arabic" w:hAnsi="Simplified Arabic" w:cs="Simplified Arabic" w:hint="cs"/>
          <w:color w:val="000000"/>
          <w:sz w:val="26"/>
          <w:szCs w:val="26"/>
          <w:rtl/>
        </w:rPr>
        <w:t>ارتفعت</w:t>
      </w:r>
      <w:r w:rsidR="00F949D4" w:rsidRPr="006C579D">
        <w:rPr>
          <w:rFonts w:ascii="Simplified Arabic" w:hAnsi="Simplified Arabic" w:cs="Simplified Arabic" w:hint="cs"/>
          <w:color w:val="000000"/>
          <w:sz w:val="26"/>
          <w:szCs w:val="26"/>
          <w:rtl/>
        </w:rPr>
        <w:t xml:space="preserve"> أسعار البيع بالجملة </w:t>
      </w:r>
      <w:r w:rsidR="00491FFB" w:rsidRPr="006C579D">
        <w:rPr>
          <w:rFonts w:ascii="Simplified Arabic" w:hAnsi="Simplified Arabic" w:cs="Simplified Arabic" w:hint="cs"/>
          <w:color w:val="000000"/>
          <w:sz w:val="26"/>
          <w:szCs w:val="26"/>
          <w:rtl/>
        </w:rPr>
        <w:t>لمجموعة من ا</w:t>
      </w:r>
      <w:r w:rsidR="00F949D4" w:rsidRPr="006C579D">
        <w:rPr>
          <w:rFonts w:ascii="Simplified Arabic" w:hAnsi="Simplified Arabic" w:cs="Simplified Arabic" w:hint="cs"/>
          <w:color w:val="000000"/>
          <w:sz w:val="26"/>
          <w:szCs w:val="26"/>
          <w:rtl/>
        </w:rPr>
        <w:t xml:space="preserve">لفئات </w:t>
      </w:r>
      <w:r w:rsidR="00491FFB" w:rsidRPr="006C579D">
        <w:rPr>
          <w:rFonts w:ascii="Simplified Arabic" w:hAnsi="Simplified Arabic" w:cs="Simplified Arabic" w:hint="cs"/>
          <w:color w:val="000000"/>
          <w:sz w:val="26"/>
          <w:szCs w:val="26"/>
          <w:rtl/>
        </w:rPr>
        <w:t>على النحو الآتي</w:t>
      </w:r>
      <w:r w:rsidR="00F949D4" w:rsidRPr="006C579D">
        <w:rPr>
          <w:rFonts w:ascii="Simplified Arabic" w:hAnsi="Simplified Arabic" w:cs="Simplified Arabic" w:hint="cs"/>
          <w:color w:val="000000"/>
          <w:sz w:val="26"/>
          <w:szCs w:val="26"/>
          <w:rtl/>
        </w:rPr>
        <w:t xml:space="preserve">: </w:t>
      </w:r>
      <w:r w:rsidR="007C0D81" w:rsidRPr="006C579D">
        <w:rPr>
          <w:rFonts w:ascii="Simplified Arabic" w:hAnsi="Simplified Arabic" w:cs="Simplified Arabic" w:hint="cs"/>
          <w:color w:val="000000"/>
          <w:sz w:val="26"/>
          <w:szCs w:val="26"/>
          <w:rtl/>
        </w:rPr>
        <w:t xml:space="preserve">الفواكه والخضار بنسبة 19.45%، والوقود السائل بنسبة 6.04%، ومنتجات الألبان والبيض بنسبة 3.34%، والزيوت </w:t>
      </w:r>
      <w:r w:rsidR="005771BC" w:rsidRPr="006C579D">
        <w:rPr>
          <w:rFonts w:ascii="Simplified Arabic" w:hAnsi="Simplified Arabic" w:cs="Simplified Arabic" w:hint="cs"/>
          <w:color w:val="000000"/>
          <w:sz w:val="26"/>
          <w:szCs w:val="26"/>
          <w:rtl/>
        </w:rPr>
        <w:t>والدهون الحيوانية والنباتية بنسبة 2.30%،</w:t>
      </w:r>
      <w:r w:rsidR="007C0D81" w:rsidRPr="006C579D">
        <w:rPr>
          <w:rFonts w:ascii="Simplified Arabic" w:hAnsi="Simplified Arabic" w:cs="Simplified Arabic" w:hint="cs"/>
          <w:color w:val="000000"/>
          <w:sz w:val="26"/>
          <w:szCs w:val="26"/>
          <w:rtl/>
        </w:rPr>
        <w:t xml:space="preserve"> والمنسوجات والملابس والأحذية بنسبة </w:t>
      </w:r>
      <w:r w:rsidR="006957EA" w:rsidRPr="006C579D">
        <w:rPr>
          <w:rFonts w:ascii="Simplified Arabic" w:hAnsi="Simplified Arabic" w:cs="Simplified Arabic" w:hint="cs"/>
          <w:color w:val="000000"/>
          <w:sz w:val="26"/>
          <w:szCs w:val="26"/>
          <w:rtl/>
        </w:rPr>
        <w:t>1.69%.</w:t>
      </w:r>
    </w:p>
    <w:p w:rsidR="003F371F" w:rsidRPr="006C579D" w:rsidRDefault="003F371F" w:rsidP="003F371F">
      <w:pPr>
        <w:pStyle w:val="Header"/>
        <w:tabs>
          <w:tab w:val="left" w:pos="5925"/>
        </w:tabs>
        <w:jc w:val="both"/>
        <w:rPr>
          <w:rFonts w:ascii="Simplified Arabic" w:hAnsi="Simplified Arabic" w:cs="Simplified Arabic"/>
          <w:sz w:val="16"/>
          <w:szCs w:val="16"/>
          <w:rtl/>
        </w:rPr>
      </w:pPr>
    </w:p>
    <w:p w:rsidR="00E0724F" w:rsidRPr="006C579D" w:rsidRDefault="00E0724F" w:rsidP="005771BC">
      <w:pPr>
        <w:pStyle w:val="Header"/>
        <w:tabs>
          <w:tab w:val="left" w:pos="5925"/>
        </w:tabs>
        <w:jc w:val="both"/>
        <w:rPr>
          <w:rFonts w:ascii="Simplified Arabic" w:hAnsi="Simplified Arabic" w:cs="Simplified Arabic"/>
          <w:color w:val="000000"/>
          <w:sz w:val="26"/>
          <w:szCs w:val="26"/>
          <w:rtl/>
        </w:rPr>
      </w:pPr>
      <w:r w:rsidRPr="006C579D">
        <w:rPr>
          <w:rFonts w:ascii="Simplified Arabic" w:hAnsi="Simplified Arabic" w:cs="Simplified Arabic" w:hint="cs"/>
          <w:color w:val="000000"/>
          <w:sz w:val="26"/>
          <w:szCs w:val="26"/>
          <w:rtl/>
        </w:rPr>
        <w:t xml:space="preserve">في المقابل </w:t>
      </w:r>
      <w:r w:rsidR="005771BC" w:rsidRPr="006C579D">
        <w:rPr>
          <w:rFonts w:ascii="Simplified Arabic" w:hAnsi="Simplified Arabic" w:cs="Simplified Arabic" w:hint="cs"/>
          <w:color w:val="000000"/>
          <w:sz w:val="26"/>
          <w:szCs w:val="26"/>
          <w:rtl/>
        </w:rPr>
        <w:t>انخفضت</w:t>
      </w:r>
      <w:r w:rsidRPr="006C579D">
        <w:rPr>
          <w:rFonts w:ascii="Simplified Arabic" w:hAnsi="Simplified Arabic" w:cs="Simplified Arabic" w:hint="cs"/>
          <w:color w:val="000000"/>
          <w:sz w:val="26"/>
          <w:szCs w:val="26"/>
          <w:rtl/>
        </w:rPr>
        <w:t xml:space="preserve"> أسعار البيع بالجملة </w:t>
      </w:r>
      <w:r w:rsidR="00491FFB" w:rsidRPr="006C579D">
        <w:rPr>
          <w:rFonts w:ascii="Simplified Arabic" w:hAnsi="Simplified Arabic" w:cs="Simplified Arabic" w:hint="cs"/>
          <w:color w:val="000000"/>
          <w:sz w:val="26"/>
          <w:szCs w:val="26"/>
          <w:rtl/>
        </w:rPr>
        <w:t>لمجموعة من ا</w:t>
      </w:r>
      <w:r w:rsidRPr="006C579D">
        <w:rPr>
          <w:rFonts w:ascii="Simplified Arabic" w:hAnsi="Simplified Arabic" w:cs="Simplified Arabic" w:hint="cs"/>
          <w:color w:val="000000"/>
          <w:sz w:val="26"/>
          <w:szCs w:val="26"/>
          <w:rtl/>
        </w:rPr>
        <w:t xml:space="preserve">لفئات </w:t>
      </w:r>
      <w:r w:rsidR="00491FFB" w:rsidRPr="006C579D">
        <w:rPr>
          <w:rFonts w:ascii="Simplified Arabic" w:hAnsi="Simplified Arabic" w:cs="Simplified Arabic" w:hint="cs"/>
          <w:color w:val="000000"/>
          <w:sz w:val="26"/>
          <w:szCs w:val="26"/>
          <w:rtl/>
        </w:rPr>
        <w:t>على النحو الآتي</w:t>
      </w:r>
      <w:r w:rsidRPr="006C579D">
        <w:rPr>
          <w:rFonts w:ascii="Simplified Arabic" w:hAnsi="Simplified Arabic" w:cs="Simplified Arabic" w:hint="cs"/>
          <w:color w:val="000000"/>
          <w:sz w:val="26"/>
          <w:szCs w:val="26"/>
          <w:rtl/>
        </w:rPr>
        <w:t xml:space="preserve">: </w:t>
      </w:r>
      <w:r w:rsidR="005771BC" w:rsidRPr="006C579D">
        <w:rPr>
          <w:rFonts w:ascii="Simplified Arabic" w:hAnsi="Simplified Arabic" w:cs="Simplified Arabic" w:hint="cs"/>
          <w:color w:val="000000"/>
          <w:sz w:val="26"/>
          <w:szCs w:val="26"/>
          <w:rtl/>
        </w:rPr>
        <w:t>النفايات والخردة والمنتجات الأخرى غير المصنفة في موضع آخر بمقدار 7.33%، ومواد البناء والأجهزة ومعدات السباكة والتدفئة ولوازمها بمقدار 1.75%، والمعادن وخامات المعادن بمقدار 1.73%.</w:t>
      </w:r>
    </w:p>
    <w:p w:rsidR="00491FFB" w:rsidRPr="006C579D" w:rsidRDefault="00491FFB" w:rsidP="00491FFB">
      <w:pPr>
        <w:pStyle w:val="Header"/>
        <w:tabs>
          <w:tab w:val="left" w:pos="5925"/>
        </w:tabs>
        <w:jc w:val="both"/>
        <w:rPr>
          <w:rFonts w:ascii="Simplified Arabic" w:hAnsi="Simplified Arabic" w:cs="Simplified Arabic"/>
          <w:sz w:val="16"/>
          <w:szCs w:val="16"/>
          <w:rtl/>
        </w:rPr>
      </w:pPr>
    </w:p>
    <w:p w:rsidR="0078667D" w:rsidRPr="006C579D" w:rsidRDefault="00D96FB7" w:rsidP="005771BC">
      <w:pPr>
        <w:pStyle w:val="Header"/>
        <w:tabs>
          <w:tab w:val="left" w:pos="5925"/>
        </w:tabs>
        <w:jc w:val="both"/>
        <w:rPr>
          <w:rFonts w:ascii="Simplified Arabic" w:hAnsi="Simplified Arabic" w:cs="Simplified Arabic"/>
          <w:color w:val="000000"/>
          <w:sz w:val="26"/>
          <w:szCs w:val="26"/>
          <w:rtl/>
        </w:rPr>
      </w:pPr>
      <w:r w:rsidRPr="006C579D">
        <w:rPr>
          <w:rFonts w:ascii="Simplified Arabic" w:hAnsi="Simplified Arabic" w:cs="Simplified Arabic" w:hint="cs"/>
          <w:color w:val="000000"/>
          <w:sz w:val="26"/>
          <w:szCs w:val="26"/>
          <w:rtl/>
        </w:rPr>
        <w:t xml:space="preserve">سجل </w:t>
      </w:r>
      <w:r w:rsidRPr="006C579D">
        <w:rPr>
          <w:rFonts w:ascii="Simplified Arabic" w:hAnsi="Simplified Arabic" w:cs="Simplified Arabic" w:hint="cs"/>
          <w:b/>
          <w:bCs/>
          <w:color w:val="000000"/>
          <w:sz w:val="26"/>
          <w:szCs w:val="26"/>
          <w:rtl/>
        </w:rPr>
        <w:t xml:space="preserve">قسم تجارة الجملة والمفرد "التجزئة" واصلاح المركبات ذات المحركات والدراجات النارية </w:t>
      </w:r>
      <w:r w:rsidR="005771BC" w:rsidRPr="006C579D">
        <w:rPr>
          <w:rFonts w:ascii="Simplified Arabic" w:hAnsi="Simplified Arabic" w:cs="Simplified Arabic" w:hint="cs"/>
          <w:b/>
          <w:bCs/>
          <w:color w:val="000000"/>
          <w:sz w:val="26"/>
          <w:szCs w:val="26"/>
          <w:rtl/>
        </w:rPr>
        <w:t>ارتفاع</w:t>
      </w:r>
      <w:r w:rsidR="00F12751" w:rsidRPr="006C579D">
        <w:rPr>
          <w:rFonts w:ascii="Simplified Arabic" w:hAnsi="Simplified Arabic" w:cs="Simplified Arabic" w:hint="cs"/>
          <w:b/>
          <w:bCs/>
          <w:color w:val="000000"/>
          <w:sz w:val="26"/>
          <w:szCs w:val="26"/>
          <w:rtl/>
        </w:rPr>
        <w:t>اً</w:t>
      </w:r>
      <w:r w:rsidRPr="006C579D">
        <w:rPr>
          <w:rFonts w:ascii="Simplified Arabic" w:hAnsi="Simplified Arabic" w:cs="Simplified Arabic" w:hint="cs"/>
          <w:b/>
          <w:bCs/>
          <w:color w:val="000000"/>
          <w:sz w:val="26"/>
          <w:szCs w:val="26"/>
          <w:rtl/>
        </w:rPr>
        <w:t xml:space="preserve"> </w:t>
      </w:r>
      <w:r w:rsidR="005771BC" w:rsidRPr="006C579D">
        <w:rPr>
          <w:rFonts w:ascii="Simplified Arabic" w:hAnsi="Simplified Arabic" w:cs="Simplified Arabic" w:hint="cs"/>
          <w:b/>
          <w:bCs/>
          <w:color w:val="000000"/>
          <w:sz w:val="26"/>
          <w:szCs w:val="26"/>
          <w:rtl/>
        </w:rPr>
        <w:t>نسبته</w:t>
      </w:r>
      <w:r w:rsidRPr="006C579D">
        <w:rPr>
          <w:rFonts w:ascii="Simplified Arabic" w:hAnsi="Simplified Arabic" w:cs="Simplified Arabic" w:hint="cs"/>
          <w:b/>
          <w:bCs/>
          <w:color w:val="000000"/>
          <w:sz w:val="26"/>
          <w:szCs w:val="26"/>
          <w:rtl/>
        </w:rPr>
        <w:t xml:space="preserve"> </w:t>
      </w:r>
      <w:r w:rsidR="005771BC" w:rsidRPr="006C579D">
        <w:rPr>
          <w:rFonts w:ascii="Simplified Arabic" w:hAnsi="Simplified Arabic" w:cs="Simplified Arabic" w:hint="cs"/>
          <w:b/>
          <w:bCs/>
          <w:color w:val="000000"/>
          <w:sz w:val="26"/>
          <w:szCs w:val="26"/>
          <w:rtl/>
        </w:rPr>
        <w:t>3.82</w:t>
      </w:r>
      <w:r w:rsidRPr="006C579D">
        <w:rPr>
          <w:rFonts w:ascii="Simplified Arabic" w:hAnsi="Simplified Arabic" w:cs="Simplified Arabic" w:hint="cs"/>
          <w:b/>
          <w:bCs/>
          <w:color w:val="000000"/>
          <w:sz w:val="26"/>
          <w:szCs w:val="26"/>
          <w:rtl/>
        </w:rPr>
        <w:t xml:space="preserve">%، والذي يشكل ما نسبته </w:t>
      </w:r>
      <w:r w:rsidRPr="006C579D">
        <w:rPr>
          <w:rFonts w:ascii="Simplified Arabic" w:hAnsi="Simplified Arabic" w:cs="Simplified Arabic"/>
          <w:b/>
          <w:bCs/>
          <w:color w:val="000000"/>
          <w:sz w:val="26"/>
          <w:szCs w:val="26"/>
        </w:rPr>
        <w:t>11</w:t>
      </w:r>
      <w:r w:rsidRPr="006C579D">
        <w:rPr>
          <w:rFonts w:ascii="Simplified Arabic" w:hAnsi="Simplified Arabic" w:cs="Simplified Arabic" w:hint="cs"/>
          <w:b/>
          <w:bCs/>
          <w:color w:val="000000"/>
          <w:sz w:val="26"/>
          <w:szCs w:val="26"/>
          <w:rtl/>
        </w:rPr>
        <w:t>% من تجارة الجملة،</w:t>
      </w:r>
      <w:r w:rsidRPr="006C579D">
        <w:rPr>
          <w:rFonts w:ascii="Simplified Arabic" w:hAnsi="Simplified Arabic" w:cs="Simplified Arabic" w:hint="cs"/>
          <w:color w:val="000000"/>
          <w:sz w:val="26"/>
          <w:szCs w:val="26"/>
          <w:rtl/>
        </w:rPr>
        <w:t xml:space="preserve"> حيث </w:t>
      </w:r>
      <w:r w:rsidR="005771BC" w:rsidRPr="006C579D">
        <w:rPr>
          <w:rFonts w:ascii="Simplified Arabic" w:hAnsi="Simplified Arabic" w:cs="Simplified Arabic" w:hint="cs"/>
          <w:color w:val="000000"/>
          <w:sz w:val="26"/>
          <w:szCs w:val="26"/>
          <w:rtl/>
        </w:rPr>
        <w:t>ارتفعت</w:t>
      </w:r>
      <w:r w:rsidR="008E7911" w:rsidRPr="006C579D">
        <w:rPr>
          <w:rFonts w:ascii="Simplified Arabic" w:hAnsi="Simplified Arabic" w:cs="Simplified Arabic" w:hint="cs"/>
          <w:color w:val="000000"/>
          <w:sz w:val="26"/>
          <w:szCs w:val="26"/>
          <w:rtl/>
        </w:rPr>
        <w:t xml:space="preserve"> أسعار </w:t>
      </w:r>
      <w:r w:rsidR="00B87D03" w:rsidRPr="006C579D">
        <w:rPr>
          <w:rFonts w:ascii="Simplified Arabic" w:hAnsi="Simplified Arabic" w:cs="Simplified Arabic" w:hint="cs"/>
          <w:color w:val="000000"/>
          <w:sz w:val="26"/>
          <w:szCs w:val="26"/>
          <w:rtl/>
        </w:rPr>
        <w:t xml:space="preserve">بيع </w:t>
      </w:r>
      <w:r w:rsidR="008E7911" w:rsidRPr="006C579D">
        <w:rPr>
          <w:rFonts w:ascii="Simplified Arabic" w:hAnsi="Simplified Arabic" w:cs="Simplified Arabic" w:hint="cs"/>
          <w:color w:val="000000"/>
          <w:sz w:val="26"/>
          <w:szCs w:val="26"/>
          <w:rtl/>
        </w:rPr>
        <w:t>وصيانة واصلاح الدراجات النارية وقطع غيارها والاكسسوارات المتصلة بها</w:t>
      </w:r>
      <w:r w:rsidRPr="006C579D">
        <w:rPr>
          <w:rFonts w:ascii="Simplified Arabic" w:hAnsi="Simplified Arabic" w:cs="Simplified Arabic" w:hint="cs"/>
          <w:color w:val="000000"/>
          <w:sz w:val="26"/>
          <w:szCs w:val="26"/>
          <w:rtl/>
        </w:rPr>
        <w:t xml:space="preserve"> </w:t>
      </w:r>
      <w:r w:rsidR="00F12751" w:rsidRPr="006C579D">
        <w:rPr>
          <w:rFonts w:ascii="Simplified Arabic" w:hAnsi="Simplified Arabic" w:cs="Simplified Arabic" w:hint="cs"/>
          <w:color w:val="000000"/>
          <w:sz w:val="26"/>
          <w:szCs w:val="26"/>
          <w:rtl/>
        </w:rPr>
        <w:t>ب</w:t>
      </w:r>
      <w:r w:rsidR="005771BC" w:rsidRPr="006C579D">
        <w:rPr>
          <w:rFonts w:ascii="Simplified Arabic" w:hAnsi="Simplified Arabic" w:cs="Simplified Arabic" w:hint="cs"/>
          <w:color w:val="000000"/>
          <w:sz w:val="26"/>
          <w:szCs w:val="26"/>
          <w:rtl/>
        </w:rPr>
        <w:t>نسبة</w:t>
      </w:r>
      <w:r w:rsidRPr="006C579D">
        <w:rPr>
          <w:rFonts w:ascii="Simplified Arabic" w:hAnsi="Simplified Arabic" w:cs="Simplified Arabic" w:hint="cs"/>
          <w:color w:val="000000"/>
          <w:sz w:val="26"/>
          <w:szCs w:val="26"/>
          <w:rtl/>
        </w:rPr>
        <w:t xml:space="preserve"> </w:t>
      </w:r>
      <w:r w:rsidR="005771BC" w:rsidRPr="006C579D">
        <w:rPr>
          <w:rFonts w:ascii="Simplified Arabic" w:hAnsi="Simplified Arabic" w:cs="Simplified Arabic" w:hint="cs"/>
          <w:color w:val="000000"/>
          <w:sz w:val="26"/>
          <w:szCs w:val="26"/>
          <w:rtl/>
        </w:rPr>
        <w:t>33.33</w:t>
      </w:r>
      <w:r w:rsidRPr="006C579D">
        <w:rPr>
          <w:rFonts w:ascii="Simplified Arabic" w:hAnsi="Simplified Arabic" w:cs="Simplified Arabic" w:hint="cs"/>
          <w:color w:val="000000"/>
          <w:sz w:val="26"/>
          <w:szCs w:val="26"/>
          <w:rtl/>
        </w:rPr>
        <w:t>%</w:t>
      </w:r>
      <w:r w:rsidR="00B87D03" w:rsidRPr="006C579D">
        <w:rPr>
          <w:rFonts w:ascii="Simplified Arabic" w:hAnsi="Simplified Arabic" w:cs="Simplified Arabic" w:hint="cs"/>
          <w:color w:val="000000"/>
          <w:sz w:val="26"/>
          <w:szCs w:val="26"/>
          <w:rtl/>
        </w:rPr>
        <w:t xml:space="preserve">، </w:t>
      </w:r>
      <w:r w:rsidR="005771BC" w:rsidRPr="006C579D">
        <w:rPr>
          <w:rFonts w:ascii="Simplified Arabic" w:hAnsi="Simplified Arabic" w:cs="Simplified Arabic" w:hint="cs"/>
          <w:color w:val="000000"/>
          <w:sz w:val="26"/>
          <w:szCs w:val="26"/>
          <w:rtl/>
        </w:rPr>
        <w:t xml:space="preserve">والمركبات ذات المحركات بنسبة 4.83% </w:t>
      </w:r>
      <w:r w:rsidR="00E612CC" w:rsidRPr="006C579D">
        <w:rPr>
          <w:rFonts w:ascii="Simplified Arabic" w:hAnsi="Simplified Arabic" w:cs="Simplified Arabic" w:hint="cs"/>
          <w:color w:val="000000"/>
          <w:sz w:val="26"/>
          <w:szCs w:val="26"/>
          <w:rtl/>
        </w:rPr>
        <w:t xml:space="preserve">وبيع قطع غيار واكسسوارات المركبات ذات المحركات </w:t>
      </w:r>
      <w:r w:rsidR="005771BC" w:rsidRPr="006C579D">
        <w:rPr>
          <w:rFonts w:ascii="Simplified Arabic" w:hAnsi="Simplified Arabic" w:cs="Simplified Arabic" w:hint="cs"/>
          <w:color w:val="000000"/>
          <w:sz w:val="26"/>
          <w:szCs w:val="26"/>
          <w:rtl/>
        </w:rPr>
        <w:t>بنسبة</w:t>
      </w:r>
      <w:r w:rsidR="00E612CC" w:rsidRPr="006C579D">
        <w:rPr>
          <w:rFonts w:ascii="Simplified Arabic" w:hAnsi="Simplified Arabic" w:cs="Simplified Arabic" w:hint="cs"/>
          <w:color w:val="000000"/>
          <w:sz w:val="26"/>
          <w:szCs w:val="26"/>
          <w:rtl/>
        </w:rPr>
        <w:t xml:space="preserve"> </w:t>
      </w:r>
      <w:r w:rsidR="005771BC" w:rsidRPr="006C579D">
        <w:rPr>
          <w:rFonts w:ascii="Simplified Arabic" w:hAnsi="Simplified Arabic" w:cs="Simplified Arabic" w:hint="cs"/>
          <w:color w:val="000000"/>
          <w:sz w:val="26"/>
          <w:szCs w:val="26"/>
          <w:rtl/>
        </w:rPr>
        <w:t>4.68</w:t>
      </w:r>
      <w:r w:rsidR="00E612CC" w:rsidRPr="006C579D">
        <w:rPr>
          <w:rFonts w:ascii="Simplified Arabic" w:hAnsi="Simplified Arabic" w:cs="Simplified Arabic" w:hint="cs"/>
          <w:color w:val="000000"/>
          <w:sz w:val="26"/>
          <w:szCs w:val="26"/>
          <w:rtl/>
        </w:rPr>
        <w:t>%،</w:t>
      </w:r>
      <w:r w:rsidR="005771BC" w:rsidRPr="006C579D">
        <w:rPr>
          <w:rFonts w:ascii="Simplified Arabic" w:hAnsi="Simplified Arabic" w:cs="Simplified Arabic" w:hint="cs"/>
          <w:color w:val="000000"/>
          <w:sz w:val="26"/>
          <w:szCs w:val="26"/>
          <w:rtl/>
        </w:rPr>
        <w:t xml:space="preserve"> و</w:t>
      </w:r>
      <w:r w:rsidR="005771BC" w:rsidRPr="006C579D">
        <w:rPr>
          <w:rFonts w:ascii="Simplified Arabic" w:hAnsi="Simplified Arabic" w:cs="Simplified Arabic"/>
          <w:color w:val="000000"/>
          <w:sz w:val="26"/>
          <w:szCs w:val="26"/>
          <w:rtl/>
        </w:rPr>
        <w:t>صيانة وإصلاح المركبات ذات المحركات</w:t>
      </w:r>
      <w:r w:rsidR="005771BC" w:rsidRPr="006C579D">
        <w:rPr>
          <w:rFonts w:ascii="Simplified Arabic" w:hAnsi="Simplified Arabic" w:cs="Simplified Arabic" w:hint="cs"/>
          <w:color w:val="000000"/>
          <w:sz w:val="26"/>
          <w:szCs w:val="26"/>
          <w:rtl/>
        </w:rPr>
        <w:t xml:space="preserve"> بنسبة 1.74%</w:t>
      </w:r>
      <w:r w:rsidRPr="006C579D">
        <w:rPr>
          <w:rFonts w:ascii="Simplified Arabic" w:hAnsi="Simplified Arabic" w:cs="Simplified Arabic" w:hint="cs"/>
          <w:color w:val="000000"/>
          <w:sz w:val="26"/>
          <w:szCs w:val="26"/>
          <w:rtl/>
        </w:rPr>
        <w:t>.</w:t>
      </w:r>
      <w:bookmarkEnd w:id="0"/>
      <w:bookmarkEnd w:id="1"/>
    </w:p>
    <w:p w:rsidR="0025685E" w:rsidRDefault="0025685E" w:rsidP="004A327F">
      <w:pPr>
        <w:pStyle w:val="Header"/>
        <w:tabs>
          <w:tab w:val="left" w:pos="5925"/>
        </w:tabs>
        <w:jc w:val="both"/>
        <w:rPr>
          <w:rFonts w:ascii="Simplified Arabic" w:hAnsi="Simplified Arabic" w:cs="Simplified Arabic"/>
          <w:sz w:val="16"/>
          <w:szCs w:val="16"/>
          <w:rtl/>
        </w:rPr>
      </w:pPr>
    </w:p>
    <w:p w:rsidR="006C579D" w:rsidRPr="006C579D" w:rsidRDefault="006C579D" w:rsidP="004A327F">
      <w:pPr>
        <w:pStyle w:val="Header"/>
        <w:tabs>
          <w:tab w:val="left" w:pos="5925"/>
        </w:tabs>
        <w:jc w:val="both"/>
        <w:rPr>
          <w:rFonts w:ascii="Simplified Arabic" w:hAnsi="Simplified Arabic" w:cs="Simplified Arabic"/>
          <w:sz w:val="16"/>
          <w:szCs w:val="16"/>
          <w:rtl/>
        </w:rPr>
      </w:pPr>
    </w:p>
    <w:p w:rsidR="00647C4E" w:rsidRPr="006C579D" w:rsidRDefault="00647C4E" w:rsidP="00647C4E">
      <w:pPr>
        <w:pStyle w:val="BodyText2"/>
        <w:spacing w:after="0" w:line="240" w:lineRule="auto"/>
        <w:rPr>
          <w:rFonts w:cs="Simplified Arabic"/>
          <w:b/>
          <w:bCs/>
        </w:rPr>
      </w:pPr>
      <w:r w:rsidRPr="006C579D">
        <w:rPr>
          <w:rFonts w:cs="Simplified Arabic" w:hint="cs"/>
          <w:b/>
          <w:bCs/>
          <w:rtl/>
        </w:rPr>
        <w:t>تنويه لمستخدمي البيانات:</w:t>
      </w:r>
    </w:p>
    <w:p w:rsidR="0071285A" w:rsidRPr="006C579D" w:rsidRDefault="0071285A" w:rsidP="0071285A">
      <w:pPr>
        <w:pStyle w:val="BodyText2"/>
        <w:numPr>
          <w:ilvl w:val="0"/>
          <w:numId w:val="3"/>
        </w:numPr>
        <w:spacing w:after="0" w:line="240" w:lineRule="auto"/>
        <w:ind w:left="282" w:hanging="283"/>
        <w:jc w:val="both"/>
        <w:rPr>
          <w:rFonts w:cs="Simplified Arabic"/>
        </w:rPr>
      </w:pPr>
      <w:r w:rsidRPr="006C579D">
        <w:rPr>
          <w:rFonts w:cs="Simplified Arabic" w:hint="cs"/>
          <w:rtl/>
        </w:rPr>
        <w:t>تم تحديث سنة الأساس للرقم القياسي لأسعار الجملة لتصبح 2021.</w:t>
      </w:r>
    </w:p>
    <w:p w:rsidR="00F93ED5" w:rsidRPr="006C579D" w:rsidRDefault="00F93ED5" w:rsidP="0071285A">
      <w:pPr>
        <w:pStyle w:val="BodyText2"/>
        <w:numPr>
          <w:ilvl w:val="0"/>
          <w:numId w:val="3"/>
        </w:numPr>
        <w:spacing w:after="0" w:line="240" w:lineRule="auto"/>
        <w:ind w:left="282" w:hanging="283"/>
        <w:jc w:val="both"/>
        <w:rPr>
          <w:rFonts w:cs="Simplified Arabic"/>
          <w:rtl/>
        </w:rPr>
      </w:pPr>
      <w:r w:rsidRPr="006C579D">
        <w:rPr>
          <w:rFonts w:cs="Simplified Arabic" w:hint="cs"/>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6C579D" w:rsidRDefault="0071285A" w:rsidP="00B87D03">
      <w:pPr>
        <w:pStyle w:val="BodyText2"/>
        <w:numPr>
          <w:ilvl w:val="0"/>
          <w:numId w:val="3"/>
        </w:numPr>
        <w:spacing w:after="0" w:line="240" w:lineRule="auto"/>
        <w:ind w:left="282" w:hanging="283"/>
        <w:jc w:val="both"/>
        <w:rPr>
          <w:rFonts w:cs="Simplified Arabic"/>
          <w:rtl/>
        </w:rPr>
      </w:pPr>
      <w:r w:rsidRPr="006C579D">
        <w:rPr>
          <w:rFonts w:cs="Simplified Arabic" w:hint="cs"/>
          <w:rtl/>
        </w:rPr>
        <w:t xml:space="preserve">تم الاعتماد على التصنيف الصناعي الدولي الموحد لجميع الأنشطة الاقتصادية "التنقيح الرابع" الصادر عن </w:t>
      </w:r>
      <w:r w:rsidR="00FA67C0" w:rsidRPr="006C579D">
        <w:rPr>
          <w:rFonts w:cs="Simplified Arabic" w:hint="cs"/>
          <w:rtl/>
        </w:rPr>
        <w:t xml:space="preserve">شعبة الاحصاء في </w:t>
      </w:r>
      <w:r w:rsidRPr="006C579D">
        <w:rPr>
          <w:rFonts w:cs="Simplified Arabic" w:hint="cs"/>
          <w:rtl/>
        </w:rPr>
        <w:t xml:space="preserve">الأمم المتحدة، </w:t>
      </w:r>
      <w:r w:rsidR="00F93ED5" w:rsidRPr="006C579D">
        <w:rPr>
          <w:rFonts w:cs="Simplified Arabic" w:hint="cs"/>
          <w:rtl/>
        </w:rPr>
        <w:t>لتصنيف أقسام تجارة الجملة وفئات البيع بالجملة ضمن الباب زاي "45-47" تجارة الجملة والمفرد "التجزئة" واصلاح المركبات ذات المحركات والدراجات النارية، تم استثناء القسم 47 والخاص بتجارة المفرد "التجزئة"</w:t>
      </w:r>
      <w:r w:rsidRPr="006C579D">
        <w:rPr>
          <w:rFonts w:cs="Simplified Arabic" w:hint="cs"/>
          <w:rtl/>
        </w:rPr>
        <w:t>.</w:t>
      </w:r>
    </w:p>
    <w:p w:rsidR="00647C4E" w:rsidRDefault="00647C4E" w:rsidP="006016E8">
      <w:pPr>
        <w:jc w:val="both"/>
        <w:rPr>
          <w:rFonts w:cs="Simplified Arabic"/>
          <w:sz w:val="19"/>
          <w:szCs w:val="19"/>
          <w:rtl/>
        </w:rPr>
      </w:pPr>
    </w:p>
    <w:p w:rsidR="006C579D" w:rsidRPr="00647C4E" w:rsidRDefault="006C579D" w:rsidP="006016E8">
      <w:pPr>
        <w:jc w:val="both"/>
        <w:rPr>
          <w:rFonts w:cs="Simplified Arabic"/>
          <w:sz w:val="19"/>
          <w:szCs w:val="19"/>
          <w:rtl/>
        </w:rPr>
      </w:pPr>
    </w:p>
    <w:p w:rsidR="0078667D" w:rsidRPr="00286D0A" w:rsidRDefault="006C579D" w:rsidP="006C579D">
      <w:pPr>
        <w:jc w:val="center"/>
        <w:rPr>
          <w:rFonts w:cs="Simplified Arabic"/>
          <w:sz w:val="19"/>
          <w:szCs w:val="19"/>
        </w:rPr>
      </w:pPr>
      <w:r w:rsidRPr="0089707A">
        <w:rPr>
          <w:rFonts w:cs="Simplified Arabic"/>
          <w:noProof/>
          <w:sz w:val="20"/>
          <w:szCs w:val="20"/>
          <w:lang w:eastAsia="en-US"/>
        </w:rPr>
        <w:drawing>
          <wp:inline distT="0" distB="0" distL="0" distR="0" wp14:anchorId="046F26DE" wp14:editId="3732B9FD">
            <wp:extent cx="80962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087" cy="996176"/>
                    </a:xfrm>
                    <a:prstGeom prst="rect">
                      <a:avLst/>
                    </a:prstGeom>
                    <a:noFill/>
                    <a:ln>
                      <a:noFill/>
                    </a:ln>
                  </pic:spPr>
                </pic:pic>
              </a:graphicData>
            </a:graphic>
          </wp:inline>
        </w:drawing>
      </w:r>
    </w:p>
    <w:sectPr w:rsidR="0078667D" w:rsidRPr="00286D0A" w:rsidSect="006C579D">
      <w:footerReference w:type="even" r:id="rId9"/>
      <w:footerReference w:type="default" r:id="rId10"/>
      <w:pgSz w:w="11907" w:h="16840" w:code="9"/>
      <w:pgMar w:top="1134" w:right="1134" w:bottom="1134" w:left="1134"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FD" w:rsidRDefault="000D2FFD">
      <w:r>
        <w:separator/>
      </w:r>
    </w:p>
  </w:endnote>
  <w:endnote w:type="continuationSeparator" w:id="0">
    <w:p w:rsidR="000D2FFD" w:rsidRDefault="000D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792D33">
    <w:pPr>
      <w:pStyle w:val="Footer"/>
      <w:jc w:val="center"/>
    </w:pPr>
    <w:r>
      <w:fldChar w:fldCharType="begin"/>
    </w:r>
    <w:r w:rsidR="002C75BF">
      <w:instrText xml:space="preserve"> PAGE   \* MERGEFORMAT </w:instrText>
    </w:r>
    <w:r>
      <w:fldChar w:fldCharType="separate"/>
    </w:r>
    <w:r w:rsidR="00456970">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FD" w:rsidRDefault="000D2FFD">
      <w:r>
        <w:separator/>
      </w:r>
    </w:p>
  </w:footnote>
  <w:footnote w:type="continuationSeparator" w:id="0">
    <w:p w:rsidR="000D2FFD" w:rsidRDefault="000D2FFD">
      <w:r>
        <w:continuationSeparator/>
      </w:r>
    </w:p>
  </w:footnote>
  <w:footnote w:id="1">
    <w:p w:rsidR="00CA15B9" w:rsidRPr="006C579D" w:rsidRDefault="00CA15B9" w:rsidP="00CA15B9">
      <w:pPr>
        <w:pStyle w:val="FootnoteText"/>
        <w:jc w:val="lowKashida"/>
        <w:rPr>
          <w:rFonts w:ascii="Simplified Arabic" w:hAnsi="Simplified Arabic" w:cs="Simplified Arabic"/>
          <w:rtl/>
        </w:rPr>
      </w:pPr>
      <w:r w:rsidRPr="006C579D">
        <w:rPr>
          <w:rStyle w:val="FootnoteReference"/>
          <w:rFonts w:ascii="Simplified Arabic" w:hAnsi="Simplified Arabic" w:cs="Simplified Arabic"/>
        </w:rPr>
        <w:t>1</w:t>
      </w:r>
      <w:r w:rsidRPr="006C579D">
        <w:rPr>
          <w:rFonts w:ascii="Simplified Arabic" w:hAnsi="Simplified Arabic"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409"/>
    <w:rsid w:val="00021919"/>
    <w:rsid w:val="0002407B"/>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D2FFD"/>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685E"/>
    <w:rsid w:val="00257CB8"/>
    <w:rsid w:val="0026086E"/>
    <w:rsid w:val="00271EA7"/>
    <w:rsid w:val="00272C61"/>
    <w:rsid w:val="00273198"/>
    <w:rsid w:val="002825AA"/>
    <w:rsid w:val="0028424E"/>
    <w:rsid w:val="00286D0A"/>
    <w:rsid w:val="00287685"/>
    <w:rsid w:val="002A4788"/>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1218D"/>
    <w:rsid w:val="0041418A"/>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56970"/>
    <w:rsid w:val="0047363C"/>
    <w:rsid w:val="004752A9"/>
    <w:rsid w:val="00480B8F"/>
    <w:rsid w:val="00480F5D"/>
    <w:rsid w:val="0048345C"/>
    <w:rsid w:val="004844C3"/>
    <w:rsid w:val="004844EB"/>
    <w:rsid w:val="00484B72"/>
    <w:rsid w:val="00491FFB"/>
    <w:rsid w:val="00494666"/>
    <w:rsid w:val="00495F40"/>
    <w:rsid w:val="00497479"/>
    <w:rsid w:val="004A0A23"/>
    <w:rsid w:val="004A327F"/>
    <w:rsid w:val="004B5997"/>
    <w:rsid w:val="004C017C"/>
    <w:rsid w:val="004C03E7"/>
    <w:rsid w:val="004C1ACB"/>
    <w:rsid w:val="004C23F3"/>
    <w:rsid w:val="004D2B6E"/>
    <w:rsid w:val="004D3125"/>
    <w:rsid w:val="004E5CDC"/>
    <w:rsid w:val="004F3527"/>
    <w:rsid w:val="004F3543"/>
    <w:rsid w:val="004F46A8"/>
    <w:rsid w:val="004F59BC"/>
    <w:rsid w:val="004F6D6E"/>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334E"/>
    <w:rsid w:val="00664112"/>
    <w:rsid w:val="00666B43"/>
    <w:rsid w:val="006727FB"/>
    <w:rsid w:val="006806BF"/>
    <w:rsid w:val="00680F05"/>
    <w:rsid w:val="00686181"/>
    <w:rsid w:val="006879BB"/>
    <w:rsid w:val="00691778"/>
    <w:rsid w:val="00691CAB"/>
    <w:rsid w:val="00691DD1"/>
    <w:rsid w:val="00692A65"/>
    <w:rsid w:val="00694978"/>
    <w:rsid w:val="006957EA"/>
    <w:rsid w:val="00695993"/>
    <w:rsid w:val="006A4B65"/>
    <w:rsid w:val="006A575E"/>
    <w:rsid w:val="006B00EE"/>
    <w:rsid w:val="006B1656"/>
    <w:rsid w:val="006B17BA"/>
    <w:rsid w:val="006B1E59"/>
    <w:rsid w:val="006C1B59"/>
    <w:rsid w:val="006C2049"/>
    <w:rsid w:val="006C579D"/>
    <w:rsid w:val="006D5DBF"/>
    <w:rsid w:val="006E2A22"/>
    <w:rsid w:val="00701983"/>
    <w:rsid w:val="00703894"/>
    <w:rsid w:val="00711027"/>
    <w:rsid w:val="0071285A"/>
    <w:rsid w:val="007160E8"/>
    <w:rsid w:val="00725062"/>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2C6"/>
    <w:rsid w:val="007A2C6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53B5"/>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A1651"/>
    <w:rsid w:val="00DB04D6"/>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753"/>
    <w:rsid w:val="00DF4249"/>
    <w:rsid w:val="00DF78E9"/>
    <w:rsid w:val="00E00774"/>
    <w:rsid w:val="00E07021"/>
    <w:rsid w:val="00E0724F"/>
    <w:rsid w:val="00E07FBB"/>
    <w:rsid w:val="00E13447"/>
    <w:rsid w:val="00E27E8F"/>
    <w:rsid w:val="00E43DA5"/>
    <w:rsid w:val="00E5211E"/>
    <w:rsid w:val="00E560B6"/>
    <w:rsid w:val="00E612CC"/>
    <w:rsid w:val="00E61AFB"/>
    <w:rsid w:val="00E63F34"/>
    <w:rsid w:val="00E6510D"/>
    <w:rsid w:val="00E65C40"/>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F022FC"/>
    <w:rsid w:val="00F028BF"/>
    <w:rsid w:val="00F05FCA"/>
    <w:rsid w:val="00F12751"/>
    <w:rsid w:val="00F15A7C"/>
    <w:rsid w:val="00F15F41"/>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94235"/>
  <w15:docId w15:val="{6F859DE9-8CF1-4810-84EF-2E1B443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35D9-6EF0-4569-947E-9C51287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1911</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Hadeel Badran</cp:lastModifiedBy>
  <cp:revision>61</cp:revision>
  <cp:lastPrinted>2023-10-16T06:37:00Z</cp:lastPrinted>
  <dcterms:created xsi:type="dcterms:W3CDTF">2022-04-14T19:17:00Z</dcterms:created>
  <dcterms:modified xsi:type="dcterms:W3CDTF">2023-10-17T08:09:00Z</dcterms:modified>
</cp:coreProperties>
</file>