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B" w:rsidRPr="006E0D87" w:rsidRDefault="000A048D" w:rsidP="004A62BB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OLE_LINK5"/>
      <w:bookmarkStart w:id="3" w:name="OLE_LINK6"/>
      <w:r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>الاحصاء الفلسطيني ووزارة الاتصالات وتكنولوجيا المعلومات يصدران بيانا</w:t>
      </w:r>
      <w:r w:rsidR="00184492"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صحفيا</w:t>
      </w:r>
      <w:r w:rsidR="00184492"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  <w:r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مشتركا</w:t>
      </w:r>
      <w:r w:rsidR="00184492"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>ً</w:t>
      </w:r>
    </w:p>
    <w:p w:rsidR="003D559B" w:rsidRPr="006E0D87" w:rsidRDefault="000A048D" w:rsidP="004A62BB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بمناسبة اليوم العالمي</w:t>
      </w:r>
      <w:r w:rsidR="00997959"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للاتصالات</w:t>
      </w:r>
      <w:r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97959"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Pr="006E0D87">
        <w:rPr>
          <w:rFonts w:ascii="Simplified Arabic" w:hAnsi="Simplified Arabic" w:cs="Simplified Arabic"/>
          <w:b/>
          <w:bCs/>
          <w:sz w:val="32"/>
          <w:szCs w:val="32"/>
          <w:rtl/>
        </w:rPr>
        <w:t>مجتمع المعلومات والذي يصادف السابع عشر من أيار</w:t>
      </w:r>
    </w:p>
    <w:p w:rsidR="000A048D" w:rsidRPr="00AB7C4A" w:rsidRDefault="000A048D" w:rsidP="00B04EBD">
      <w:pPr>
        <w:tabs>
          <w:tab w:val="num" w:pos="1215"/>
        </w:tabs>
        <w:spacing w:line="200" w:lineRule="exact"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4A62BB" w:rsidRPr="004A62BB" w:rsidRDefault="004A62BB" w:rsidP="004A62BB">
      <w:pPr>
        <w:tabs>
          <w:tab w:val="left" w:pos="121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  <w:lang w:bidi="ar-EG"/>
        </w:rPr>
      </w:pPr>
      <w:r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ab/>
      </w:r>
    </w:p>
    <w:p w:rsidR="00352566" w:rsidRPr="006E0D87" w:rsidRDefault="001D5F43" w:rsidP="00352566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يتم الاحتفال باليوم العالمي للاتصالات ومجتمع المعلومات سنوياً في </w:t>
      </w:r>
      <w:r w:rsidR="0086692D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السابع عشر من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 </w:t>
      </w:r>
      <w:r w:rsidR="001E5261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أيار</w:t>
      </w:r>
      <w:r w:rsidR="00580230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 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منذ </w:t>
      </w:r>
      <w:r w:rsidR="001E5261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ال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عام 1969، لإحياء ذكرى تأسيس الاتحاد الدولي للاتصالات وتوقيع الاتفاقية الدولية الأولى </w:t>
      </w:r>
      <w:r w:rsidR="002A157C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للإبراق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 في عام 1865.</w:t>
      </w:r>
    </w:p>
    <w:p w:rsidR="001D5F43" w:rsidRPr="006E0D87" w:rsidRDefault="001D5F43" w:rsidP="005E07F7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lang w:bidi="ar-EG"/>
        </w:rPr>
      </w:pPr>
    </w:p>
    <w:p w:rsidR="005B2514" w:rsidRPr="006E0D87" w:rsidRDefault="005B2514" w:rsidP="005E07F7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يركز اليوم العالمي للاتصالات ومجتمع المعلومات</w:t>
      </w:r>
      <w:r w:rsidR="00806A55" w:rsidRPr="006E0D87">
        <w:rPr>
          <w:rFonts w:ascii="Simplified Arabic" w:hAnsi="Simplified Arabic" w:cs="Simplified Arabic"/>
          <w:color w:val="000000"/>
          <w:sz w:val="26"/>
          <w:szCs w:val="26"/>
          <w:lang w:bidi="ar-EG"/>
        </w:rPr>
        <w:t xml:space="preserve"> </w:t>
      </w:r>
      <w:r w:rsidR="00806A55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هذا العام على </w:t>
      </w:r>
      <w:r w:rsidR="00806A55" w:rsidRPr="006E0D8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"تمكين أقل البلدان نمواً من خلال تكنولوجيا المعلومات والاتصالات"</w:t>
      </w:r>
      <w:r w:rsidR="00806A55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ويدعو القطاعين العام والخاص لتقديم تعهدات وشراكات من أجل ضمان التوصيلية العالمية والتحوّل الرقمي.</w:t>
      </w:r>
    </w:p>
    <w:p w:rsidR="005E07F7" w:rsidRPr="006E0D87" w:rsidRDefault="005E07F7" w:rsidP="005E07F7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16"/>
          <w:szCs w:val="16"/>
        </w:rPr>
      </w:pPr>
    </w:p>
    <w:p w:rsidR="007D27FF" w:rsidRPr="004A62BB" w:rsidRDefault="007D27FF" w:rsidP="008D15F2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غالبية</w:t>
      </w:r>
      <w:r w:rsidR="002C401D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الأسر </w:t>
      </w:r>
      <w:r w:rsidR="008D15F2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في فلسطين </w:t>
      </w:r>
      <w:r w:rsidR="002C401D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لديها نفاذ ل</w:t>
      </w:r>
      <w:r w:rsidR="00556888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خدمة ا</w:t>
      </w:r>
      <w:r w:rsidR="002C401D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لإ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نترنت في المنزل </w:t>
      </w:r>
    </w:p>
    <w:p w:rsidR="00E006AC" w:rsidRPr="006E0D87" w:rsidRDefault="00FE16DA" w:rsidP="009B778E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أظهرت نتائج مسح القوى العاملة للعام 2022، بأن</w:t>
      </w:r>
      <w:r w:rsidR="007D27FF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 9</w:t>
      </w:r>
      <w:r w:rsidR="00DC6B21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2</w:t>
      </w:r>
      <w:r w:rsidR="007D27FF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% من الأسر في فلسطين لديها أو لدى أحد أفرادها إمكانية النفاذ إلى خدمة الإنترنت في المنزل، بواقع 9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3</w:t>
      </w:r>
      <w:r w:rsidR="007D27FF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% في الضفة الغربية، و9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2</w:t>
      </w:r>
      <w:r w:rsidR="007D27FF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>% في قطاع غزة.</w:t>
      </w:r>
      <w:r w:rsidR="00E006AC" w:rsidRPr="006E0D87">
        <w:rPr>
          <w:rFonts w:ascii="Simplified Arabic" w:hAnsi="Simplified Arabic" w:cs="Simplified Arabic"/>
          <w:color w:val="000000"/>
          <w:sz w:val="26"/>
          <w:szCs w:val="26"/>
          <w:rtl/>
          <w:lang w:bidi="ar-EG"/>
        </w:rPr>
        <w:t xml:space="preserve"> </w:t>
      </w:r>
    </w:p>
    <w:p w:rsidR="006E0D87" w:rsidRDefault="00567DDC" w:rsidP="00B717F0">
      <w:pPr>
        <w:jc w:val="both"/>
        <w:rPr>
          <w:rFonts w:ascii="Simplified Arabic" w:hAnsi="Simplified Arabic" w:cs="Simplified Arabic"/>
          <w:color w:val="000000"/>
          <w:rtl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كما 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بلغت نسبة الأفراد</w:t>
      </w:r>
      <w:r w:rsidR="009B778E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(10 سنوات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فأكثر</w:t>
      </w:r>
      <w:r w:rsidR="009B778E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)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الذين استخدموا الانترنت من أي مكان </w:t>
      </w:r>
      <w:r w:rsidR="0072348C" w:rsidRPr="006E0D87">
        <w:rPr>
          <w:rFonts w:ascii="Simplified Arabic" w:hAnsi="Simplified Arabic" w:cs="Simplified Arabic"/>
          <w:color w:val="000000"/>
          <w:sz w:val="26"/>
          <w:szCs w:val="26"/>
        </w:rPr>
        <w:t>89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% في فلسطين</w:t>
      </w:r>
      <w:r w:rsidR="008E31C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92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% في الضفة الغربية و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83</w:t>
      </w:r>
      <w:r w:rsidR="00E629D9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% في قطاع غزة.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6006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وبلغت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النسبة 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89% بين الذكور و88% بين الاناث.</w:t>
      </w:r>
      <w:r w:rsidR="00023340" w:rsidRPr="00AB7C4A">
        <w:rPr>
          <w:rFonts w:ascii="Simplified Arabic" w:hAnsi="Simplified Arabic" w:cs="Simplified Arabic" w:hint="cs"/>
          <w:color w:val="000000"/>
          <w:rtl/>
        </w:rPr>
        <w:t xml:space="preserve">  </w:t>
      </w:r>
    </w:p>
    <w:p w:rsidR="00B717F0" w:rsidRDefault="00B717F0" w:rsidP="00460060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B717F0" w:rsidRPr="006E0D87" w:rsidRDefault="00B717F0" w:rsidP="00460060">
      <w:pPr>
        <w:jc w:val="both"/>
        <w:rPr>
          <w:rFonts w:ascii="Simplified Arabic" w:hAnsi="Simplified Arabic" w:cs="Simplified Arabic"/>
          <w:color w:val="000000"/>
          <w:sz w:val="16"/>
          <w:szCs w:val="16"/>
        </w:rPr>
      </w:pPr>
    </w:p>
    <w:p w:rsidR="009C2C5C" w:rsidRPr="00AB7C4A" w:rsidRDefault="00B26041" w:rsidP="006E0D87">
      <w:pPr>
        <w:jc w:val="center"/>
        <w:rPr>
          <w:rFonts w:ascii="Simplified Arabic" w:hAnsi="Simplified Arabic" w:cs="Simplified Arabic"/>
          <w:color w:val="000000"/>
          <w:rtl/>
        </w:rPr>
      </w:pPr>
      <w:r w:rsidRPr="00B717F0">
        <w:rPr>
          <w:rFonts w:ascii="Simplified Arabic" w:hAnsi="Simplified Arabic" w:cs="Simplified Arabic"/>
          <w:noProof/>
          <w:color w:val="000000"/>
          <w:bdr w:val="single" w:sz="4" w:space="0" w:color="auto"/>
          <w:lang w:eastAsia="en-US"/>
        </w:rPr>
        <w:drawing>
          <wp:inline distT="0" distB="0" distL="0" distR="0">
            <wp:extent cx="3095625" cy="1866900"/>
            <wp:effectExtent l="0" t="0" r="9525" b="0"/>
            <wp:docPr id="1" name="Picture 1" descr="نفاذ-الأسر-إلى-الانترنت-112023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فاذ-الأسر-إلى-الانترنت-112023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5C" w:rsidRPr="006E0D87" w:rsidRDefault="009C2C5C" w:rsidP="00D22024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 w:rsidR="00023340" w:rsidRPr="004A62BB" w:rsidRDefault="00D22024" w:rsidP="00D22024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انتشار واسع لامتلاك الهواتف الذكية</w:t>
      </w:r>
      <w:bookmarkStart w:id="4" w:name="_GoBack"/>
      <w:bookmarkEnd w:id="4"/>
    </w:p>
    <w:p w:rsidR="00460060" w:rsidRPr="006E0D87" w:rsidRDefault="00460060" w:rsidP="00460060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بلغت نسبة الأفراد (10 سنوات فأكثر) الذين يمتلكون هاتف ذكي في فلسطين 73% وذلك خلال العام 2022، بواقع 83% في الضفة الغربية و58% في قطاع غزة، وعلى صعيد الجنس فقد بلغت هذه النسبة بين الذكور 74% وبين الإناث 72%.</w:t>
      </w:r>
    </w:p>
    <w:p w:rsidR="00460060" w:rsidRPr="006E0D87" w:rsidRDefault="00460060" w:rsidP="00460060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6E0D87" w:rsidRDefault="00460060" w:rsidP="006E0D87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كما </w:t>
      </w:r>
      <w:r w:rsidR="00567DDC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بلغت نسبة الأفراد </w:t>
      </w:r>
      <w:r w:rsidR="00567DDC" w:rsidRPr="006E0D87">
        <w:rPr>
          <w:rFonts w:ascii="Simplified Arabic" w:hAnsi="Simplified Arabic" w:cs="Simplified Arabic"/>
          <w:color w:val="000000"/>
          <w:sz w:val="26"/>
          <w:szCs w:val="26"/>
        </w:rPr>
        <w:t>)</w:t>
      </w:r>
      <w:r w:rsidR="00567DDC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10 سنوات 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فأكثر)</w:t>
      </w:r>
      <w:r w:rsidRPr="006E0D87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الذين </w:t>
      </w:r>
      <w:r w:rsidR="00567DDC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يمتلكون هاتف نقال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فلسطين</w:t>
      </w:r>
      <w:r w:rsidR="00567DDC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7</w:t>
      </w:r>
      <w:r w:rsidR="0058112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9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بواقع 8</w:t>
      </w:r>
      <w:r w:rsidR="0058112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6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</w:rPr>
        <w:t xml:space="preserve"> %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في الضفة الغربية و</w:t>
      </w:r>
      <w:r w:rsidR="00FB05A3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69% في</w:t>
      </w:r>
      <w:r w:rsidR="00023340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قطاع غزة.</w:t>
      </w:r>
    </w:p>
    <w:p w:rsidR="004A62BB" w:rsidRDefault="004A62BB" w:rsidP="006E0D87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4A62BB" w:rsidRDefault="004A62BB" w:rsidP="006E0D87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4A62BB" w:rsidRDefault="004A62BB" w:rsidP="006E0D87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4A62BB" w:rsidRDefault="004A62BB" w:rsidP="006E0D87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5D1138" w:rsidRPr="006E0D87" w:rsidRDefault="005D1138" w:rsidP="005D1138">
      <w:pPr>
        <w:spacing w:line="160" w:lineRule="exact"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5D1138" w:rsidRDefault="005E65AF" w:rsidP="009B778E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lastRenderedPageBreak/>
        <w:t>نسبة</w:t>
      </w:r>
      <w:r w:rsidR="005D1138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الأفراد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="005D1138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10 سن</w:t>
      </w:r>
      <w:r w:rsidR="009B778E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وات</w:t>
      </w:r>
      <w:r w:rsidR="005D1138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فأكثر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  <w:r w:rsidR="005D1138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الذين يمتلكون هاتف ذكي</w:t>
      </w:r>
      <w:r w:rsidR="00573DFA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573DFA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في فلسطين </w:t>
      </w:r>
      <w:r w:rsidR="005D1138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حسب المنطقة والجنس، 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2022</w:t>
      </w:r>
    </w:p>
    <w:p w:rsidR="004A62BB" w:rsidRPr="004A62BB" w:rsidRDefault="004A62BB" w:rsidP="009B778E">
      <w:pPr>
        <w:jc w:val="center"/>
        <w:rPr>
          <w:rFonts w:ascii="Simplified Arabic" w:hAnsi="Simplified Arabic" w:cs="Simplified Arabic"/>
          <w:b/>
          <w:bCs/>
          <w:color w:val="000000"/>
          <w:sz w:val="4"/>
          <w:szCs w:val="4"/>
          <w:rtl/>
        </w:rPr>
      </w:pPr>
    </w:p>
    <w:p w:rsidR="004A62BB" w:rsidRDefault="004A62BB" w:rsidP="004A62BB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/>
          <w:noProof/>
          <w:color w:val="000000"/>
          <w:sz w:val="20"/>
          <w:szCs w:val="20"/>
          <w:bdr w:val="single" w:sz="4" w:space="0" w:color="auto"/>
          <w:lang w:eastAsia="en-US"/>
        </w:rPr>
        <w:drawing>
          <wp:inline distT="0" distB="0" distL="0" distR="0" wp14:anchorId="7A4FB1B4" wp14:editId="5E614AB6">
            <wp:extent cx="3390900" cy="2019300"/>
            <wp:effectExtent l="0" t="0" r="0" b="0"/>
            <wp:docPr id="8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29D9" w:rsidRPr="004A62BB" w:rsidRDefault="00E629D9" w:rsidP="00023340">
      <w:pPr>
        <w:jc w:val="both"/>
        <w:rPr>
          <w:rFonts w:cs="Simplified Arabic"/>
          <w:color w:val="000000"/>
          <w:sz w:val="16"/>
          <w:szCs w:val="16"/>
          <w:rtl/>
        </w:rPr>
      </w:pPr>
    </w:p>
    <w:p w:rsidR="007B1ADD" w:rsidRPr="004A62BB" w:rsidRDefault="00B529F5" w:rsidP="00FE3423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2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حوالي</w:t>
      </w:r>
      <w:r w:rsidR="007B1ADD" w:rsidRPr="004A62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4</w:t>
      </w:r>
      <w:r w:rsidR="000C63A0" w:rsidRPr="004A62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B1ADD" w:rsidRPr="004A62BB">
        <w:rPr>
          <w:rFonts w:ascii="Simplified Arabic" w:hAnsi="Simplified Arabic" w:cs="Simplified Arabic"/>
          <w:b/>
          <w:bCs/>
          <w:sz w:val="28"/>
          <w:szCs w:val="28"/>
          <w:rtl/>
        </w:rPr>
        <w:t>مليون اشتراك في الاتصالات الخلوية المتنقلة في فلسطين</w:t>
      </w:r>
    </w:p>
    <w:p w:rsidR="00460060" w:rsidRDefault="00D85DCA" w:rsidP="0046006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E0D87">
        <w:rPr>
          <w:rFonts w:ascii="Simplified Arabic" w:hAnsi="Simplified Arabic" w:cs="Simplified Arabic" w:hint="cs"/>
          <w:sz w:val="26"/>
          <w:szCs w:val="26"/>
          <w:rtl/>
        </w:rPr>
        <w:t>أشارت</w:t>
      </w:r>
      <w:r w:rsidR="007B1ADD" w:rsidRPr="006E0D87">
        <w:rPr>
          <w:rFonts w:ascii="Simplified Arabic" w:hAnsi="Simplified Arabic" w:cs="Simplified Arabic"/>
          <w:sz w:val="26"/>
          <w:szCs w:val="26"/>
          <w:rtl/>
        </w:rPr>
        <w:t xml:space="preserve"> بيانات وزارة الاتصالات وتكنولوجيا المعلومات</w:t>
      </w:r>
      <w:r w:rsidR="0009339F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للعام</w:t>
      </w:r>
      <w:r w:rsidR="00FE3423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2022،</w:t>
      </w:r>
      <w:r w:rsidR="007B1ADD" w:rsidRPr="006E0D87">
        <w:rPr>
          <w:rFonts w:ascii="Simplified Arabic" w:hAnsi="Simplified Arabic" w:cs="Simplified Arabic"/>
          <w:sz w:val="26"/>
          <w:szCs w:val="26"/>
          <w:rtl/>
        </w:rPr>
        <w:t xml:space="preserve"> إلى</w:t>
      </w:r>
      <w:r w:rsidR="00460060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ارتفاع في</w:t>
      </w:r>
      <w:r w:rsidR="00460060" w:rsidRPr="006E0D87">
        <w:rPr>
          <w:rFonts w:ascii="Simplified Arabic" w:hAnsi="Simplified Arabic" w:cs="Simplified Arabic"/>
          <w:sz w:val="26"/>
          <w:szCs w:val="26"/>
          <w:rtl/>
        </w:rPr>
        <w:t xml:space="preserve"> عدد الاشتراكات في الاتصالات الخلوية المتنقلة في فلسطين مع نهاية العام 2022</w:t>
      </w:r>
      <w:r w:rsidR="00460060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60060" w:rsidRPr="006E0D87">
        <w:rPr>
          <w:rFonts w:ascii="Simplified Arabic" w:hAnsi="Simplified Arabic" w:cs="Simplified Arabic"/>
          <w:sz w:val="26"/>
          <w:szCs w:val="26"/>
          <w:rtl/>
        </w:rPr>
        <w:t>لتصل</w:t>
      </w:r>
      <w:r w:rsidR="000F7D97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إلى حوالي</w:t>
      </w:r>
      <w:r w:rsidR="00460060" w:rsidRPr="006E0D8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60060" w:rsidRPr="006E0D87">
        <w:rPr>
          <w:rFonts w:ascii="Simplified Arabic" w:hAnsi="Simplified Arabic" w:cs="Simplified Arabic" w:hint="cs"/>
          <w:sz w:val="26"/>
          <w:szCs w:val="26"/>
          <w:rtl/>
        </w:rPr>
        <w:t>4.4 م</w:t>
      </w:r>
      <w:r w:rsidR="00460060" w:rsidRPr="006E0D87">
        <w:rPr>
          <w:rFonts w:ascii="Simplified Arabic" w:hAnsi="Simplified Arabic" w:cs="Simplified Arabic"/>
          <w:sz w:val="26"/>
          <w:szCs w:val="26"/>
          <w:rtl/>
        </w:rPr>
        <w:t xml:space="preserve">ليون مشترك، مقارنة مع </w:t>
      </w:r>
      <w:r w:rsidR="00460060" w:rsidRPr="006E0D87">
        <w:rPr>
          <w:rFonts w:ascii="Simplified Arabic" w:hAnsi="Simplified Arabic" w:cs="Simplified Arabic"/>
          <w:sz w:val="26"/>
          <w:szCs w:val="26"/>
        </w:rPr>
        <w:t>2.6</w:t>
      </w:r>
      <w:r w:rsidR="00460060" w:rsidRPr="006E0D87">
        <w:rPr>
          <w:rFonts w:ascii="Simplified Arabic" w:hAnsi="Simplified Arabic" w:cs="Simplified Arabic"/>
          <w:sz w:val="26"/>
          <w:szCs w:val="26"/>
          <w:rtl/>
        </w:rPr>
        <w:t xml:space="preserve"> مليون مشترك في نهاية العام 2010، أي بزيادة نسبتها </w:t>
      </w:r>
      <w:r w:rsidR="00460060" w:rsidRPr="006E0D87">
        <w:rPr>
          <w:rFonts w:ascii="Simplified Arabic" w:hAnsi="Simplified Arabic" w:cs="Simplified Arabic"/>
          <w:sz w:val="26"/>
          <w:szCs w:val="26"/>
        </w:rPr>
        <w:t>69</w:t>
      </w:r>
      <w:r w:rsidR="00460060" w:rsidRPr="006E0D8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60060" w:rsidRPr="006E0D87">
        <w:rPr>
          <w:rFonts w:ascii="Simplified Arabic" w:hAnsi="Simplified Arabic" w:cs="Simplified Arabic"/>
          <w:sz w:val="26"/>
          <w:szCs w:val="26"/>
        </w:rPr>
        <w:t>.</w:t>
      </w:r>
    </w:p>
    <w:p w:rsidR="004A62BB" w:rsidRPr="004A62BB" w:rsidRDefault="004A62BB" w:rsidP="0046006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B1ADD" w:rsidRPr="006E0D87" w:rsidRDefault="007B1ADD" w:rsidP="0056290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60060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كما أشارت البيانات الى 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>وجود توسع في البنى التحتية لشبكة الاتصالات الثابتة، تزامن</w:t>
      </w:r>
      <w:r w:rsidR="0009339F" w:rsidRPr="006E0D87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مع زيادة استخدام الأسر والمؤسسات لهذه الشبكة والخدمات المرتبطة بها وخاصة خدمة الانترنت، حيث بلغ عدد خطوط الهاتف الثابت (منزلي، تجاري، حكومي) في فلسطين</w:t>
      </w:r>
      <w:r w:rsidRPr="006E0D87">
        <w:rPr>
          <w:rFonts w:ascii="Simplified Arabic" w:hAnsi="Simplified Arabic" w:cs="Simplified Arabic"/>
          <w:sz w:val="26"/>
          <w:szCs w:val="26"/>
          <w:lang w:eastAsia="en-US"/>
        </w:rPr>
        <w:t>457,706</w:t>
      </w:r>
      <w:r w:rsidR="00744BFE" w:rsidRPr="006E0D87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Pr="006E0D87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="000553D2"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خطاً في نهاية العام 2022 مقارنة مع </w:t>
      </w:r>
      <w:r w:rsidRPr="006E0D87">
        <w:rPr>
          <w:rFonts w:ascii="Simplified Arabic" w:hAnsi="Simplified Arabic" w:cs="Simplified Arabic"/>
          <w:sz w:val="26"/>
          <w:szCs w:val="26"/>
        </w:rPr>
        <w:t>360,402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خطاً في نهاية العام 2010 أي بزيادة نسبتها 27%</w:t>
      </w:r>
      <w:r w:rsidR="000553D2" w:rsidRPr="006E0D87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60060" w:rsidRPr="004A62BB" w:rsidRDefault="00460060" w:rsidP="00294FBD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85DCA" w:rsidRPr="004A62BB" w:rsidRDefault="00D85DCA" w:rsidP="00294FBD">
      <w:pPr>
        <w:tabs>
          <w:tab w:val="num" w:pos="1215"/>
        </w:tabs>
        <w:jc w:val="center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اجمالي عدد خطوط الهواتف الثابتة والنقالة الفعّالة في فلسطين </w:t>
      </w:r>
      <w:r w:rsidR="00294FBD" w:rsidRPr="004A62B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لسنوات مختارة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(بالألف</w:t>
      </w:r>
      <w:r w:rsidRPr="004A62BB">
        <w:rPr>
          <w:rFonts w:ascii="Simplified Arabic" w:hAnsi="Simplified Arabic" w:cs="Simplified Arabic"/>
          <w:color w:val="000000"/>
          <w:sz w:val="28"/>
          <w:szCs w:val="28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D85DCA" w:rsidRPr="00AB7C4A" w:rsidTr="006E0D87">
        <w:trPr>
          <w:jc w:val="center"/>
        </w:trPr>
        <w:tc>
          <w:tcPr>
            <w:tcW w:w="4893" w:type="dxa"/>
            <w:shd w:val="clear" w:color="auto" w:fill="auto"/>
          </w:tcPr>
          <w:p w:rsidR="00D85DCA" w:rsidRPr="00AB7C4A" w:rsidRDefault="00B26041" w:rsidP="006E0D8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AB7C4A">
              <w:rPr>
                <w:rFonts w:ascii="Simplified Arabic" w:hAnsi="Simplified Arabic" w:cs="Simplified Arabic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drawing>
                <wp:inline distT="0" distB="0" distL="0" distR="0">
                  <wp:extent cx="3009900" cy="1790700"/>
                  <wp:effectExtent l="0" t="0" r="0" b="0"/>
                  <wp:docPr id="3" name="Objec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CD26B4" w:rsidRPr="004A62BB" w:rsidRDefault="00D85DCA" w:rsidP="00CD26B4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  <w:r w:rsidRPr="00A0230E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</w:p>
    <w:p w:rsidR="00CD26B4" w:rsidRPr="006E0D87" w:rsidRDefault="00CD26B4" w:rsidP="00CD26B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E0D87">
        <w:rPr>
          <w:rFonts w:ascii="Simplified Arabic" w:hAnsi="Simplified Arabic" w:cs="Simplified Arabic" w:hint="cs"/>
          <w:sz w:val="26"/>
          <w:szCs w:val="26"/>
          <w:rtl/>
        </w:rPr>
        <w:t>ويلاحظ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انخفاض في </w:t>
      </w:r>
      <w:r w:rsidRPr="006E0D87">
        <w:rPr>
          <w:rFonts w:ascii="Simplified Arabic" w:hAnsi="Simplified Arabic" w:cs="Simplified Arabic"/>
          <w:sz w:val="26"/>
          <w:szCs w:val="26"/>
          <w:rtl/>
          <w:lang w:bidi="ar-JO"/>
        </w:rPr>
        <w:t>عدد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خطوط الهاتف الثابت في العام 2022 مقارنة بالعام 2021 وهو ما يفسر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>ه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انطلاق خدمة الانترنت عبر الألياف الضوئية والتي لا تشتر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>ط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وجود خط هاتف ثابت على عكس خدمة الانترنت عبر الشبكة النحاسية. </w:t>
      </w:r>
    </w:p>
    <w:p w:rsidR="004A62BB" w:rsidRDefault="004A62BB" w:rsidP="00D85DCA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4A62BB" w:rsidRDefault="004A62BB" w:rsidP="00D85DCA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4A62BB" w:rsidRDefault="004A62BB" w:rsidP="00D85DCA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4A62BB" w:rsidRPr="006E0D87" w:rsidRDefault="004A62BB" w:rsidP="00D85DCA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EB1030" w:rsidRPr="004A62BB" w:rsidRDefault="002B5F5A" w:rsidP="00EB1030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أكثر من خمسين ألف مشترك في خدمة الألياف الضوئية</w:t>
      </w:r>
    </w:p>
    <w:p w:rsidR="00EB1030" w:rsidRPr="006E0D87" w:rsidRDefault="00EB1030" w:rsidP="0091203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ارتفع إجمالي عدد مشتركي الانترنت فائق السرعة </w:t>
      </w:r>
      <w:r w:rsidRPr="006E0D87">
        <w:rPr>
          <w:rFonts w:ascii="Simplified Arabic" w:hAnsi="Simplified Arabic" w:cs="Simplified Arabic"/>
          <w:sz w:val="26"/>
          <w:szCs w:val="26"/>
        </w:rPr>
        <w:t>ADSL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A00441" w:rsidRPr="006E0D87">
        <w:rPr>
          <w:rFonts w:ascii="Simplified Arabic" w:hAnsi="Simplified Arabic" w:cs="Simplified Arabic"/>
          <w:sz w:val="26"/>
          <w:szCs w:val="26"/>
          <w:rtl/>
        </w:rPr>
        <w:t>فلسطي</w:t>
      </w:r>
      <w:r w:rsidR="00A00441" w:rsidRPr="006E0D87">
        <w:rPr>
          <w:rFonts w:ascii="Simplified Arabic" w:hAnsi="Simplified Arabic" w:cs="Simplified Arabic" w:hint="cs"/>
          <w:sz w:val="26"/>
          <w:szCs w:val="26"/>
          <w:rtl/>
        </w:rPr>
        <w:t>ن</w:t>
      </w:r>
      <w:r w:rsidR="00912036" w:rsidRPr="006E0D87">
        <w:rPr>
          <w:rStyle w:val="FootnoteReference"/>
          <w:rFonts w:ascii="Simplified Arabic" w:hAnsi="Simplified Arabic" w:cs="Simplified Arabic"/>
          <w:sz w:val="26"/>
          <w:szCs w:val="26"/>
          <w:rtl/>
        </w:rPr>
        <w:footnoteReference w:id="1"/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الى حوالي </w:t>
      </w:r>
      <w:r w:rsidRPr="006E0D87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="00653B6B" w:rsidRPr="006E0D87">
        <w:rPr>
          <w:rFonts w:ascii="Simplified Arabic" w:hAnsi="Simplified Arabic" w:cs="Simplified Arabic"/>
          <w:sz w:val="26"/>
          <w:szCs w:val="26"/>
          <w:lang w:eastAsia="en-US"/>
        </w:rPr>
        <w:t>358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ألف مشترك في نهاية العام </w:t>
      </w:r>
      <w:r w:rsidRPr="006E0D87">
        <w:rPr>
          <w:rFonts w:ascii="Simplified Arabic" w:hAnsi="Simplified Arabic" w:cs="Simplified Arabic"/>
          <w:sz w:val="26"/>
          <w:szCs w:val="26"/>
        </w:rPr>
        <w:t>2022</w:t>
      </w:r>
      <w:r w:rsidRPr="006E0D87">
        <w:rPr>
          <w:rFonts w:ascii="Simplified Arabic" w:hAnsi="Simplified Arabic" w:cs="Simplified Arabic"/>
          <w:sz w:val="26"/>
          <w:szCs w:val="26"/>
          <w:u w:val="single"/>
          <w:rtl/>
        </w:rPr>
        <w:t xml:space="preserve"> 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مقارنة مع حوالي </w:t>
      </w:r>
      <w:r w:rsidRPr="006E0D87">
        <w:rPr>
          <w:rFonts w:ascii="Simplified Arabic" w:hAnsi="Simplified Arabic" w:cs="Simplified Arabic"/>
          <w:sz w:val="26"/>
          <w:szCs w:val="26"/>
        </w:rPr>
        <w:t>119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ألف مشترك في نهاية العام </w:t>
      </w:r>
      <w:r w:rsidRPr="006E0D87">
        <w:rPr>
          <w:rFonts w:ascii="Simplified Arabic" w:hAnsi="Simplified Arabic" w:cs="Simplified Arabic"/>
          <w:sz w:val="26"/>
          <w:szCs w:val="26"/>
        </w:rPr>
        <w:t>2010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بزيادة بلغت نسبتها </w:t>
      </w:r>
      <w:r w:rsidRPr="006E0D87">
        <w:rPr>
          <w:rFonts w:ascii="Simplified Arabic" w:hAnsi="Simplified Arabic" w:cs="Simplified Arabic"/>
          <w:sz w:val="26"/>
          <w:szCs w:val="26"/>
        </w:rPr>
        <w:t>201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6E0D8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وتضاعف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متوسط سرعة الانترنت </w:t>
      </w:r>
      <w:r w:rsidRPr="006E0D87">
        <w:rPr>
          <w:rFonts w:ascii="Simplified Arabic" w:hAnsi="Simplified Arabic" w:cs="Simplified Arabic"/>
          <w:sz w:val="26"/>
          <w:szCs w:val="26"/>
        </w:rPr>
        <w:t>Mbps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E0D87">
        <w:rPr>
          <w:rFonts w:ascii="Simplified Arabic" w:hAnsi="Simplified Arabic" w:cs="Simplified Arabic"/>
          <w:sz w:val="26"/>
          <w:szCs w:val="26"/>
        </w:rPr>
        <w:t xml:space="preserve"> 26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في نهاية العام </w:t>
      </w:r>
      <w:r w:rsidRPr="006E0D87">
        <w:rPr>
          <w:rFonts w:ascii="Simplified Arabic" w:hAnsi="Simplified Arabic" w:cs="Simplified Arabic"/>
          <w:sz w:val="26"/>
          <w:szCs w:val="26"/>
        </w:rPr>
        <w:t>2022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مقارنة مع </w:t>
      </w:r>
      <w:r w:rsidRPr="006E0D87">
        <w:rPr>
          <w:rFonts w:ascii="Simplified Arabic" w:hAnsi="Simplified Arabic" w:cs="Simplified Arabic"/>
          <w:sz w:val="26"/>
          <w:szCs w:val="26"/>
        </w:rPr>
        <w:t>Mbps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E0D87">
        <w:rPr>
          <w:rFonts w:ascii="Simplified Arabic" w:hAnsi="Simplified Arabic" w:cs="Simplified Arabic"/>
          <w:sz w:val="26"/>
          <w:szCs w:val="26"/>
        </w:rPr>
        <w:t>13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في نهاية العام </w:t>
      </w:r>
      <w:r w:rsidRPr="006E0D87">
        <w:rPr>
          <w:rFonts w:ascii="Simplified Arabic" w:hAnsi="Simplified Arabic" w:cs="Simplified Arabic"/>
          <w:sz w:val="26"/>
          <w:szCs w:val="26"/>
        </w:rPr>
        <w:t>2021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85DE4" w:rsidRPr="004A62BB" w:rsidRDefault="00B85DE4" w:rsidP="00EB1030">
      <w:pPr>
        <w:tabs>
          <w:tab w:val="num" w:pos="121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1030" w:rsidRDefault="00EB1030" w:rsidP="006124E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sz w:val="26"/>
          <w:szCs w:val="26"/>
          <w:rtl/>
        </w:rPr>
        <w:t>ونلاحظ من الشكل ادناه ان هناك انخفاض ملحوظ في عدد مشتركي الانترنت فائق السرعة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85DE4" w:rsidRPr="006E0D87">
        <w:rPr>
          <w:rFonts w:ascii="Simplified Arabic" w:hAnsi="Simplified Arabic" w:cs="Simplified Arabic"/>
          <w:sz w:val="26"/>
          <w:szCs w:val="26"/>
          <w:rtl/>
        </w:rPr>
        <w:t>(لا يشمل مشتركي ال</w:t>
      </w:r>
      <w:r w:rsidR="00B85DE4" w:rsidRPr="006E0D87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>لياف الضوئية)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 xml:space="preserve"> عند مقارنته مع العام 2021،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كان عام 2022 هو العام الفعلي لانتشار شبكة الألياف الضوئية في فلسطين حيث بلغ عدد 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>مشتركي</w:t>
      </w:r>
      <w:r w:rsidRPr="006E0D87">
        <w:rPr>
          <w:rFonts w:ascii="Simplified Arabic" w:hAnsi="Simplified Arabic" w:cs="Simplified Arabic" w:hint="cs"/>
          <w:sz w:val="26"/>
          <w:szCs w:val="26"/>
          <w:rtl/>
        </w:rPr>
        <w:t>ن في خدمة</w:t>
      </w:r>
      <w:r w:rsidRPr="006E0D87">
        <w:rPr>
          <w:rFonts w:ascii="Simplified Arabic" w:hAnsi="Simplified Arabic" w:cs="Simplified Arabic"/>
          <w:sz w:val="26"/>
          <w:szCs w:val="26"/>
          <w:rtl/>
        </w:rPr>
        <w:t xml:space="preserve"> الألياف الضوئية نهاية العام 2022 ما </w:t>
      </w:r>
      <w:r w:rsidR="005B344E" w:rsidRPr="006E0D87">
        <w:rPr>
          <w:rFonts w:ascii="Simplified Arabic" w:hAnsi="Simplified Arabic" w:cs="Simplified Arabic" w:hint="cs"/>
          <w:sz w:val="26"/>
          <w:szCs w:val="26"/>
          <w:rtl/>
        </w:rPr>
        <w:t>يقارب</w:t>
      </w:r>
      <w:r w:rsidR="005B344E" w:rsidRPr="006E0D87">
        <w:rPr>
          <w:rFonts w:ascii="Simplified Arabic" w:hAnsi="Simplified Arabic" w:cs="Simplified Arabic"/>
          <w:sz w:val="26"/>
          <w:szCs w:val="26"/>
        </w:rPr>
        <w:t>51,759</w:t>
      </w:r>
      <w:r w:rsidR="005B344E" w:rsidRPr="006E0D87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="005B344E" w:rsidRPr="006E0D8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مشترك</w:t>
      </w:r>
      <w:r w:rsidRPr="006E0D8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وهو ما يفسر الانخفاض الذي حصل في عدد مشتركي الانترنت فائق السرعة نتيجة انتقال المشتركين من خدمة الـ </w:t>
      </w:r>
      <w:r w:rsidR="006124EA" w:rsidRPr="006E0D87">
        <w:rPr>
          <w:rFonts w:ascii="Simplified Arabic" w:hAnsi="Simplified Arabic" w:cs="Simplified Arabic"/>
          <w:sz w:val="26"/>
          <w:szCs w:val="26"/>
          <w:lang w:eastAsia="en-US"/>
        </w:rPr>
        <w:t>ADSL</w:t>
      </w:r>
      <w:r w:rsidRPr="006E0D8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الى خدمة الـ</w:t>
      </w:r>
      <w:r w:rsidRPr="006E0D87">
        <w:rPr>
          <w:rFonts w:ascii="Simplified Arabic" w:hAnsi="Simplified Arabic" w:cs="Simplified Arabic"/>
          <w:sz w:val="26"/>
          <w:szCs w:val="26"/>
          <w:lang w:eastAsia="en-US"/>
        </w:rPr>
        <w:t xml:space="preserve">FTTH </w:t>
      </w:r>
      <w:r w:rsidRPr="006E0D8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.</w:t>
      </w:r>
    </w:p>
    <w:p w:rsidR="004A62BB" w:rsidRPr="004A62BB" w:rsidRDefault="004A62BB" w:rsidP="004A62BB">
      <w:pPr>
        <w:tabs>
          <w:tab w:val="num" w:pos="1215"/>
        </w:tabs>
        <w:ind w:firstLine="720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0C63A0" w:rsidRPr="004A62BB" w:rsidRDefault="000C63A0" w:rsidP="00261A57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A62B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عدد مشتركي الانترنت فائق السرعة في فلسطين</w:t>
      </w:r>
      <w:r w:rsidR="00261A57" w:rsidRPr="004A62B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لسنوات مختارة</w:t>
      </w:r>
      <w:r w:rsidRPr="004A62B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(بالألف)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261A57" w:rsidRPr="00AB7C4A" w:rsidTr="006E0D87">
        <w:trPr>
          <w:jc w:val="center"/>
        </w:trPr>
        <w:tc>
          <w:tcPr>
            <w:tcW w:w="4893" w:type="dxa"/>
            <w:shd w:val="clear" w:color="auto" w:fill="auto"/>
          </w:tcPr>
          <w:p w:rsidR="00261A57" w:rsidRPr="00AB7C4A" w:rsidRDefault="00B26041" w:rsidP="00AB7C4A">
            <w:pPr>
              <w:tabs>
                <w:tab w:val="num" w:pos="1215"/>
              </w:tabs>
              <w:jc w:val="both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AB7C4A">
              <w:rPr>
                <w:rFonts w:ascii="Simplified Arabic" w:hAnsi="Simplified Arabic" w:cs="Simplified Arabic"/>
                <w:b/>
                <w:bCs/>
                <w:noProof/>
                <w:color w:val="000000"/>
                <w:sz w:val="16"/>
                <w:szCs w:val="16"/>
                <w:lang w:eastAsia="en-US"/>
              </w:rPr>
              <w:drawing>
                <wp:inline distT="0" distB="0" distL="0" distR="0">
                  <wp:extent cx="2838450" cy="2085975"/>
                  <wp:effectExtent l="0" t="0" r="0" b="0"/>
                  <wp:docPr id="5" name="Objec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2B5F5A" w:rsidRPr="004A62BB" w:rsidRDefault="002B5F5A" w:rsidP="002B5F5A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 w:rsidR="00E41436" w:rsidRPr="006E0D87" w:rsidRDefault="001E5481" w:rsidP="000B2531">
      <w:pPr>
        <w:jc w:val="both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شارت بيانات وزارة الاتصالات وتكنولوجيا المعلومات للعام 2022، بوجود 9 شركات تعمل 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مزودة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للإنترنت بواقع 7 شركات مرخصة لخدمات النطاق العريض وشركة مرخصة لإنشاء وتشغيل شبكات الألياف الضوئية</w:t>
      </w:r>
      <w:r w:rsidR="00B43B82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وشركة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B2531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مزود خدمات عبر نموذج الـ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 xml:space="preserve">BSA </w:t>
      </w:r>
      <w:r w:rsidR="00CC4EF7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فيما تم منح 103 شبكات </w:t>
      </w:r>
      <w:r w:rsidR="00BB664F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سلكية</w:t>
      </w:r>
      <w:r w:rsidR="00DF18A4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 xml:space="preserve">Wi-Fi 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ترخيص للعمل في العام نفسه،  كما تم منح ترخيص لـ 67 شركة</w:t>
      </w:r>
      <w:r w:rsidR="00DF18A4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لاستيراد أ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جهزة الاتصالات السلكية واللاسلكية، بالإضافة الى 15 شركة لتقديم خدمات القيمة المضافة، وقامت الوزارة في العام المذكور بتسجيل 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lang w:val="en-GB" w:eastAsia="en-GB"/>
        </w:rPr>
        <w:t xml:space="preserve">706,617 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جهاز نقال جديد تم ادخاله الى 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دولة فلسطين</w:t>
      </w:r>
      <w:r w:rsidR="00E41436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E41436" w:rsidRPr="004A62BB" w:rsidRDefault="00E41436" w:rsidP="002B5F5A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5F5A" w:rsidRPr="004A62BB" w:rsidRDefault="00BE7069" w:rsidP="00A63C43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A63C43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حوالي ثلثي </w:t>
      </w:r>
      <w:r w:rsidR="00CB0E15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المؤسسات</w:t>
      </w:r>
      <w:r w:rsidR="00CB0E15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CB0E15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الاقتصادية</w:t>
      </w:r>
      <w:r w:rsidR="00490493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2B5F5A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استخدمت الانترنت لأغراض العمل</w:t>
      </w:r>
    </w:p>
    <w:p w:rsidR="002B5F5A" w:rsidRDefault="002B5F5A" w:rsidP="002B5F5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أشارت نتائج مسح قطاع الاعمال حول تكنولوجيا المعلومات والاتصالات للعام 2021؛ أن 41% من المؤسسات الاقتصادية استخدمت الحاسوب (مكتبي، محمول) لأداء الأعمال اليومية في فلسطين، بواقع 45% في الضفة الغربية و35% في قطاع غزة</w:t>
      </w:r>
      <w:r w:rsidRPr="006E0D8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</w:p>
    <w:p w:rsidR="004A62BB" w:rsidRPr="004A62BB" w:rsidRDefault="004A62BB" w:rsidP="002B5F5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5F5A" w:rsidRPr="006E0D87" w:rsidRDefault="002B5F5A" w:rsidP="002B5F5A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lastRenderedPageBreak/>
        <w:t>61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إجمالي المؤسسات الاقتصادية استخدمت الإنترنت أو كان لديها نفاذ للإنترنت لأغراض العمل، بواقع 68% في الضفة الغربية و48% في قطاع غزة.</w:t>
      </w:r>
    </w:p>
    <w:p w:rsidR="002B5F5A" w:rsidRPr="006E0D87" w:rsidRDefault="002B5F5A" w:rsidP="00AF3626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حين أن 79% من المؤسسات الاقتصادية قد استخدمت أي من وسائل التواصل الاجتماعي أو المهني</w:t>
      </w:r>
      <w:r w:rsidR="000B099E"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(ممن </w:t>
      </w:r>
      <w:r w:rsidR="000B099E" w:rsidRPr="006E0D87">
        <w:rPr>
          <w:rFonts w:ascii="Simplified Arabic" w:hAnsi="Simplified Arabic" w:cs="Simplified Arabic"/>
          <w:sz w:val="26"/>
          <w:szCs w:val="26"/>
          <w:rtl/>
        </w:rPr>
        <w:t>لديها حساب أو ملف شخصي أو رخصة حساب حسب متطلبات الوسيلة المستخدمة)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فلسطين في العام 2021، بواقع 77% في الضفة الغربية و84% في قطاع غزة.  </w:t>
      </w:r>
    </w:p>
    <w:p w:rsidR="002B5F5A" w:rsidRPr="004A62BB" w:rsidRDefault="002B5F5A" w:rsidP="002B5F5A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2B5F5A" w:rsidRPr="004A62BB" w:rsidRDefault="002B5F5A" w:rsidP="00AD0163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أكثر من نصف مؤسسات </w:t>
      </w:r>
      <w:r w:rsidR="00AD0163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فلسطين تلقت طلبات مبيعات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عبر الانترنت</w:t>
      </w:r>
    </w:p>
    <w:p w:rsidR="002B5F5A" w:rsidRDefault="002B5F5A" w:rsidP="00C64070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بلغت نسبة ال</w:t>
      </w:r>
      <w:r w:rsidR="00AD0163"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مؤسسات الاقتصادية التي تلقت طلب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</w:rPr>
        <w:t>ات من السلع أو الخدمات (مبيعات) من خلال الانترنت 53% في فلسطين، بواقع 56% في الضفة الغربية و44% في قطاع غزة، فيما بلغت نسبة المؤسسات الاقتصادية التي تلقت طلبيات من السلع أو خدمات (مبيعات) من خلال وسائل التواصل الاجتماعي او المهني 50% في فلسطين، بواقع 53% في الضفة الغربية و41% في قطاع غزة خلال العام 2021</w:t>
      </w:r>
      <w:r w:rsidRPr="006E0D8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4A62BB" w:rsidRPr="004A62BB" w:rsidRDefault="004A62BB" w:rsidP="00C64070">
      <w:pPr>
        <w:tabs>
          <w:tab w:val="num" w:pos="121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2B5F5A" w:rsidRPr="004A62BB" w:rsidRDefault="002B5F5A" w:rsidP="00C64070">
      <w:pP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نسبة المؤسسات الاقتصادية التي تلقت طلبيات من السلع أو الخدمات (مبيعات) حسب الطريقة،</w:t>
      </w:r>
      <w:r w:rsidR="005B344E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2021</w:t>
      </w:r>
      <w:r w:rsidR="005B344E" w:rsidRPr="004A62B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6600AC" w:rsidRDefault="006600AC" w:rsidP="002B5F5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B147C1" w:rsidRDefault="004A62BB" w:rsidP="004A62BB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 w:rsidRPr="004A62BB">
        <w:rPr>
          <w:rFonts w:ascii="Simplified Arabic" w:hAnsi="Simplified Arabic" w:cs="Simplified Arabic"/>
          <w:b/>
          <w:bCs/>
          <w:noProof/>
          <w:color w:val="000000"/>
          <w:bdr w:val="single" w:sz="4" w:space="0" w:color="auto"/>
          <w:lang w:eastAsia="en-US"/>
        </w:rPr>
        <w:drawing>
          <wp:inline distT="0" distB="0" distL="0" distR="0" wp14:anchorId="0DA3573A" wp14:editId="4E56101B">
            <wp:extent cx="3248025" cy="2290274"/>
            <wp:effectExtent l="0" t="0" r="0" b="0"/>
            <wp:docPr id="6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47C1" w:rsidRDefault="00B147C1" w:rsidP="002B5F5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B147C1" w:rsidRDefault="00B147C1" w:rsidP="002B5F5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B147C1" w:rsidRDefault="00B147C1" w:rsidP="002B5F5A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B147C1" w:rsidRDefault="006E0D87" w:rsidP="006E0D87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color w:val="000000"/>
          <w:rtl/>
        </w:rPr>
      </w:pPr>
      <w:r w:rsidRPr="00A0230E">
        <w:rPr>
          <w:rFonts w:ascii="Simplified Arabic" w:hAnsi="Simplified Arabic" w:cs="Simplified Arabic"/>
          <w:noProof/>
          <w:color w:val="000000"/>
          <w:sz w:val="20"/>
          <w:szCs w:val="20"/>
          <w:lang w:eastAsia="en-US"/>
        </w:rPr>
        <w:drawing>
          <wp:inline distT="0" distB="0" distL="0" distR="0" wp14:anchorId="0FBDE29F" wp14:editId="02AB95DA">
            <wp:extent cx="895350" cy="1114425"/>
            <wp:effectExtent l="0" t="0" r="0" b="0"/>
            <wp:docPr id="7" name="Picture 7" descr="Cul-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l-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B602BC" w:rsidRPr="00A0230E" w:rsidRDefault="00B602BC" w:rsidP="00912036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sectPr w:rsidR="00B602BC" w:rsidRPr="00A0230E" w:rsidSect="004A62BB">
      <w:headerReference w:type="default" r:id="rId14"/>
      <w:footerReference w:type="even" r:id="rId15"/>
      <w:footerReference w:type="default" r:id="rId16"/>
      <w:footnotePr>
        <w:numRestart w:val="eachPage"/>
      </w:footnotePr>
      <w:pgSz w:w="11907" w:h="16840" w:code="9"/>
      <w:pgMar w:top="1134" w:right="1134" w:bottom="1134" w:left="1134" w:header="284" w:footer="125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81" w:rsidRDefault="00F42C81">
      <w:r>
        <w:separator/>
      </w:r>
    </w:p>
  </w:endnote>
  <w:endnote w:type="continuationSeparator" w:id="0">
    <w:p w:rsidR="00F42C81" w:rsidRDefault="00F4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F6510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6136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61361" w:rsidRDefault="00B6136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61" w:rsidRDefault="00F651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7F0">
      <w:rPr>
        <w:noProof/>
        <w:rtl/>
      </w:rPr>
      <w:t>4</w:t>
    </w:r>
    <w:r>
      <w:fldChar w:fldCharType="end"/>
    </w:r>
  </w:p>
  <w:p w:rsidR="00B61361" w:rsidRDefault="00B61361" w:rsidP="00A13E9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81" w:rsidRDefault="00F42C81">
      <w:r>
        <w:separator/>
      </w:r>
    </w:p>
  </w:footnote>
  <w:footnote w:type="continuationSeparator" w:id="0">
    <w:p w:rsidR="00F42C81" w:rsidRDefault="00F42C81">
      <w:r>
        <w:continuationSeparator/>
      </w:r>
    </w:p>
  </w:footnote>
  <w:footnote w:id="1">
    <w:p w:rsidR="009A5338" w:rsidRPr="004A62BB" w:rsidRDefault="00912036" w:rsidP="009A5338">
      <w:pPr>
        <w:pStyle w:val="FootnoteText"/>
        <w:rPr>
          <w:rFonts w:ascii="Simplified Arabic" w:hAnsi="Simplified Arabic" w:cs="Simplified Arabic"/>
          <w:sz w:val="22"/>
          <w:szCs w:val="22"/>
        </w:rPr>
      </w:pPr>
      <w:r w:rsidRPr="004A62BB">
        <w:rPr>
          <w:rStyle w:val="FootnoteReference"/>
          <w:rFonts w:ascii="Simplified Arabic" w:hAnsi="Simplified Arabic" w:cs="Simplified Arabic"/>
          <w:sz w:val="22"/>
          <w:szCs w:val="22"/>
        </w:rPr>
        <w:footnoteRef/>
      </w:r>
      <w:r w:rsidRPr="004A62BB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9A5338" w:rsidRPr="004A62BB">
        <w:rPr>
          <w:rFonts w:ascii="Simplified Arabic" w:hAnsi="Simplified Arabic" w:cs="Simplified Arabic"/>
          <w:sz w:val="22"/>
          <w:szCs w:val="22"/>
          <w:rtl/>
        </w:rPr>
        <w:t xml:space="preserve"> البيانات لا تشمل ذلك الجزء من محافظة القدس والذي ضمه الاحتلال الاسرائيلي إليه عنوة بعيد احتلاله للضفة الغربية عام 1967.</w:t>
      </w:r>
    </w:p>
    <w:p w:rsidR="00912036" w:rsidRPr="009A5338" w:rsidRDefault="00912036">
      <w:pPr>
        <w:pStyle w:val="FootnoteText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0D" w:rsidRDefault="00BE710D"/>
  <w:p w:rsidR="00A86FAA" w:rsidRDefault="00A86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5AE"/>
    <w:multiLevelType w:val="hybridMultilevel"/>
    <w:tmpl w:val="7930ADC2"/>
    <w:lvl w:ilvl="0" w:tplc="CFC66E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4103"/>
    <w:rsid w:val="000044EB"/>
    <w:rsid w:val="0000743F"/>
    <w:rsid w:val="00007C6F"/>
    <w:rsid w:val="00007DCA"/>
    <w:rsid w:val="0001041E"/>
    <w:rsid w:val="00015FFB"/>
    <w:rsid w:val="00017948"/>
    <w:rsid w:val="00023340"/>
    <w:rsid w:val="000240BC"/>
    <w:rsid w:val="000242D8"/>
    <w:rsid w:val="00024C06"/>
    <w:rsid w:val="00025FEA"/>
    <w:rsid w:val="000305F3"/>
    <w:rsid w:val="00031510"/>
    <w:rsid w:val="00031E67"/>
    <w:rsid w:val="000341DD"/>
    <w:rsid w:val="00034B18"/>
    <w:rsid w:val="00036FD7"/>
    <w:rsid w:val="00040327"/>
    <w:rsid w:val="00040C46"/>
    <w:rsid w:val="00044D85"/>
    <w:rsid w:val="000460DC"/>
    <w:rsid w:val="000478F8"/>
    <w:rsid w:val="00047D13"/>
    <w:rsid w:val="00047E62"/>
    <w:rsid w:val="000508B9"/>
    <w:rsid w:val="00052627"/>
    <w:rsid w:val="0005327F"/>
    <w:rsid w:val="00054A80"/>
    <w:rsid w:val="000553D2"/>
    <w:rsid w:val="00055465"/>
    <w:rsid w:val="00062FC0"/>
    <w:rsid w:val="00063C46"/>
    <w:rsid w:val="00064CC5"/>
    <w:rsid w:val="00065D4C"/>
    <w:rsid w:val="00066665"/>
    <w:rsid w:val="000708C0"/>
    <w:rsid w:val="00070940"/>
    <w:rsid w:val="00071309"/>
    <w:rsid w:val="0007186A"/>
    <w:rsid w:val="00072855"/>
    <w:rsid w:val="0007389B"/>
    <w:rsid w:val="00074FDC"/>
    <w:rsid w:val="00075C63"/>
    <w:rsid w:val="000769BC"/>
    <w:rsid w:val="00076F55"/>
    <w:rsid w:val="00081683"/>
    <w:rsid w:val="000819B7"/>
    <w:rsid w:val="0008272C"/>
    <w:rsid w:val="00082991"/>
    <w:rsid w:val="000835E9"/>
    <w:rsid w:val="00083A19"/>
    <w:rsid w:val="00085169"/>
    <w:rsid w:val="00085A6F"/>
    <w:rsid w:val="000860D7"/>
    <w:rsid w:val="00086F1E"/>
    <w:rsid w:val="0008745E"/>
    <w:rsid w:val="00087CF7"/>
    <w:rsid w:val="00090C21"/>
    <w:rsid w:val="00091412"/>
    <w:rsid w:val="0009222E"/>
    <w:rsid w:val="00092A0F"/>
    <w:rsid w:val="00092CB0"/>
    <w:rsid w:val="0009339F"/>
    <w:rsid w:val="00094CAD"/>
    <w:rsid w:val="000952B3"/>
    <w:rsid w:val="0009587C"/>
    <w:rsid w:val="000A048D"/>
    <w:rsid w:val="000A291D"/>
    <w:rsid w:val="000A48CC"/>
    <w:rsid w:val="000A49D0"/>
    <w:rsid w:val="000A4CCF"/>
    <w:rsid w:val="000A63D2"/>
    <w:rsid w:val="000A6515"/>
    <w:rsid w:val="000A798F"/>
    <w:rsid w:val="000B0365"/>
    <w:rsid w:val="000B045F"/>
    <w:rsid w:val="000B099E"/>
    <w:rsid w:val="000B2091"/>
    <w:rsid w:val="000B251B"/>
    <w:rsid w:val="000B2531"/>
    <w:rsid w:val="000B4B34"/>
    <w:rsid w:val="000C29E5"/>
    <w:rsid w:val="000C51D5"/>
    <w:rsid w:val="000C571D"/>
    <w:rsid w:val="000C5DBC"/>
    <w:rsid w:val="000C63A0"/>
    <w:rsid w:val="000C6DDD"/>
    <w:rsid w:val="000D2379"/>
    <w:rsid w:val="000D4CE4"/>
    <w:rsid w:val="000D5046"/>
    <w:rsid w:val="000D51DA"/>
    <w:rsid w:val="000D5C7B"/>
    <w:rsid w:val="000E171F"/>
    <w:rsid w:val="000E4818"/>
    <w:rsid w:val="000F17CE"/>
    <w:rsid w:val="000F2ADC"/>
    <w:rsid w:val="000F61CA"/>
    <w:rsid w:val="000F6943"/>
    <w:rsid w:val="000F7D97"/>
    <w:rsid w:val="00101EBB"/>
    <w:rsid w:val="001025BC"/>
    <w:rsid w:val="00102C07"/>
    <w:rsid w:val="00106130"/>
    <w:rsid w:val="00107749"/>
    <w:rsid w:val="00107CDB"/>
    <w:rsid w:val="00110378"/>
    <w:rsid w:val="001110AF"/>
    <w:rsid w:val="001114C1"/>
    <w:rsid w:val="00115FBF"/>
    <w:rsid w:val="00120AB9"/>
    <w:rsid w:val="0012131B"/>
    <w:rsid w:val="0012149F"/>
    <w:rsid w:val="001219F0"/>
    <w:rsid w:val="00122CE6"/>
    <w:rsid w:val="00124301"/>
    <w:rsid w:val="00125D77"/>
    <w:rsid w:val="00126410"/>
    <w:rsid w:val="00126FB4"/>
    <w:rsid w:val="001317B8"/>
    <w:rsid w:val="00132B67"/>
    <w:rsid w:val="00132FBD"/>
    <w:rsid w:val="001333AF"/>
    <w:rsid w:val="00134FE1"/>
    <w:rsid w:val="00135A14"/>
    <w:rsid w:val="00136529"/>
    <w:rsid w:val="00136AD3"/>
    <w:rsid w:val="00137169"/>
    <w:rsid w:val="001377B9"/>
    <w:rsid w:val="00140226"/>
    <w:rsid w:val="0014075B"/>
    <w:rsid w:val="001407BF"/>
    <w:rsid w:val="00141699"/>
    <w:rsid w:val="0014429B"/>
    <w:rsid w:val="0014538F"/>
    <w:rsid w:val="001507F2"/>
    <w:rsid w:val="00150A2E"/>
    <w:rsid w:val="00151873"/>
    <w:rsid w:val="00151EB1"/>
    <w:rsid w:val="00152079"/>
    <w:rsid w:val="0015397A"/>
    <w:rsid w:val="00153FDC"/>
    <w:rsid w:val="0016072D"/>
    <w:rsid w:val="00160992"/>
    <w:rsid w:val="00162F47"/>
    <w:rsid w:val="00163587"/>
    <w:rsid w:val="00166636"/>
    <w:rsid w:val="00167BC0"/>
    <w:rsid w:val="00171F4E"/>
    <w:rsid w:val="0017218F"/>
    <w:rsid w:val="001736C1"/>
    <w:rsid w:val="001802F5"/>
    <w:rsid w:val="0018051C"/>
    <w:rsid w:val="001807F4"/>
    <w:rsid w:val="001808A8"/>
    <w:rsid w:val="0018300B"/>
    <w:rsid w:val="001830A4"/>
    <w:rsid w:val="00184492"/>
    <w:rsid w:val="00185FD0"/>
    <w:rsid w:val="00186584"/>
    <w:rsid w:val="001871BE"/>
    <w:rsid w:val="001871F2"/>
    <w:rsid w:val="0018768B"/>
    <w:rsid w:val="00193190"/>
    <w:rsid w:val="001937D8"/>
    <w:rsid w:val="00193F93"/>
    <w:rsid w:val="0019425E"/>
    <w:rsid w:val="00195840"/>
    <w:rsid w:val="0019696A"/>
    <w:rsid w:val="0019797D"/>
    <w:rsid w:val="00197EED"/>
    <w:rsid w:val="001A312D"/>
    <w:rsid w:val="001A3DA3"/>
    <w:rsid w:val="001A6816"/>
    <w:rsid w:val="001A6C68"/>
    <w:rsid w:val="001B0B05"/>
    <w:rsid w:val="001B1307"/>
    <w:rsid w:val="001B6F5E"/>
    <w:rsid w:val="001B7150"/>
    <w:rsid w:val="001C0110"/>
    <w:rsid w:val="001C0F0F"/>
    <w:rsid w:val="001C2FB6"/>
    <w:rsid w:val="001C5BC3"/>
    <w:rsid w:val="001C7B91"/>
    <w:rsid w:val="001D089C"/>
    <w:rsid w:val="001D423B"/>
    <w:rsid w:val="001D4B50"/>
    <w:rsid w:val="001D5F43"/>
    <w:rsid w:val="001D6A97"/>
    <w:rsid w:val="001D6C83"/>
    <w:rsid w:val="001E1281"/>
    <w:rsid w:val="001E2A2C"/>
    <w:rsid w:val="001E375E"/>
    <w:rsid w:val="001E5261"/>
    <w:rsid w:val="001E5481"/>
    <w:rsid w:val="001E58E1"/>
    <w:rsid w:val="001E5B87"/>
    <w:rsid w:val="001E6DEA"/>
    <w:rsid w:val="001F0091"/>
    <w:rsid w:val="001F0803"/>
    <w:rsid w:val="001F10FA"/>
    <w:rsid w:val="001F2833"/>
    <w:rsid w:val="001F3E83"/>
    <w:rsid w:val="001F3F31"/>
    <w:rsid w:val="001F6E67"/>
    <w:rsid w:val="001F6FEA"/>
    <w:rsid w:val="002003E8"/>
    <w:rsid w:val="00200A6C"/>
    <w:rsid w:val="00200C91"/>
    <w:rsid w:val="00201207"/>
    <w:rsid w:val="00202C14"/>
    <w:rsid w:val="00205406"/>
    <w:rsid w:val="00205622"/>
    <w:rsid w:val="00207E61"/>
    <w:rsid w:val="0021286D"/>
    <w:rsid w:val="00213FEF"/>
    <w:rsid w:val="002148BF"/>
    <w:rsid w:val="00215353"/>
    <w:rsid w:val="00215471"/>
    <w:rsid w:val="0021586D"/>
    <w:rsid w:val="00217610"/>
    <w:rsid w:val="00217B8B"/>
    <w:rsid w:val="00220A64"/>
    <w:rsid w:val="00220D37"/>
    <w:rsid w:val="00223FC0"/>
    <w:rsid w:val="00224B0F"/>
    <w:rsid w:val="00225AC4"/>
    <w:rsid w:val="0022727E"/>
    <w:rsid w:val="00227564"/>
    <w:rsid w:val="002276B3"/>
    <w:rsid w:val="00231DCA"/>
    <w:rsid w:val="00232BD0"/>
    <w:rsid w:val="0023398E"/>
    <w:rsid w:val="002366DD"/>
    <w:rsid w:val="002433FE"/>
    <w:rsid w:val="00243C0B"/>
    <w:rsid w:val="002443F2"/>
    <w:rsid w:val="00246E1C"/>
    <w:rsid w:val="00252645"/>
    <w:rsid w:val="0026125C"/>
    <w:rsid w:val="002617E4"/>
    <w:rsid w:val="00261A57"/>
    <w:rsid w:val="002622A7"/>
    <w:rsid w:val="002634E1"/>
    <w:rsid w:val="00270E50"/>
    <w:rsid w:val="002720E9"/>
    <w:rsid w:val="002728A8"/>
    <w:rsid w:val="0027313E"/>
    <w:rsid w:val="00277D27"/>
    <w:rsid w:val="002802CF"/>
    <w:rsid w:val="00283E5D"/>
    <w:rsid w:val="002861FF"/>
    <w:rsid w:val="00286656"/>
    <w:rsid w:val="00286945"/>
    <w:rsid w:val="00287F9B"/>
    <w:rsid w:val="00292285"/>
    <w:rsid w:val="00293098"/>
    <w:rsid w:val="002936BA"/>
    <w:rsid w:val="00293FB9"/>
    <w:rsid w:val="00294EC5"/>
    <w:rsid w:val="00294FBD"/>
    <w:rsid w:val="00295523"/>
    <w:rsid w:val="00295B6E"/>
    <w:rsid w:val="0029622B"/>
    <w:rsid w:val="00296553"/>
    <w:rsid w:val="002A157C"/>
    <w:rsid w:val="002A161C"/>
    <w:rsid w:val="002A3612"/>
    <w:rsid w:val="002A6E22"/>
    <w:rsid w:val="002A7A61"/>
    <w:rsid w:val="002B1604"/>
    <w:rsid w:val="002B1B55"/>
    <w:rsid w:val="002B1D8D"/>
    <w:rsid w:val="002B2EBF"/>
    <w:rsid w:val="002B34FB"/>
    <w:rsid w:val="002B5F5A"/>
    <w:rsid w:val="002C1A53"/>
    <w:rsid w:val="002C401D"/>
    <w:rsid w:val="002C471F"/>
    <w:rsid w:val="002C7A2E"/>
    <w:rsid w:val="002D0F59"/>
    <w:rsid w:val="002D3178"/>
    <w:rsid w:val="002D3505"/>
    <w:rsid w:val="002D3B1C"/>
    <w:rsid w:val="002D4837"/>
    <w:rsid w:val="002D547E"/>
    <w:rsid w:val="002D5688"/>
    <w:rsid w:val="002D66B7"/>
    <w:rsid w:val="002D7B17"/>
    <w:rsid w:val="002E7777"/>
    <w:rsid w:val="002F39A3"/>
    <w:rsid w:val="002F3D28"/>
    <w:rsid w:val="002F4756"/>
    <w:rsid w:val="002F4B1C"/>
    <w:rsid w:val="002F5747"/>
    <w:rsid w:val="002F633C"/>
    <w:rsid w:val="002F639D"/>
    <w:rsid w:val="002F6AC3"/>
    <w:rsid w:val="002F7494"/>
    <w:rsid w:val="00300056"/>
    <w:rsid w:val="00301417"/>
    <w:rsid w:val="00301508"/>
    <w:rsid w:val="003052EC"/>
    <w:rsid w:val="00305E59"/>
    <w:rsid w:val="00305FED"/>
    <w:rsid w:val="00310849"/>
    <w:rsid w:val="00313AD4"/>
    <w:rsid w:val="00314434"/>
    <w:rsid w:val="00316360"/>
    <w:rsid w:val="0031744E"/>
    <w:rsid w:val="00320841"/>
    <w:rsid w:val="003229D0"/>
    <w:rsid w:val="0032682B"/>
    <w:rsid w:val="00331C51"/>
    <w:rsid w:val="00334B9E"/>
    <w:rsid w:val="003368C6"/>
    <w:rsid w:val="00341372"/>
    <w:rsid w:val="003419EA"/>
    <w:rsid w:val="00341B38"/>
    <w:rsid w:val="003423E7"/>
    <w:rsid w:val="00343ACD"/>
    <w:rsid w:val="0034583D"/>
    <w:rsid w:val="00350049"/>
    <w:rsid w:val="0035120F"/>
    <w:rsid w:val="00352566"/>
    <w:rsid w:val="003531A4"/>
    <w:rsid w:val="00353BF5"/>
    <w:rsid w:val="00356AAA"/>
    <w:rsid w:val="00371274"/>
    <w:rsid w:val="00371E5A"/>
    <w:rsid w:val="00373E2B"/>
    <w:rsid w:val="00375492"/>
    <w:rsid w:val="0037605C"/>
    <w:rsid w:val="00376624"/>
    <w:rsid w:val="00376A2B"/>
    <w:rsid w:val="0037714F"/>
    <w:rsid w:val="0037782A"/>
    <w:rsid w:val="00382699"/>
    <w:rsid w:val="003830E6"/>
    <w:rsid w:val="003843AB"/>
    <w:rsid w:val="00384619"/>
    <w:rsid w:val="0038614E"/>
    <w:rsid w:val="003903E4"/>
    <w:rsid w:val="00390F6E"/>
    <w:rsid w:val="0039265B"/>
    <w:rsid w:val="00392A81"/>
    <w:rsid w:val="00396359"/>
    <w:rsid w:val="003A09B6"/>
    <w:rsid w:val="003A365B"/>
    <w:rsid w:val="003A4D43"/>
    <w:rsid w:val="003B391A"/>
    <w:rsid w:val="003B5C62"/>
    <w:rsid w:val="003B6F0E"/>
    <w:rsid w:val="003B7A45"/>
    <w:rsid w:val="003B7AEC"/>
    <w:rsid w:val="003B7DA3"/>
    <w:rsid w:val="003C14C9"/>
    <w:rsid w:val="003C3BD3"/>
    <w:rsid w:val="003C48AB"/>
    <w:rsid w:val="003C721E"/>
    <w:rsid w:val="003C7FF1"/>
    <w:rsid w:val="003D0EFF"/>
    <w:rsid w:val="003D2C14"/>
    <w:rsid w:val="003D389A"/>
    <w:rsid w:val="003D3E17"/>
    <w:rsid w:val="003D559B"/>
    <w:rsid w:val="003E1C11"/>
    <w:rsid w:val="003E2020"/>
    <w:rsid w:val="003E264A"/>
    <w:rsid w:val="003E3647"/>
    <w:rsid w:val="003E3F0F"/>
    <w:rsid w:val="003E4DA6"/>
    <w:rsid w:val="003E7BA8"/>
    <w:rsid w:val="003F20A7"/>
    <w:rsid w:val="003F2FF2"/>
    <w:rsid w:val="003F38C6"/>
    <w:rsid w:val="003F3D6E"/>
    <w:rsid w:val="003F5FCD"/>
    <w:rsid w:val="003F6E56"/>
    <w:rsid w:val="003F6FC3"/>
    <w:rsid w:val="0040089C"/>
    <w:rsid w:val="004009CD"/>
    <w:rsid w:val="004026B3"/>
    <w:rsid w:val="00402AA0"/>
    <w:rsid w:val="00404090"/>
    <w:rsid w:val="00405074"/>
    <w:rsid w:val="00406D59"/>
    <w:rsid w:val="0040779B"/>
    <w:rsid w:val="004105F2"/>
    <w:rsid w:val="004159BD"/>
    <w:rsid w:val="004161EC"/>
    <w:rsid w:val="00417C63"/>
    <w:rsid w:val="00420C5A"/>
    <w:rsid w:val="00421588"/>
    <w:rsid w:val="00421EA2"/>
    <w:rsid w:val="00422492"/>
    <w:rsid w:val="004235C6"/>
    <w:rsid w:val="004240CC"/>
    <w:rsid w:val="00426E0E"/>
    <w:rsid w:val="0042738F"/>
    <w:rsid w:val="0042783B"/>
    <w:rsid w:val="00430AF3"/>
    <w:rsid w:val="004322D4"/>
    <w:rsid w:val="0043290C"/>
    <w:rsid w:val="00433724"/>
    <w:rsid w:val="00433774"/>
    <w:rsid w:val="00434CDF"/>
    <w:rsid w:val="0044079A"/>
    <w:rsid w:val="004417FE"/>
    <w:rsid w:val="004427F8"/>
    <w:rsid w:val="00442973"/>
    <w:rsid w:val="00451A55"/>
    <w:rsid w:val="004569AE"/>
    <w:rsid w:val="00456EA0"/>
    <w:rsid w:val="004577F6"/>
    <w:rsid w:val="00460060"/>
    <w:rsid w:val="004601D3"/>
    <w:rsid w:val="004609D1"/>
    <w:rsid w:val="00461C50"/>
    <w:rsid w:val="00462A4B"/>
    <w:rsid w:val="00462FE4"/>
    <w:rsid w:val="00464825"/>
    <w:rsid w:val="00464E22"/>
    <w:rsid w:val="00470F98"/>
    <w:rsid w:val="004738A0"/>
    <w:rsid w:val="00473E51"/>
    <w:rsid w:val="00475914"/>
    <w:rsid w:val="004761BE"/>
    <w:rsid w:val="004765C6"/>
    <w:rsid w:val="004767B8"/>
    <w:rsid w:val="0048648A"/>
    <w:rsid w:val="00490493"/>
    <w:rsid w:val="004905FE"/>
    <w:rsid w:val="00490F72"/>
    <w:rsid w:val="00491B56"/>
    <w:rsid w:val="004977DD"/>
    <w:rsid w:val="004A0823"/>
    <w:rsid w:val="004A14DB"/>
    <w:rsid w:val="004A258D"/>
    <w:rsid w:val="004A33B1"/>
    <w:rsid w:val="004A4A2E"/>
    <w:rsid w:val="004A5654"/>
    <w:rsid w:val="004A62BB"/>
    <w:rsid w:val="004B0585"/>
    <w:rsid w:val="004B4FC4"/>
    <w:rsid w:val="004B52DE"/>
    <w:rsid w:val="004B6EB4"/>
    <w:rsid w:val="004B7C1C"/>
    <w:rsid w:val="004C115A"/>
    <w:rsid w:val="004C3A5A"/>
    <w:rsid w:val="004C466B"/>
    <w:rsid w:val="004C52A0"/>
    <w:rsid w:val="004C5DAC"/>
    <w:rsid w:val="004C60D0"/>
    <w:rsid w:val="004C64DC"/>
    <w:rsid w:val="004D1006"/>
    <w:rsid w:val="004D1A7F"/>
    <w:rsid w:val="004D2B2C"/>
    <w:rsid w:val="004D3DCA"/>
    <w:rsid w:val="004D61B3"/>
    <w:rsid w:val="004D62B6"/>
    <w:rsid w:val="004D799B"/>
    <w:rsid w:val="004D7C31"/>
    <w:rsid w:val="004E099E"/>
    <w:rsid w:val="004E2DBA"/>
    <w:rsid w:val="004E3D3E"/>
    <w:rsid w:val="004E3FC3"/>
    <w:rsid w:val="004E46AD"/>
    <w:rsid w:val="004E5AB1"/>
    <w:rsid w:val="004E627F"/>
    <w:rsid w:val="004E6CC6"/>
    <w:rsid w:val="004E78EC"/>
    <w:rsid w:val="004E7C4E"/>
    <w:rsid w:val="004F1B5E"/>
    <w:rsid w:val="004F32C0"/>
    <w:rsid w:val="004F3CF6"/>
    <w:rsid w:val="004F3FC6"/>
    <w:rsid w:val="004F7CF9"/>
    <w:rsid w:val="00500EC4"/>
    <w:rsid w:val="00500F42"/>
    <w:rsid w:val="005018C8"/>
    <w:rsid w:val="005028B0"/>
    <w:rsid w:val="00503436"/>
    <w:rsid w:val="00503814"/>
    <w:rsid w:val="00504B87"/>
    <w:rsid w:val="005069BE"/>
    <w:rsid w:val="005154D3"/>
    <w:rsid w:val="00515A1B"/>
    <w:rsid w:val="00516178"/>
    <w:rsid w:val="00516BCC"/>
    <w:rsid w:val="00517D0C"/>
    <w:rsid w:val="005202E8"/>
    <w:rsid w:val="00521E76"/>
    <w:rsid w:val="00522FA0"/>
    <w:rsid w:val="00523E19"/>
    <w:rsid w:val="00524FBB"/>
    <w:rsid w:val="0052584C"/>
    <w:rsid w:val="00527819"/>
    <w:rsid w:val="00530096"/>
    <w:rsid w:val="0053177F"/>
    <w:rsid w:val="005318AF"/>
    <w:rsid w:val="00531FE2"/>
    <w:rsid w:val="00532B18"/>
    <w:rsid w:val="00533A10"/>
    <w:rsid w:val="00533DCA"/>
    <w:rsid w:val="00541B29"/>
    <w:rsid w:val="00543125"/>
    <w:rsid w:val="00546DC4"/>
    <w:rsid w:val="0055026E"/>
    <w:rsid w:val="00551140"/>
    <w:rsid w:val="005514E3"/>
    <w:rsid w:val="0055172C"/>
    <w:rsid w:val="005520E4"/>
    <w:rsid w:val="00553EBC"/>
    <w:rsid w:val="00556131"/>
    <w:rsid w:val="00556888"/>
    <w:rsid w:val="00556F1E"/>
    <w:rsid w:val="005606CF"/>
    <w:rsid w:val="00562750"/>
    <w:rsid w:val="00562904"/>
    <w:rsid w:val="005643B3"/>
    <w:rsid w:val="00566135"/>
    <w:rsid w:val="00567142"/>
    <w:rsid w:val="005671B1"/>
    <w:rsid w:val="00567DDC"/>
    <w:rsid w:val="005705A4"/>
    <w:rsid w:val="005705D6"/>
    <w:rsid w:val="0057374E"/>
    <w:rsid w:val="00573945"/>
    <w:rsid w:val="00573B99"/>
    <w:rsid w:val="00573DFA"/>
    <w:rsid w:val="0057730E"/>
    <w:rsid w:val="00580230"/>
    <w:rsid w:val="00580A07"/>
    <w:rsid w:val="00580A91"/>
    <w:rsid w:val="00581120"/>
    <w:rsid w:val="005831C2"/>
    <w:rsid w:val="00583E8E"/>
    <w:rsid w:val="005840C2"/>
    <w:rsid w:val="00584684"/>
    <w:rsid w:val="00585F70"/>
    <w:rsid w:val="0058614B"/>
    <w:rsid w:val="005874C4"/>
    <w:rsid w:val="005903C3"/>
    <w:rsid w:val="00590C6F"/>
    <w:rsid w:val="00591A36"/>
    <w:rsid w:val="00593E1B"/>
    <w:rsid w:val="0059639A"/>
    <w:rsid w:val="00596F8F"/>
    <w:rsid w:val="0059722A"/>
    <w:rsid w:val="005A1C43"/>
    <w:rsid w:val="005A2E2A"/>
    <w:rsid w:val="005A6452"/>
    <w:rsid w:val="005B00AE"/>
    <w:rsid w:val="005B23DF"/>
    <w:rsid w:val="005B2514"/>
    <w:rsid w:val="005B344E"/>
    <w:rsid w:val="005B5784"/>
    <w:rsid w:val="005C0FD3"/>
    <w:rsid w:val="005C1A1B"/>
    <w:rsid w:val="005C2612"/>
    <w:rsid w:val="005C29E0"/>
    <w:rsid w:val="005C2F4B"/>
    <w:rsid w:val="005C50F3"/>
    <w:rsid w:val="005D1138"/>
    <w:rsid w:val="005D28F0"/>
    <w:rsid w:val="005D3B09"/>
    <w:rsid w:val="005D417B"/>
    <w:rsid w:val="005D593E"/>
    <w:rsid w:val="005D5B1F"/>
    <w:rsid w:val="005D6EE6"/>
    <w:rsid w:val="005D79E4"/>
    <w:rsid w:val="005E07F7"/>
    <w:rsid w:val="005E0E7B"/>
    <w:rsid w:val="005E0E96"/>
    <w:rsid w:val="005E1CE9"/>
    <w:rsid w:val="005E3FD6"/>
    <w:rsid w:val="005E5672"/>
    <w:rsid w:val="005E65AF"/>
    <w:rsid w:val="005F11F1"/>
    <w:rsid w:val="005F2906"/>
    <w:rsid w:val="005F4605"/>
    <w:rsid w:val="005F58B9"/>
    <w:rsid w:val="005F6F9C"/>
    <w:rsid w:val="005F7E41"/>
    <w:rsid w:val="005F7FB4"/>
    <w:rsid w:val="006009DF"/>
    <w:rsid w:val="00601B3E"/>
    <w:rsid w:val="00603D25"/>
    <w:rsid w:val="006124EA"/>
    <w:rsid w:val="00613268"/>
    <w:rsid w:val="00616BC9"/>
    <w:rsid w:val="00620152"/>
    <w:rsid w:val="00622547"/>
    <w:rsid w:val="0062503C"/>
    <w:rsid w:val="006264D6"/>
    <w:rsid w:val="00626815"/>
    <w:rsid w:val="0062783A"/>
    <w:rsid w:val="00631741"/>
    <w:rsid w:val="0063199C"/>
    <w:rsid w:val="00635CDE"/>
    <w:rsid w:val="006375EB"/>
    <w:rsid w:val="00641E34"/>
    <w:rsid w:val="00642554"/>
    <w:rsid w:val="00642B83"/>
    <w:rsid w:val="00643BF3"/>
    <w:rsid w:val="00644EB1"/>
    <w:rsid w:val="00645CBF"/>
    <w:rsid w:val="00645FF2"/>
    <w:rsid w:val="006461B2"/>
    <w:rsid w:val="00646CD1"/>
    <w:rsid w:val="00647B80"/>
    <w:rsid w:val="0065256F"/>
    <w:rsid w:val="006528EC"/>
    <w:rsid w:val="006529B8"/>
    <w:rsid w:val="00652CB8"/>
    <w:rsid w:val="00652D1D"/>
    <w:rsid w:val="00653B6B"/>
    <w:rsid w:val="006547A7"/>
    <w:rsid w:val="00654B6B"/>
    <w:rsid w:val="00655265"/>
    <w:rsid w:val="00655A8A"/>
    <w:rsid w:val="00655F34"/>
    <w:rsid w:val="006600AC"/>
    <w:rsid w:val="00660423"/>
    <w:rsid w:val="00661A4C"/>
    <w:rsid w:val="00663559"/>
    <w:rsid w:val="00664674"/>
    <w:rsid w:val="006708FE"/>
    <w:rsid w:val="00671871"/>
    <w:rsid w:val="00671E4D"/>
    <w:rsid w:val="0067323F"/>
    <w:rsid w:val="00674744"/>
    <w:rsid w:val="00675012"/>
    <w:rsid w:val="00675790"/>
    <w:rsid w:val="00677798"/>
    <w:rsid w:val="006803A5"/>
    <w:rsid w:val="006808A7"/>
    <w:rsid w:val="00681354"/>
    <w:rsid w:val="0068333A"/>
    <w:rsid w:val="006851B0"/>
    <w:rsid w:val="00686297"/>
    <w:rsid w:val="00686780"/>
    <w:rsid w:val="00687AEB"/>
    <w:rsid w:val="006909D3"/>
    <w:rsid w:val="00692873"/>
    <w:rsid w:val="006935F3"/>
    <w:rsid w:val="0069568C"/>
    <w:rsid w:val="00697B15"/>
    <w:rsid w:val="00697BB5"/>
    <w:rsid w:val="006A06A3"/>
    <w:rsid w:val="006A3779"/>
    <w:rsid w:val="006A458B"/>
    <w:rsid w:val="006A5DD2"/>
    <w:rsid w:val="006A7786"/>
    <w:rsid w:val="006A7876"/>
    <w:rsid w:val="006A7B47"/>
    <w:rsid w:val="006B3249"/>
    <w:rsid w:val="006B384D"/>
    <w:rsid w:val="006B555A"/>
    <w:rsid w:val="006B77AC"/>
    <w:rsid w:val="006C1039"/>
    <w:rsid w:val="006C366D"/>
    <w:rsid w:val="006C4268"/>
    <w:rsid w:val="006C4F62"/>
    <w:rsid w:val="006C595B"/>
    <w:rsid w:val="006C74E3"/>
    <w:rsid w:val="006C7B58"/>
    <w:rsid w:val="006D0073"/>
    <w:rsid w:val="006D289D"/>
    <w:rsid w:val="006D2EA7"/>
    <w:rsid w:val="006D3717"/>
    <w:rsid w:val="006D5B4D"/>
    <w:rsid w:val="006D6073"/>
    <w:rsid w:val="006D60E2"/>
    <w:rsid w:val="006E0D87"/>
    <w:rsid w:val="006E0E27"/>
    <w:rsid w:val="006E11C2"/>
    <w:rsid w:val="006E3A14"/>
    <w:rsid w:val="006E6663"/>
    <w:rsid w:val="006F0093"/>
    <w:rsid w:val="006F1199"/>
    <w:rsid w:val="006F21D2"/>
    <w:rsid w:val="006F31BB"/>
    <w:rsid w:val="006F4FDB"/>
    <w:rsid w:val="006F50A6"/>
    <w:rsid w:val="00700D95"/>
    <w:rsid w:val="00701E4F"/>
    <w:rsid w:val="00701F28"/>
    <w:rsid w:val="00703213"/>
    <w:rsid w:val="007033A6"/>
    <w:rsid w:val="00704578"/>
    <w:rsid w:val="00704854"/>
    <w:rsid w:val="00704A97"/>
    <w:rsid w:val="00705826"/>
    <w:rsid w:val="00706CE2"/>
    <w:rsid w:val="00706F7B"/>
    <w:rsid w:val="00707277"/>
    <w:rsid w:val="007105A5"/>
    <w:rsid w:val="0071401C"/>
    <w:rsid w:val="007149A3"/>
    <w:rsid w:val="0071684F"/>
    <w:rsid w:val="00716C2D"/>
    <w:rsid w:val="0072082C"/>
    <w:rsid w:val="00720FD9"/>
    <w:rsid w:val="00721015"/>
    <w:rsid w:val="0072313D"/>
    <w:rsid w:val="0072348C"/>
    <w:rsid w:val="00724170"/>
    <w:rsid w:val="00724F06"/>
    <w:rsid w:val="00725112"/>
    <w:rsid w:val="0072690C"/>
    <w:rsid w:val="00726FF2"/>
    <w:rsid w:val="0073040D"/>
    <w:rsid w:val="00730D63"/>
    <w:rsid w:val="00733175"/>
    <w:rsid w:val="007338E4"/>
    <w:rsid w:val="00735005"/>
    <w:rsid w:val="00735452"/>
    <w:rsid w:val="007361A9"/>
    <w:rsid w:val="007364A5"/>
    <w:rsid w:val="00737708"/>
    <w:rsid w:val="00741C30"/>
    <w:rsid w:val="007423E2"/>
    <w:rsid w:val="0074250C"/>
    <w:rsid w:val="0074280E"/>
    <w:rsid w:val="007447F8"/>
    <w:rsid w:val="00744B5B"/>
    <w:rsid w:val="00744BFE"/>
    <w:rsid w:val="00745CB7"/>
    <w:rsid w:val="007507D6"/>
    <w:rsid w:val="00751EE5"/>
    <w:rsid w:val="00751FA2"/>
    <w:rsid w:val="007535A8"/>
    <w:rsid w:val="00753989"/>
    <w:rsid w:val="00755BE4"/>
    <w:rsid w:val="00761420"/>
    <w:rsid w:val="0076507A"/>
    <w:rsid w:val="0076554C"/>
    <w:rsid w:val="007751B1"/>
    <w:rsid w:val="00775496"/>
    <w:rsid w:val="0077606E"/>
    <w:rsid w:val="00777997"/>
    <w:rsid w:val="007838BF"/>
    <w:rsid w:val="00783B25"/>
    <w:rsid w:val="00784676"/>
    <w:rsid w:val="007851A4"/>
    <w:rsid w:val="00786EA6"/>
    <w:rsid w:val="00787336"/>
    <w:rsid w:val="00790D85"/>
    <w:rsid w:val="00791320"/>
    <w:rsid w:val="00791E59"/>
    <w:rsid w:val="007928E4"/>
    <w:rsid w:val="00792CD4"/>
    <w:rsid w:val="00793396"/>
    <w:rsid w:val="00794137"/>
    <w:rsid w:val="00795A31"/>
    <w:rsid w:val="007975AF"/>
    <w:rsid w:val="00797BBA"/>
    <w:rsid w:val="007A0499"/>
    <w:rsid w:val="007A107D"/>
    <w:rsid w:val="007A2454"/>
    <w:rsid w:val="007A3C95"/>
    <w:rsid w:val="007A420B"/>
    <w:rsid w:val="007A747E"/>
    <w:rsid w:val="007B1ADD"/>
    <w:rsid w:val="007B74D7"/>
    <w:rsid w:val="007C0268"/>
    <w:rsid w:val="007C0417"/>
    <w:rsid w:val="007C0DB2"/>
    <w:rsid w:val="007C2BD8"/>
    <w:rsid w:val="007C3858"/>
    <w:rsid w:val="007C411D"/>
    <w:rsid w:val="007C4AE9"/>
    <w:rsid w:val="007C4E9A"/>
    <w:rsid w:val="007C717E"/>
    <w:rsid w:val="007D1461"/>
    <w:rsid w:val="007D1492"/>
    <w:rsid w:val="007D27FF"/>
    <w:rsid w:val="007D57BA"/>
    <w:rsid w:val="007D7AA8"/>
    <w:rsid w:val="007E1B8A"/>
    <w:rsid w:val="007E2F98"/>
    <w:rsid w:val="007E3562"/>
    <w:rsid w:val="007E3796"/>
    <w:rsid w:val="007E4058"/>
    <w:rsid w:val="007E5A75"/>
    <w:rsid w:val="007E5E3F"/>
    <w:rsid w:val="007E67A6"/>
    <w:rsid w:val="007E6BBF"/>
    <w:rsid w:val="007E705F"/>
    <w:rsid w:val="007F0B07"/>
    <w:rsid w:val="007F2102"/>
    <w:rsid w:val="007F29F3"/>
    <w:rsid w:val="007F3D46"/>
    <w:rsid w:val="007F468F"/>
    <w:rsid w:val="007F6F1F"/>
    <w:rsid w:val="007F7EDE"/>
    <w:rsid w:val="008012A8"/>
    <w:rsid w:val="00801CD2"/>
    <w:rsid w:val="00802260"/>
    <w:rsid w:val="00805513"/>
    <w:rsid w:val="00806A55"/>
    <w:rsid w:val="00807F64"/>
    <w:rsid w:val="008105C9"/>
    <w:rsid w:val="00814234"/>
    <w:rsid w:val="00814B02"/>
    <w:rsid w:val="008159DD"/>
    <w:rsid w:val="008162BB"/>
    <w:rsid w:val="00821707"/>
    <w:rsid w:val="00822417"/>
    <w:rsid w:val="00825A80"/>
    <w:rsid w:val="008268BE"/>
    <w:rsid w:val="00826C74"/>
    <w:rsid w:val="00831C09"/>
    <w:rsid w:val="008325FA"/>
    <w:rsid w:val="0083326D"/>
    <w:rsid w:val="00833465"/>
    <w:rsid w:val="008338A3"/>
    <w:rsid w:val="008340C9"/>
    <w:rsid w:val="00842E01"/>
    <w:rsid w:val="00846B26"/>
    <w:rsid w:val="008517ED"/>
    <w:rsid w:val="008520EF"/>
    <w:rsid w:val="008525D0"/>
    <w:rsid w:val="008544CE"/>
    <w:rsid w:val="0085462F"/>
    <w:rsid w:val="00854666"/>
    <w:rsid w:val="00854BD6"/>
    <w:rsid w:val="00857CA4"/>
    <w:rsid w:val="0086074C"/>
    <w:rsid w:val="0086077C"/>
    <w:rsid w:val="00861D3B"/>
    <w:rsid w:val="0086312E"/>
    <w:rsid w:val="00865998"/>
    <w:rsid w:val="00866663"/>
    <w:rsid w:val="0086692D"/>
    <w:rsid w:val="00870EAD"/>
    <w:rsid w:val="00872C91"/>
    <w:rsid w:val="00873A8D"/>
    <w:rsid w:val="008751D7"/>
    <w:rsid w:val="00876EE6"/>
    <w:rsid w:val="0088037D"/>
    <w:rsid w:val="00882F75"/>
    <w:rsid w:val="00883364"/>
    <w:rsid w:val="0088396B"/>
    <w:rsid w:val="0088657F"/>
    <w:rsid w:val="008872FB"/>
    <w:rsid w:val="00890D13"/>
    <w:rsid w:val="00894273"/>
    <w:rsid w:val="00894B3D"/>
    <w:rsid w:val="00897B26"/>
    <w:rsid w:val="008A0385"/>
    <w:rsid w:val="008A0412"/>
    <w:rsid w:val="008A10CE"/>
    <w:rsid w:val="008A1219"/>
    <w:rsid w:val="008A3592"/>
    <w:rsid w:val="008A528E"/>
    <w:rsid w:val="008A6ED4"/>
    <w:rsid w:val="008A7BE4"/>
    <w:rsid w:val="008B0176"/>
    <w:rsid w:val="008B071E"/>
    <w:rsid w:val="008B134C"/>
    <w:rsid w:val="008B1438"/>
    <w:rsid w:val="008B1697"/>
    <w:rsid w:val="008B1A07"/>
    <w:rsid w:val="008B2CD5"/>
    <w:rsid w:val="008B3262"/>
    <w:rsid w:val="008B361F"/>
    <w:rsid w:val="008B379C"/>
    <w:rsid w:val="008B3ADB"/>
    <w:rsid w:val="008B49D1"/>
    <w:rsid w:val="008B56B2"/>
    <w:rsid w:val="008B67D7"/>
    <w:rsid w:val="008C3778"/>
    <w:rsid w:val="008C3FD1"/>
    <w:rsid w:val="008C70C5"/>
    <w:rsid w:val="008D15F2"/>
    <w:rsid w:val="008D2D1C"/>
    <w:rsid w:val="008E0DA9"/>
    <w:rsid w:val="008E31C9"/>
    <w:rsid w:val="008E4EB8"/>
    <w:rsid w:val="008E5FDF"/>
    <w:rsid w:val="008E6BFE"/>
    <w:rsid w:val="008E76E1"/>
    <w:rsid w:val="008E7AA2"/>
    <w:rsid w:val="008E7AC4"/>
    <w:rsid w:val="008F27E7"/>
    <w:rsid w:val="008F3DCA"/>
    <w:rsid w:val="008F46FD"/>
    <w:rsid w:val="008F475D"/>
    <w:rsid w:val="008F5547"/>
    <w:rsid w:val="008F711B"/>
    <w:rsid w:val="00900038"/>
    <w:rsid w:val="00903EC6"/>
    <w:rsid w:val="0090423B"/>
    <w:rsid w:val="009044CC"/>
    <w:rsid w:val="00906E54"/>
    <w:rsid w:val="0091058D"/>
    <w:rsid w:val="00912036"/>
    <w:rsid w:val="00912DF9"/>
    <w:rsid w:val="0092166E"/>
    <w:rsid w:val="00921E9B"/>
    <w:rsid w:val="00922010"/>
    <w:rsid w:val="00922D98"/>
    <w:rsid w:val="00932360"/>
    <w:rsid w:val="00932D20"/>
    <w:rsid w:val="009355F9"/>
    <w:rsid w:val="00937327"/>
    <w:rsid w:val="00937B13"/>
    <w:rsid w:val="00940B15"/>
    <w:rsid w:val="00940F3E"/>
    <w:rsid w:val="00942DAC"/>
    <w:rsid w:val="0094355D"/>
    <w:rsid w:val="00943714"/>
    <w:rsid w:val="009437EB"/>
    <w:rsid w:val="00945859"/>
    <w:rsid w:val="009458C2"/>
    <w:rsid w:val="00947305"/>
    <w:rsid w:val="00947BE1"/>
    <w:rsid w:val="009501B3"/>
    <w:rsid w:val="009545A5"/>
    <w:rsid w:val="00956335"/>
    <w:rsid w:val="009569A8"/>
    <w:rsid w:val="00957DF7"/>
    <w:rsid w:val="0096278C"/>
    <w:rsid w:val="00963AE6"/>
    <w:rsid w:val="00965761"/>
    <w:rsid w:val="00966587"/>
    <w:rsid w:val="00966A16"/>
    <w:rsid w:val="009705D3"/>
    <w:rsid w:val="0097107B"/>
    <w:rsid w:val="00971F29"/>
    <w:rsid w:val="00973FD6"/>
    <w:rsid w:val="00974ED6"/>
    <w:rsid w:val="00982C25"/>
    <w:rsid w:val="00983511"/>
    <w:rsid w:val="00987871"/>
    <w:rsid w:val="0099312F"/>
    <w:rsid w:val="00993365"/>
    <w:rsid w:val="00993608"/>
    <w:rsid w:val="00993824"/>
    <w:rsid w:val="00997959"/>
    <w:rsid w:val="00997EFA"/>
    <w:rsid w:val="009A0307"/>
    <w:rsid w:val="009A1A7B"/>
    <w:rsid w:val="009A20A9"/>
    <w:rsid w:val="009A2EFA"/>
    <w:rsid w:val="009A43F3"/>
    <w:rsid w:val="009A5338"/>
    <w:rsid w:val="009A6BA2"/>
    <w:rsid w:val="009B17EB"/>
    <w:rsid w:val="009B393F"/>
    <w:rsid w:val="009B60B6"/>
    <w:rsid w:val="009B634A"/>
    <w:rsid w:val="009B6ACC"/>
    <w:rsid w:val="009B778E"/>
    <w:rsid w:val="009C050F"/>
    <w:rsid w:val="009C08DB"/>
    <w:rsid w:val="009C1B77"/>
    <w:rsid w:val="009C1C32"/>
    <w:rsid w:val="009C2C5C"/>
    <w:rsid w:val="009C484D"/>
    <w:rsid w:val="009C4B52"/>
    <w:rsid w:val="009C5193"/>
    <w:rsid w:val="009C51A1"/>
    <w:rsid w:val="009C7A48"/>
    <w:rsid w:val="009D0811"/>
    <w:rsid w:val="009D2338"/>
    <w:rsid w:val="009D2FE7"/>
    <w:rsid w:val="009D5386"/>
    <w:rsid w:val="009D667C"/>
    <w:rsid w:val="009D7E8F"/>
    <w:rsid w:val="009E1504"/>
    <w:rsid w:val="009E2A4E"/>
    <w:rsid w:val="009F096B"/>
    <w:rsid w:val="009F1780"/>
    <w:rsid w:val="009F2248"/>
    <w:rsid w:val="009F356F"/>
    <w:rsid w:val="009F39BD"/>
    <w:rsid w:val="009F596E"/>
    <w:rsid w:val="009F79F3"/>
    <w:rsid w:val="00A0020B"/>
    <w:rsid w:val="00A00441"/>
    <w:rsid w:val="00A0158A"/>
    <w:rsid w:val="00A0230E"/>
    <w:rsid w:val="00A02C60"/>
    <w:rsid w:val="00A041D2"/>
    <w:rsid w:val="00A0597D"/>
    <w:rsid w:val="00A06D77"/>
    <w:rsid w:val="00A10BC2"/>
    <w:rsid w:val="00A10D52"/>
    <w:rsid w:val="00A10E7F"/>
    <w:rsid w:val="00A125FE"/>
    <w:rsid w:val="00A13E94"/>
    <w:rsid w:val="00A1568B"/>
    <w:rsid w:val="00A16173"/>
    <w:rsid w:val="00A16F3A"/>
    <w:rsid w:val="00A21067"/>
    <w:rsid w:val="00A21F67"/>
    <w:rsid w:val="00A22CBE"/>
    <w:rsid w:val="00A23A06"/>
    <w:rsid w:val="00A244D0"/>
    <w:rsid w:val="00A24D24"/>
    <w:rsid w:val="00A25E40"/>
    <w:rsid w:val="00A27723"/>
    <w:rsid w:val="00A302B4"/>
    <w:rsid w:val="00A31925"/>
    <w:rsid w:val="00A328B8"/>
    <w:rsid w:val="00A331A7"/>
    <w:rsid w:val="00A34E40"/>
    <w:rsid w:val="00A358F3"/>
    <w:rsid w:val="00A362FD"/>
    <w:rsid w:val="00A37088"/>
    <w:rsid w:val="00A40224"/>
    <w:rsid w:val="00A40DDD"/>
    <w:rsid w:val="00A41EC6"/>
    <w:rsid w:val="00A42B82"/>
    <w:rsid w:val="00A46182"/>
    <w:rsid w:val="00A503A0"/>
    <w:rsid w:val="00A51794"/>
    <w:rsid w:val="00A52053"/>
    <w:rsid w:val="00A523DD"/>
    <w:rsid w:val="00A5244C"/>
    <w:rsid w:val="00A55A3A"/>
    <w:rsid w:val="00A55B94"/>
    <w:rsid w:val="00A56E9D"/>
    <w:rsid w:val="00A62A13"/>
    <w:rsid w:val="00A63C43"/>
    <w:rsid w:val="00A64C39"/>
    <w:rsid w:val="00A650A1"/>
    <w:rsid w:val="00A7010F"/>
    <w:rsid w:val="00A71B95"/>
    <w:rsid w:val="00A73468"/>
    <w:rsid w:val="00A73D61"/>
    <w:rsid w:val="00A7402A"/>
    <w:rsid w:val="00A76FC6"/>
    <w:rsid w:val="00A8024D"/>
    <w:rsid w:val="00A80ED4"/>
    <w:rsid w:val="00A817C7"/>
    <w:rsid w:val="00A82465"/>
    <w:rsid w:val="00A82A1C"/>
    <w:rsid w:val="00A8537B"/>
    <w:rsid w:val="00A86B51"/>
    <w:rsid w:val="00A86FAA"/>
    <w:rsid w:val="00A9070F"/>
    <w:rsid w:val="00A92780"/>
    <w:rsid w:val="00A92FCA"/>
    <w:rsid w:val="00A93D54"/>
    <w:rsid w:val="00A94C8A"/>
    <w:rsid w:val="00A94DA0"/>
    <w:rsid w:val="00A96102"/>
    <w:rsid w:val="00AA42ED"/>
    <w:rsid w:val="00AA516E"/>
    <w:rsid w:val="00AB412F"/>
    <w:rsid w:val="00AB7C4A"/>
    <w:rsid w:val="00AB7FD4"/>
    <w:rsid w:val="00AC00DA"/>
    <w:rsid w:val="00AC4CEB"/>
    <w:rsid w:val="00AD0163"/>
    <w:rsid w:val="00AD0EAE"/>
    <w:rsid w:val="00AD1C09"/>
    <w:rsid w:val="00AD56F2"/>
    <w:rsid w:val="00AE28D1"/>
    <w:rsid w:val="00AE7E15"/>
    <w:rsid w:val="00AF0518"/>
    <w:rsid w:val="00AF33F7"/>
    <w:rsid w:val="00AF3626"/>
    <w:rsid w:val="00AF71E2"/>
    <w:rsid w:val="00B02259"/>
    <w:rsid w:val="00B02673"/>
    <w:rsid w:val="00B02FCE"/>
    <w:rsid w:val="00B04EBD"/>
    <w:rsid w:val="00B05C9F"/>
    <w:rsid w:val="00B06BA3"/>
    <w:rsid w:val="00B06F85"/>
    <w:rsid w:val="00B07F09"/>
    <w:rsid w:val="00B11D6E"/>
    <w:rsid w:val="00B12437"/>
    <w:rsid w:val="00B147C1"/>
    <w:rsid w:val="00B200C9"/>
    <w:rsid w:val="00B21896"/>
    <w:rsid w:val="00B21AB2"/>
    <w:rsid w:val="00B221CD"/>
    <w:rsid w:val="00B22A57"/>
    <w:rsid w:val="00B23404"/>
    <w:rsid w:val="00B25563"/>
    <w:rsid w:val="00B26041"/>
    <w:rsid w:val="00B2612C"/>
    <w:rsid w:val="00B2627E"/>
    <w:rsid w:val="00B265A2"/>
    <w:rsid w:val="00B27EF4"/>
    <w:rsid w:val="00B30353"/>
    <w:rsid w:val="00B31097"/>
    <w:rsid w:val="00B32391"/>
    <w:rsid w:val="00B3297B"/>
    <w:rsid w:val="00B34385"/>
    <w:rsid w:val="00B34727"/>
    <w:rsid w:val="00B40BB9"/>
    <w:rsid w:val="00B41F96"/>
    <w:rsid w:val="00B432EF"/>
    <w:rsid w:val="00B43B82"/>
    <w:rsid w:val="00B43D13"/>
    <w:rsid w:val="00B4494C"/>
    <w:rsid w:val="00B46195"/>
    <w:rsid w:val="00B472CA"/>
    <w:rsid w:val="00B4764B"/>
    <w:rsid w:val="00B50F51"/>
    <w:rsid w:val="00B51EA6"/>
    <w:rsid w:val="00B529F5"/>
    <w:rsid w:val="00B52A7A"/>
    <w:rsid w:val="00B544E6"/>
    <w:rsid w:val="00B54967"/>
    <w:rsid w:val="00B55748"/>
    <w:rsid w:val="00B571DF"/>
    <w:rsid w:val="00B57353"/>
    <w:rsid w:val="00B57AEF"/>
    <w:rsid w:val="00B602BC"/>
    <w:rsid w:val="00B61361"/>
    <w:rsid w:val="00B617DB"/>
    <w:rsid w:val="00B619F2"/>
    <w:rsid w:val="00B61B2C"/>
    <w:rsid w:val="00B62025"/>
    <w:rsid w:val="00B67E67"/>
    <w:rsid w:val="00B7134B"/>
    <w:rsid w:val="00B717F0"/>
    <w:rsid w:val="00B75875"/>
    <w:rsid w:val="00B77C59"/>
    <w:rsid w:val="00B80805"/>
    <w:rsid w:val="00B84630"/>
    <w:rsid w:val="00B85330"/>
    <w:rsid w:val="00B85DE4"/>
    <w:rsid w:val="00B85F70"/>
    <w:rsid w:val="00B86FA2"/>
    <w:rsid w:val="00B8786A"/>
    <w:rsid w:val="00B91739"/>
    <w:rsid w:val="00B9232E"/>
    <w:rsid w:val="00B9294E"/>
    <w:rsid w:val="00B930F4"/>
    <w:rsid w:val="00B950E2"/>
    <w:rsid w:val="00B95986"/>
    <w:rsid w:val="00BA3573"/>
    <w:rsid w:val="00BA3699"/>
    <w:rsid w:val="00BA37F9"/>
    <w:rsid w:val="00BA4AD7"/>
    <w:rsid w:val="00BA63C1"/>
    <w:rsid w:val="00BA69B7"/>
    <w:rsid w:val="00BB2189"/>
    <w:rsid w:val="00BB2B89"/>
    <w:rsid w:val="00BB2DDD"/>
    <w:rsid w:val="00BB3C3B"/>
    <w:rsid w:val="00BB3F04"/>
    <w:rsid w:val="00BB660F"/>
    <w:rsid w:val="00BB664F"/>
    <w:rsid w:val="00BB6BFF"/>
    <w:rsid w:val="00BB6C08"/>
    <w:rsid w:val="00BB7DA3"/>
    <w:rsid w:val="00BC08BA"/>
    <w:rsid w:val="00BC154E"/>
    <w:rsid w:val="00BC344F"/>
    <w:rsid w:val="00BC6964"/>
    <w:rsid w:val="00BC6AA9"/>
    <w:rsid w:val="00BC7908"/>
    <w:rsid w:val="00BC7ADA"/>
    <w:rsid w:val="00BD327A"/>
    <w:rsid w:val="00BD46D9"/>
    <w:rsid w:val="00BD55AB"/>
    <w:rsid w:val="00BD5CDD"/>
    <w:rsid w:val="00BD6765"/>
    <w:rsid w:val="00BD6BAE"/>
    <w:rsid w:val="00BD6FC1"/>
    <w:rsid w:val="00BD7FC9"/>
    <w:rsid w:val="00BE1731"/>
    <w:rsid w:val="00BE1EB0"/>
    <w:rsid w:val="00BE3DAA"/>
    <w:rsid w:val="00BE6433"/>
    <w:rsid w:val="00BE7069"/>
    <w:rsid w:val="00BE710D"/>
    <w:rsid w:val="00BE7B35"/>
    <w:rsid w:val="00BF02B9"/>
    <w:rsid w:val="00BF0932"/>
    <w:rsid w:val="00BF2CE7"/>
    <w:rsid w:val="00BF2F4A"/>
    <w:rsid w:val="00BF301C"/>
    <w:rsid w:val="00BF43D1"/>
    <w:rsid w:val="00BF49EA"/>
    <w:rsid w:val="00BF4BFE"/>
    <w:rsid w:val="00BF5512"/>
    <w:rsid w:val="00BF5880"/>
    <w:rsid w:val="00C00410"/>
    <w:rsid w:val="00C0406C"/>
    <w:rsid w:val="00C07A30"/>
    <w:rsid w:val="00C10791"/>
    <w:rsid w:val="00C108AE"/>
    <w:rsid w:val="00C13FF5"/>
    <w:rsid w:val="00C1606E"/>
    <w:rsid w:val="00C208B5"/>
    <w:rsid w:val="00C20E69"/>
    <w:rsid w:val="00C222CD"/>
    <w:rsid w:val="00C23E60"/>
    <w:rsid w:val="00C26753"/>
    <w:rsid w:val="00C32D4B"/>
    <w:rsid w:val="00C35607"/>
    <w:rsid w:val="00C3599B"/>
    <w:rsid w:val="00C36B93"/>
    <w:rsid w:val="00C40E3A"/>
    <w:rsid w:val="00C42B6B"/>
    <w:rsid w:val="00C44D98"/>
    <w:rsid w:val="00C46385"/>
    <w:rsid w:val="00C47C7A"/>
    <w:rsid w:val="00C5042E"/>
    <w:rsid w:val="00C53682"/>
    <w:rsid w:val="00C5461E"/>
    <w:rsid w:val="00C54CCC"/>
    <w:rsid w:val="00C559E0"/>
    <w:rsid w:val="00C5697E"/>
    <w:rsid w:val="00C600E0"/>
    <w:rsid w:val="00C6017D"/>
    <w:rsid w:val="00C62B05"/>
    <w:rsid w:val="00C64070"/>
    <w:rsid w:val="00C651A5"/>
    <w:rsid w:val="00C664C5"/>
    <w:rsid w:val="00C66E54"/>
    <w:rsid w:val="00C7052E"/>
    <w:rsid w:val="00C71F04"/>
    <w:rsid w:val="00C72AA8"/>
    <w:rsid w:val="00C74991"/>
    <w:rsid w:val="00C75115"/>
    <w:rsid w:val="00C75BDE"/>
    <w:rsid w:val="00C7623F"/>
    <w:rsid w:val="00C77079"/>
    <w:rsid w:val="00C809CD"/>
    <w:rsid w:val="00C80ED8"/>
    <w:rsid w:val="00C81736"/>
    <w:rsid w:val="00C81B3E"/>
    <w:rsid w:val="00C8254A"/>
    <w:rsid w:val="00C826B0"/>
    <w:rsid w:val="00C83679"/>
    <w:rsid w:val="00C8621F"/>
    <w:rsid w:val="00C86681"/>
    <w:rsid w:val="00C86776"/>
    <w:rsid w:val="00C87D57"/>
    <w:rsid w:val="00C91198"/>
    <w:rsid w:val="00C919E8"/>
    <w:rsid w:val="00C93B40"/>
    <w:rsid w:val="00C94F2F"/>
    <w:rsid w:val="00C95E64"/>
    <w:rsid w:val="00C9609E"/>
    <w:rsid w:val="00C970AB"/>
    <w:rsid w:val="00C9780D"/>
    <w:rsid w:val="00C97A41"/>
    <w:rsid w:val="00CA0C96"/>
    <w:rsid w:val="00CA12D5"/>
    <w:rsid w:val="00CA1F12"/>
    <w:rsid w:val="00CA474A"/>
    <w:rsid w:val="00CA6D6D"/>
    <w:rsid w:val="00CB0E15"/>
    <w:rsid w:val="00CB3E2D"/>
    <w:rsid w:val="00CB3E54"/>
    <w:rsid w:val="00CB432C"/>
    <w:rsid w:val="00CB4A05"/>
    <w:rsid w:val="00CB5066"/>
    <w:rsid w:val="00CB6061"/>
    <w:rsid w:val="00CB62B2"/>
    <w:rsid w:val="00CB7AA1"/>
    <w:rsid w:val="00CC3422"/>
    <w:rsid w:val="00CC4400"/>
    <w:rsid w:val="00CC45BE"/>
    <w:rsid w:val="00CC4EF7"/>
    <w:rsid w:val="00CD0AB1"/>
    <w:rsid w:val="00CD26B4"/>
    <w:rsid w:val="00CD27A6"/>
    <w:rsid w:val="00CD5BE3"/>
    <w:rsid w:val="00CE2F5A"/>
    <w:rsid w:val="00CE708A"/>
    <w:rsid w:val="00CF0FCD"/>
    <w:rsid w:val="00CF10E0"/>
    <w:rsid w:val="00CF16DC"/>
    <w:rsid w:val="00CF1E35"/>
    <w:rsid w:val="00CF1E3D"/>
    <w:rsid w:val="00CF34B3"/>
    <w:rsid w:val="00CF5BA1"/>
    <w:rsid w:val="00CF6239"/>
    <w:rsid w:val="00D03BB6"/>
    <w:rsid w:val="00D03C29"/>
    <w:rsid w:val="00D047CC"/>
    <w:rsid w:val="00D055D6"/>
    <w:rsid w:val="00D07B48"/>
    <w:rsid w:val="00D10C22"/>
    <w:rsid w:val="00D1196E"/>
    <w:rsid w:val="00D12551"/>
    <w:rsid w:val="00D1575D"/>
    <w:rsid w:val="00D16B87"/>
    <w:rsid w:val="00D21C45"/>
    <w:rsid w:val="00D21C76"/>
    <w:rsid w:val="00D22024"/>
    <w:rsid w:val="00D22C97"/>
    <w:rsid w:val="00D22E4A"/>
    <w:rsid w:val="00D23EED"/>
    <w:rsid w:val="00D25D59"/>
    <w:rsid w:val="00D27081"/>
    <w:rsid w:val="00D325AC"/>
    <w:rsid w:val="00D32E17"/>
    <w:rsid w:val="00D330AB"/>
    <w:rsid w:val="00D34CD4"/>
    <w:rsid w:val="00D35D2A"/>
    <w:rsid w:val="00D35F73"/>
    <w:rsid w:val="00D404F5"/>
    <w:rsid w:val="00D408EA"/>
    <w:rsid w:val="00D40BCE"/>
    <w:rsid w:val="00D42893"/>
    <w:rsid w:val="00D43074"/>
    <w:rsid w:val="00D45DC6"/>
    <w:rsid w:val="00D46164"/>
    <w:rsid w:val="00D551E7"/>
    <w:rsid w:val="00D57D53"/>
    <w:rsid w:val="00D62435"/>
    <w:rsid w:val="00D63508"/>
    <w:rsid w:val="00D66AFF"/>
    <w:rsid w:val="00D67C5C"/>
    <w:rsid w:val="00D7150C"/>
    <w:rsid w:val="00D71E37"/>
    <w:rsid w:val="00D71EEB"/>
    <w:rsid w:val="00D725D9"/>
    <w:rsid w:val="00D72B07"/>
    <w:rsid w:val="00D76E9D"/>
    <w:rsid w:val="00D80414"/>
    <w:rsid w:val="00D8319B"/>
    <w:rsid w:val="00D83787"/>
    <w:rsid w:val="00D83BE9"/>
    <w:rsid w:val="00D83FA6"/>
    <w:rsid w:val="00D84B54"/>
    <w:rsid w:val="00D85DCA"/>
    <w:rsid w:val="00D8660F"/>
    <w:rsid w:val="00D870EA"/>
    <w:rsid w:val="00D904EB"/>
    <w:rsid w:val="00D9058E"/>
    <w:rsid w:val="00D94EC6"/>
    <w:rsid w:val="00D94ECD"/>
    <w:rsid w:val="00D95524"/>
    <w:rsid w:val="00D96929"/>
    <w:rsid w:val="00DA2B99"/>
    <w:rsid w:val="00DA42E9"/>
    <w:rsid w:val="00DA4D11"/>
    <w:rsid w:val="00DA6683"/>
    <w:rsid w:val="00DA71B7"/>
    <w:rsid w:val="00DA72CF"/>
    <w:rsid w:val="00DB159C"/>
    <w:rsid w:val="00DB1E1C"/>
    <w:rsid w:val="00DB2C37"/>
    <w:rsid w:val="00DB4A72"/>
    <w:rsid w:val="00DB5A0A"/>
    <w:rsid w:val="00DB628C"/>
    <w:rsid w:val="00DB6409"/>
    <w:rsid w:val="00DB78CF"/>
    <w:rsid w:val="00DB7F18"/>
    <w:rsid w:val="00DC30F1"/>
    <w:rsid w:val="00DC615C"/>
    <w:rsid w:val="00DC66EC"/>
    <w:rsid w:val="00DC6B21"/>
    <w:rsid w:val="00DC6C0E"/>
    <w:rsid w:val="00DC6CF9"/>
    <w:rsid w:val="00DC7EC8"/>
    <w:rsid w:val="00DD03BD"/>
    <w:rsid w:val="00DD18D8"/>
    <w:rsid w:val="00DD22E2"/>
    <w:rsid w:val="00DD2418"/>
    <w:rsid w:val="00DD2804"/>
    <w:rsid w:val="00DD293C"/>
    <w:rsid w:val="00DE00E6"/>
    <w:rsid w:val="00DE2181"/>
    <w:rsid w:val="00DE3B21"/>
    <w:rsid w:val="00DE5D13"/>
    <w:rsid w:val="00DF0DCF"/>
    <w:rsid w:val="00DF0F21"/>
    <w:rsid w:val="00DF18A4"/>
    <w:rsid w:val="00DF359E"/>
    <w:rsid w:val="00DF37FA"/>
    <w:rsid w:val="00DF5122"/>
    <w:rsid w:val="00DF5629"/>
    <w:rsid w:val="00DF79DD"/>
    <w:rsid w:val="00E006AC"/>
    <w:rsid w:val="00E006C2"/>
    <w:rsid w:val="00E00CF7"/>
    <w:rsid w:val="00E02293"/>
    <w:rsid w:val="00E02B2D"/>
    <w:rsid w:val="00E02CA2"/>
    <w:rsid w:val="00E04B22"/>
    <w:rsid w:val="00E051A6"/>
    <w:rsid w:val="00E06309"/>
    <w:rsid w:val="00E10566"/>
    <w:rsid w:val="00E14551"/>
    <w:rsid w:val="00E15FCF"/>
    <w:rsid w:val="00E17376"/>
    <w:rsid w:val="00E202F7"/>
    <w:rsid w:val="00E20DDC"/>
    <w:rsid w:val="00E25977"/>
    <w:rsid w:val="00E276FB"/>
    <w:rsid w:val="00E3068D"/>
    <w:rsid w:val="00E36A16"/>
    <w:rsid w:val="00E36E7F"/>
    <w:rsid w:val="00E41436"/>
    <w:rsid w:val="00E41D4D"/>
    <w:rsid w:val="00E44772"/>
    <w:rsid w:val="00E47D38"/>
    <w:rsid w:val="00E50092"/>
    <w:rsid w:val="00E505DF"/>
    <w:rsid w:val="00E50B7F"/>
    <w:rsid w:val="00E51DBD"/>
    <w:rsid w:val="00E54278"/>
    <w:rsid w:val="00E57B36"/>
    <w:rsid w:val="00E57F79"/>
    <w:rsid w:val="00E61711"/>
    <w:rsid w:val="00E61DCD"/>
    <w:rsid w:val="00E629D9"/>
    <w:rsid w:val="00E6366A"/>
    <w:rsid w:val="00E65B25"/>
    <w:rsid w:val="00E67F68"/>
    <w:rsid w:val="00E706D5"/>
    <w:rsid w:val="00E75805"/>
    <w:rsid w:val="00E777EE"/>
    <w:rsid w:val="00E77EEB"/>
    <w:rsid w:val="00E81191"/>
    <w:rsid w:val="00E812EB"/>
    <w:rsid w:val="00E81EB1"/>
    <w:rsid w:val="00E82C93"/>
    <w:rsid w:val="00E83EDB"/>
    <w:rsid w:val="00E86094"/>
    <w:rsid w:val="00E9048A"/>
    <w:rsid w:val="00E90BCC"/>
    <w:rsid w:val="00E94570"/>
    <w:rsid w:val="00E97377"/>
    <w:rsid w:val="00E97899"/>
    <w:rsid w:val="00EA1159"/>
    <w:rsid w:val="00EA2B72"/>
    <w:rsid w:val="00EA320F"/>
    <w:rsid w:val="00EA3916"/>
    <w:rsid w:val="00EA7E6E"/>
    <w:rsid w:val="00EB1030"/>
    <w:rsid w:val="00EB1C52"/>
    <w:rsid w:val="00EB1E98"/>
    <w:rsid w:val="00EB2429"/>
    <w:rsid w:val="00EB4388"/>
    <w:rsid w:val="00EB4779"/>
    <w:rsid w:val="00EB589B"/>
    <w:rsid w:val="00EB76D1"/>
    <w:rsid w:val="00EC48EF"/>
    <w:rsid w:val="00EC605E"/>
    <w:rsid w:val="00EC7C39"/>
    <w:rsid w:val="00ED07FE"/>
    <w:rsid w:val="00ED0F98"/>
    <w:rsid w:val="00ED12FA"/>
    <w:rsid w:val="00ED18BA"/>
    <w:rsid w:val="00ED35B2"/>
    <w:rsid w:val="00ED450F"/>
    <w:rsid w:val="00ED5342"/>
    <w:rsid w:val="00ED6467"/>
    <w:rsid w:val="00ED6D60"/>
    <w:rsid w:val="00ED6DA5"/>
    <w:rsid w:val="00ED7803"/>
    <w:rsid w:val="00EE06FE"/>
    <w:rsid w:val="00EE1AC6"/>
    <w:rsid w:val="00EE1F39"/>
    <w:rsid w:val="00EE1F56"/>
    <w:rsid w:val="00EE2AEE"/>
    <w:rsid w:val="00EE3ABD"/>
    <w:rsid w:val="00EE5D37"/>
    <w:rsid w:val="00EE6CB5"/>
    <w:rsid w:val="00EE6EAD"/>
    <w:rsid w:val="00EE7890"/>
    <w:rsid w:val="00EF102E"/>
    <w:rsid w:val="00EF12BC"/>
    <w:rsid w:val="00EF144C"/>
    <w:rsid w:val="00EF3F93"/>
    <w:rsid w:val="00EF408D"/>
    <w:rsid w:val="00EF56B0"/>
    <w:rsid w:val="00EF6A77"/>
    <w:rsid w:val="00EF7D74"/>
    <w:rsid w:val="00F0133C"/>
    <w:rsid w:val="00F04244"/>
    <w:rsid w:val="00F050D0"/>
    <w:rsid w:val="00F10A98"/>
    <w:rsid w:val="00F1327A"/>
    <w:rsid w:val="00F16496"/>
    <w:rsid w:val="00F1730A"/>
    <w:rsid w:val="00F230F2"/>
    <w:rsid w:val="00F23C97"/>
    <w:rsid w:val="00F2460C"/>
    <w:rsid w:val="00F2641A"/>
    <w:rsid w:val="00F26539"/>
    <w:rsid w:val="00F26DDF"/>
    <w:rsid w:val="00F304BC"/>
    <w:rsid w:val="00F31FDE"/>
    <w:rsid w:val="00F35097"/>
    <w:rsid w:val="00F42603"/>
    <w:rsid w:val="00F42C81"/>
    <w:rsid w:val="00F4341F"/>
    <w:rsid w:val="00F44BDE"/>
    <w:rsid w:val="00F44F45"/>
    <w:rsid w:val="00F468E2"/>
    <w:rsid w:val="00F47BBE"/>
    <w:rsid w:val="00F516B5"/>
    <w:rsid w:val="00F51E48"/>
    <w:rsid w:val="00F52EA3"/>
    <w:rsid w:val="00F53D39"/>
    <w:rsid w:val="00F558DD"/>
    <w:rsid w:val="00F56EA2"/>
    <w:rsid w:val="00F60DA9"/>
    <w:rsid w:val="00F611E9"/>
    <w:rsid w:val="00F616A3"/>
    <w:rsid w:val="00F63FF8"/>
    <w:rsid w:val="00F64728"/>
    <w:rsid w:val="00F6510B"/>
    <w:rsid w:val="00F65964"/>
    <w:rsid w:val="00F65EAA"/>
    <w:rsid w:val="00F67C5D"/>
    <w:rsid w:val="00F70F76"/>
    <w:rsid w:val="00F71814"/>
    <w:rsid w:val="00F723F8"/>
    <w:rsid w:val="00F72925"/>
    <w:rsid w:val="00F72F23"/>
    <w:rsid w:val="00F738F6"/>
    <w:rsid w:val="00F81CCF"/>
    <w:rsid w:val="00F8270A"/>
    <w:rsid w:val="00F8463F"/>
    <w:rsid w:val="00F848DB"/>
    <w:rsid w:val="00F84F54"/>
    <w:rsid w:val="00F90995"/>
    <w:rsid w:val="00F9137F"/>
    <w:rsid w:val="00F916D9"/>
    <w:rsid w:val="00F917E6"/>
    <w:rsid w:val="00F9318A"/>
    <w:rsid w:val="00F933AD"/>
    <w:rsid w:val="00F93B1C"/>
    <w:rsid w:val="00F94A35"/>
    <w:rsid w:val="00F94DEF"/>
    <w:rsid w:val="00F951E3"/>
    <w:rsid w:val="00F961A3"/>
    <w:rsid w:val="00F963CF"/>
    <w:rsid w:val="00F97222"/>
    <w:rsid w:val="00F97DA5"/>
    <w:rsid w:val="00FA1CC7"/>
    <w:rsid w:val="00FA2194"/>
    <w:rsid w:val="00FA2220"/>
    <w:rsid w:val="00FA36BC"/>
    <w:rsid w:val="00FA49F4"/>
    <w:rsid w:val="00FA54F8"/>
    <w:rsid w:val="00FA5657"/>
    <w:rsid w:val="00FA5ACF"/>
    <w:rsid w:val="00FA6C7E"/>
    <w:rsid w:val="00FB05A3"/>
    <w:rsid w:val="00FB0FCD"/>
    <w:rsid w:val="00FB170E"/>
    <w:rsid w:val="00FB4C99"/>
    <w:rsid w:val="00FB6EF9"/>
    <w:rsid w:val="00FC0A74"/>
    <w:rsid w:val="00FC1D2F"/>
    <w:rsid w:val="00FC5A05"/>
    <w:rsid w:val="00FC6595"/>
    <w:rsid w:val="00FC775D"/>
    <w:rsid w:val="00FD004A"/>
    <w:rsid w:val="00FD2DB7"/>
    <w:rsid w:val="00FD3337"/>
    <w:rsid w:val="00FD3CEC"/>
    <w:rsid w:val="00FD5E85"/>
    <w:rsid w:val="00FD6A87"/>
    <w:rsid w:val="00FE16DA"/>
    <w:rsid w:val="00FE2B01"/>
    <w:rsid w:val="00FE3423"/>
    <w:rsid w:val="00FE57C5"/>
    <w:rsid w:val="00FF14FB"/>
    <w:rsid w:val="00FF1C4F"/>
    <w:rsid w:val="00FF1CB4"/>
    <w:rsid w:val="00FF2070"/>
    <w:rsid w:val="00FF6824"/>
    <w:rsid w:val="00FF76C2"/>
    <w:rsid w:val="00FF7AFC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F91585"/>
  <w15:chartTrackingRefBased/>
  <w15:docId w15:val="{E63FBC00-12BD-48D6-B2C8-41354416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F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443F2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2443F2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2443F2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9E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qFormat/>
    <w:rsid w:val="002443F2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2443F2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3F2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2443F2"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sid w:val="002443F2"/>
    <w:rPr>
      <w:vertAlign w:val="superscript"/>
    </w:rPr>
  </w:style>
  <w:style w:type="paragraph" w:styleId="BodyText">
    <w:name w:val="Body Text"/>
    <w:basedOn w:val="Normal"/>
    <w:link w:val="BodyTextChar"/>
    <w:semiHidden/>
    <w:rsid w:val="002443F2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2443F2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2443F2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2443F2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7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06D77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B02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814B02"/>
    <w:rPr>
      <w:lang w:eastAsia="ar-SA"/>
    </w:rPr>
  </w:style>
  <w:style w:type="character" w:styleId="EndnoteReference">
    <w:name w:val="endnote reference"/>
    <w:uiPriority w:val="99"/>
    <w:semiHidden/>
    <w:unhideWhenUsed/>
    <w:rsid w:val="00814B02"/>
    <w:rPr>
      <w:vertAlign w:val="superscript"/>
    </w:rPr>
  </w:style>
  <w:style w:type="character" w:customStyle="1" w:styleId="Heading7Char">
    <w:name w:val="Heading 7 Char"/>
    <w:link w:val="Heading7"/>
    <w:uiPriority w:val="9"/>
    <w:semiHidden/>
    <w:rsid w:val="00DF359E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4F32C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A4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408EA"/>
    <w:rPr>
      <w:b/>
      <w:bCs/>
    </w:rPr>
  </w:style>
  <w:style w:type="paragraph" w:styleId="ListParagraph">
    <w:name w:val="List Paragraph"/>
    <w:basedOn w:val="Normal"/>
    <w:uiPriority w:val="34"/>
    <w:qFormat/>
    <w:rsid w:val="00301508"/>
    <w:pPr>
      <w:ind w:left="720"/>
      <w:contextualSpacing/>
    </w:pPr>
  </w:style>
  <w:style w:type="character" w:styleId="Hyperlink">
    <w:name w:val="Hyperlink"/>
    <w:uiPriority w:val="99"/>
    <w:rsid w:val="0082241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655F34"/>
    <w:rPr>
      <w:rFonts w:cs="Traditional Arabic"/>
      <w:snapToGrid w:val="0"/>
    </w:rPr>
  </w:style>
  <w:style w:type="character" w:styleId="CommentReference">
    <w:name w:val="annotation reference"/>
    <w:uiPriority w:val="99"/>
    <w:semiHidden/>
    <w:unhideWhenUsed/>
    <w:rsid w:val="00217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B8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17B8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B8B"/>
    <w:rPr>
      <w:b/>
      <w:bCs/>
      <w:lang w:eastAsia="ar-SA"/>
    </w:rPr>
  </w:style>
  <w:style w:type="character" w:customStyle="1" w:styleId="1H">
    <w:name w:val="1H"/>
    <w:rsid w:val="00201207"/>
    <w:rPr>
      <w:b/>
      <w:sz w:val="28"/>
    </w:rPr>
  </w:style>
  <w:style w:type="paragraph" w:styleId="Title">
    <w:name w:val="Title"/>
    <w:basedOn w:val="Normal"/>
    <w:link w:val="TitleChar"/>
    <w:qFormat/>
    <w:rsid w:val="000A49D0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0A49D0"/>
    <w:rPr>
      <w:b/>
      <w:bCs/>
      <w:noProof/>
      <w:sz w:val="24"/>
      <w:szCs w:val="24"/>
      <w:u w:val="single"/>
      <w:lang w:val="x-none" w:eastAsia="x-none"/>
    </w:rPr>
  </w:style>
  <w:style w:type="character" w:customStyle="1" w:styleId="BodyTextChar">
    <w:name w:val="Body Text Char"/>
    <w:link w:val="BodyText"/>
    <w:semiHidden/>
    <w:rsid w:val="005B2514"/>
    <w:rPr>
      <w:rFonts w:cs="Simplified Arabic"/>
      <w:snapToGrid w:val="0"/>
    </w:rPr>
  </w:style>
  <w:style w:type="paragraph" w:styleId="NormalWeb">
    <w:name w:val="Normal (Web)"/>
    <w:basedOn w:val="Normal"/>
    <w:uiPriority w:val="99"/>
    <w:semiHidden/>
    <w:unhideWhenUsed/>
    <w:rsid w:val="00BE7069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75"/>
          <c:y val="0.11931818181818182"/>
          <c:w val="0.78676470588235292"/>
          <c:h val="0.60795454545454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ذكور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9D0-48C4-B08F-CA2C8B80EE6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الضفة الغربية</c:v>
                </c:pt>
                <c:pt idx="1">
                  <c:v>قطاع غزة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85.6</c:v>
                </c:pt>
                <c:pt idx="1">
                  <c:v>56.6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D0-48C4-B08F-CA2C8B80EE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اناث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9D0-48C4-B08F-CA2C8B80EE6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الضفة الغربية</c:v>
                </c:pt>
                <c:pt idx="1">
                  <c:v>قطاع غزة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80.8</c:v>
                </c:pt>
                <c:pt idx="1">
                  <c:v>58.9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D0-48C4-B08F-CA2C8B80E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318416"/>
        <c:axId val="1"/>
      </c:barChart>
      <c:catAx>
        <c:axId val="196318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المنطقة</a:t>
                </a:r>
              </a:p>
            </c:rich>
          </c:tx>
          <c:layout>
            <c:manualLayout>
              <c:xMode val="edge"/>
              <c:yMode val="edge"/>
              <c:x val="0.51838235294117652"/>
              <c:y val="0.8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  <c:layout>
            <c:manualLayout>
              <c:xMode val="edge"/>
              <c:yMode val="edge"/>
              <c:x val="3.6764705882352941E-3"/>
              <c:y val="0.3409090909090908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6318416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889705882352941"/>
          <c:y val="1.7045454545454544E-2"/>
          <c:w val="0.34191176470588236"/>
          <c:h val="0.136363636363636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32786885245902"/>
          <c:y val="0.15730337078651685"/>
          <c:w val="0.78688524590163933"/>
          <c:h val="0.6179775280898876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خطوط الهاتف الثابت</c:v>
                </c:pt>
              </c:strCache>
            </c:strRef>
          </c:tx>
          <c:spPr>
            <a:ln w="38102">
              <a:solidFill>
                <a:srgbClr val="0066CC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87-4119-9690-6614E18161E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87-4119-9690-6614E18161E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87-4119-9690-6614E18161E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87-4119-9690-6614E18161E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87-4119-9690-6614E18161E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87-4119-9690-6614E18161E6}"/>
                </c:ext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360.4</c:v>
                </c:pt>
                <c:pt idx="1">
                  <c:v>393.9</c:v>
                </c:pt>
                <c:pt idx="2">
                  <c:v>403.1</c:v>
                </c:pt>
                <c:pt idx="3" formatCode="0.0">
                  <c:v>432</c:v>
                </c:pt>
                <c:pt idx="4">
                  <c:v>469.7</c:v>
                </c:pt>
                <c:pt idx="5">
                  <c:v>466.3</c:v>
                </c:pt>
                <c:pt idx="6">
                  <c:v>485.8</c:v>
                </c:pt>
                <c:pt idx="7">
                  <c:v>457.7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D87-4119-9690-6614E18161E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خطوط الهاتف النقال</c:v>
                </c:pt>
              </c:strCache>
            </c:strRef>
          </c:tx>
          <c:spPr>
            <a:ln w="38102">
              <a:solidFill>
                <a:srgbClr val="800000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3491826698670317E-2"/>
                  <c:y val="-0.16266863187643021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87-4119-9690-6614E18161E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D87-4119-9690-6614E18161E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D87-4119-9690-6614E18161E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87-4119-9690-6614E18161E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D87-4119-9690-6614E18161E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D87-4119-9690-6614E18161E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D87-4119-9690-6614E18161E6}"/>
                </c:ext>
              </c:extLst>
            </c:dLbl>
            <c:dLbl>
              <c:idx val="7"/>
              <c:layout>
                <c:manualLayout>
                  <c:x val="8.1706162015077188E-3"/>
                  <c:y val="-0.10383616224400349"/>
                </c:manualLayout>
              </c:layout>
              <c:spPr>
                <a:noFill/>
                <a:ln w="25402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87-4119-9690-6614E18161E6}"/>
                </c:ext>
              </c:extLst>
            </c:dLbl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Sheet1!$B$3:$I$3</c:f>
              <c:numCache>
                <c:formatCode>#,##0_);[Red]\(#,##0\)</c:formatCode>
                <c:ptCount val="8"/>
                <c:pt idx="0">
                  <c:v>2604</c:v>
                </c:pt>
                <c:pt idx="1">
                  <c:v>3190</c:v>
                </c:pt>
                <c:pt idx="2">
                  <c:v>3291</c:v>
                </c:pt>
                <c:pt idx="3">
                  <c:v>3708</c:v>
                </c:pt>
                <c:pt idx="4" formatCode="#,##0">
                  <c:v>4294</c:v>
                </c:pt>
                <c:pt idx="5" formatCode="General">
                  <c:v>4062</c:v>
                </c:pt>
                <c:pt idx="6" formatCode="#,##0">
                  <c:v>4053</c:v>
                </c:pt>
                <c:pt idx="7" formatCode="#,##0">
                  <c:v>4387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D87-4119-9690-6614E18161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820864"/>
        <c:axId val="1"/>
      </c:lineChart>
      <c:catAx>
        <c:axId val="171820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46557377049180326"/>
              <c:y val="0.8764044943820225"/>
            </c:manualLayout>
          </c:layout>
          <c:overlay val="0"/>
          <c:spPr>
            <a:noFill/>
            <a:ln w="254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العدد (ألف)</a:t>
                </a:r>
              </a:p>
            </c:rich>
          </c:tx>
          <c:layout>
            <c:manualLayout>
              <c:xMode val="edge"/>
              <c:yMode val="edge"/>
              <c:x val="9.8360655737704927E-3"/>
              <c:y val="0.29775280898876405"/>
            </c:manualLayout>
          </c:layout>
          <c:overlay val="0"/>
          <c:spPr>
            <a:noFill/>
            <a:ln w="254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1820864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layout>
        <c:manualLayout>
          <c:xMode val="edge"/>
          <c:yMode val="edge"/>
          <c:x val="0.18032786885245902"/>
          <c:y val="0"/>
          <c:w val="0.78360655737704921"/>
          <c:h val="0.14606741573033707"/>
        </c:manualLayout>
      </c:layout>
      <c:overlay val="0"/>
      <c:spPr>
        <a:noFill/>
        <a:ln w="25402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27874564459929"/>
          <c:y val="0.10047846889952153"/>
          <c:w val="0.84320557491289194"/>
          <c:h val="0.66028708133971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عدد مشتركي الانترنت فائق السرعة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2018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119</c:v>
                </c:pt>
                <c:pt idx="1">
                  <c:v>185</c:v>
                </c:pt>
                <c:pt idx="2">
                  <c:v>235</c:v>
                </c:pt>
                <c:pt idx="3">
                  <c:v>321</c:v>
                </c:pt>
                <c:pt idx="4">
                  <c:v>361</c:v>
                </c:pt>
                <c:pt idx="5">
                  <c:v>372</c:v>
                </c:pt>
                <c:pt idx="6">
                  <c:v>403</c:v>
                </c:pt>
                <c:pt idx="7">
                  <c:v>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4-49FD-A571-820FB68A3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239568"/>
        <c:axId val="1"/>
      </c:barChart>
      <c:catAx>
        <c:axId val="196239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السنة</a:t>
                </a:r>
              </a:p>
            </c:rich>
          </c:tx>
          <c:layout>
            <c:manualLayout>
              <c:xMode val="edge"/>
              <c:yMode val="edge"/>
              <c:x val="0.53658536585365857"/>
              <c:y val="0.885167464114832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العدد بالألف</a:t>
                </a:r>
              </a:p>
            </c:rich>
          </c:tx>
          <c:layout>
            <c:manualLayout>
              <c:xMode val="edge"/>
              <c:yMode val="edge"/>
              <c:x val="0"/>
              <c:y val="0.3157894736842105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6239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285714285714285"/>
          <c:y val="0.19523809523809524"/>
          <c:w val="0.86046511627906974"/>
          <c:h val="0.5809523809523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1.1634413319086434E-2"/>
                  <c:y val="-3.46862324027678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C3-4084-8DC2-5B0673ADF752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المبيعات من خلال الانترنت</c:v>
                </c:pt>
                <c:pt idx="1">
                  <c:v>المبيعات من خلال وسائل التواصل الاجتماعي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55.9</c:v>
                </c:pt>
                <c:pt idx="1">
                  <c:v>53.3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C3-4084-8DC2-5B0673ADF75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349005345708712E-3"/>
                  <c:y val="1.521839315540107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C3-4084-8DC2-5B0673ADF752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المبيعات من خلال الانترنت</c:v>
                </c:pt>
                <c:pt idx="1">
                  <c:v>المبيعات من خلال وسائل التواصل الاجتماعي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43.7</c:v>
                </c:pt>
                <c:pt idx="1">
                  <c:v>40.9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C3-4084-8DC2-5B0673ADF7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6393288"/>
        <c:axId val="1"/>
      </c:barChart>
      <c:catAx>
        <c:axId val="196393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  <c:layout>
            <c:manualLayout>
              <c:xMode val="edge"/>
              <c:yMode val="edge"/>
              <c:x val="0"/>
              <c:y val="0.41428571428571431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6393288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legend>
      <c:legendPos val="t"/>
      <c:layout>
        <c:manualLayout>
          <c:xMode val="edge"/>
          <c:yMode val="edge"/>
          <c:x val="0.2857142857142857"/>
          <c:y val="1.4285714285714285E-2"/>
          <c:w val="0.49169435215946844"/>
          <c:h val="0.104761904761904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C007-E084-4E98-BB26-C53F665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4</cp:revision>
  <cp:lastPrinted>2023-05-10T08:43:00Z</cp:lastPrinted>
  <dcterms:created xsi:type="dcterms:W3CDTF">2023-05-16T06:45:00Z</dcterms:created>
  <dcterms:modified xsi:type="dcterms:W3CDTF">2023-05-16T07:54:00Z</dcterms:modified>
</cp:coreProperties>
</file>