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CC" w:rsidRPr="003A33CC" w:rsidRDefault="003A33CC" w:rsidP="003A33CC">
      <w:pPr>
        <w:pStyle w:val="Title"/>
        <w:rPr>
          <w:rFonts w:ascii="Simplified Arabic" w:hAnsi="Simplified Arabic"/>
          <w:color w:val="000000" w:themeColor="text1"/>
          <w:sz w:val="32"/>
          <w:szCs w:val="32"/>
          <w:rtl/>
        </w:rPr>
      </w:pPr>
    </w:p>
    <w:p w:rsidR="00F1325B" w:rsidRPr="003A33CC" w:rsidRDefault="00F1325B" w:rsidP="003A33CC">
      <w:pPr>
        <w:pStyle w:val="Title"/>
        <w:rPr>
          <w:rFonts w:ascii="Simplified Arabic" w:hAnsi="Simplified Arabic"/>
          <w:color w:val="000000" w:themeColor="text1"/>
          <w:sz w:val="32"/>
          <w:szCs w:val="32"/>
          <w:rtl/>
        </w:rPr>
      </w:pPr>
      <w:r w:rsidRPr="003A33CC">
        <w:rPr>
          <w:rFonts w:ascii="Simplified Arabic" w:hAnsi="Simplified Arabic"/>
          <w:color w:val="000000" w:themeColor="text1"/>
          <w:sz w:val="32"/>
          <w:szCs w:val="32"/>
          <w:rtl/>
        </w:rPr>
        <w:t>الإحصا</w:t>
      </w:r>
      <w:r w:rsidR="00655530">
        <w:rPr>
          <w:rFonts w:ascii="Simplified Arabic" w:hAnsi="Simplified Arabic"/>
          <w:color w:val="000000" w:themeColor="text1"/>
          <w:sz w:val="32"/>
          <w:szCs w:val="32"/>
          <w:rtl/>
        </w:rPr>
        <w:t xml:space="preserve">ء الفلسطيني يصدر بياناً صحفياً </w:t>
      </w:r>
      <w:r w:rsidR="00655530">
        <w:rPr>
          <w:rFonts w:ascii="Simplified Arabic" w:hAnsi="Simplified Arabic" w:hint="cs"/>
          <w:color w:val="000000" w:themeColor="text1"/>
          <w:sz w:val="32"/>
          <w:szCs w:val="32"/>
          <w:rtl/>
        </w:rPr>
        <w:t>ب</w:t>
      </w:r>
      <w:r w:rsidRPr="003A33CC">
        <w:rPr>
          <w:rFonts w:ascii="Simplified Arabic" w:hAnsi="Simplified Arabic"/>
          <w:color w:val="000000" w:themeColor="text1"/>
          <w:sz w:val="32"/>
          <w:szCs w:val="32"/>
          <w:rtl/>
        </w:rPr>
        <w:t>مناسبة اليوم العالمي للإسكان ويوم الإسكان العربي بعنوان:</w:t>
      </w:r>
    </w:p>
    <w:p w:rsidR="00F1325B" w:rsidRPr="003A33CC" w:rsidRDefault="00F1325B" w:rsidP="00F1325B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shd w:val="clear" w:color="auto" w:fill="FFFFFF"/>
          <w:rtl/>
          <w:lang w:bidi="ar-JO"/>
        </w:rPr>
        <w:t>"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shd w:val="clear" w:color="auto" w:fill="FFFFFF"/>
          <w:rtl/>
        </w:rPr>
        <w:t>أنسنة المدن من دعائم الصحة النفسية لأفراد المجتمع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shd w:val="clear" w:color="auto" w:fill="FFFFFF"/>
          <w:rtl/>
          <w:lang w:bidi="ar-JO"/>
        </w:rPr>
        <w:t>"</w:t>
      </w:r>
    </w:p>
    <w:p w:rsidR="00934066" w:rsidRPr="003A33CC" w:rsidRDefault="00934066" w:rsidP="007B78A7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F1325B" w:rsidRPr="003A33CC" w:rsidRDefault="00F1325B" w:rsidP="003A33CC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يصادف يوم الاثنين الأول من شهر تشرين أول من كل عام 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اليوم العالمي للإسكان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وفق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توصيات الأمم المتحدة، 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ويوم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 xml:space="preserve"> 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الإسكان العربي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بناءً على قرار مجلس وزراء الإسكان والتعمير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العرب، 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اذ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أقر المجلس أن شعار يوم الاسكان العربي للعام 2023 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"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shd w:val="clear" w:color="auto" w:fill="FFFFFF"/>
          <w:rtl/>
        </w:rPr>
        <w:t>أنسنة المدن من دعائم الصحة النفسية لأفراد المجتمع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"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F1325B" w:rsidRPr="003A33CC" w:rsidRDefault="00F1325B" w:rsidP="00F1325B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F1325B" w:rsidRPr="003A33CC" w:rsidRDefault="00F1325B" w:rsidP="00744278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وفي </w:t>
      </w:r>
      <w:r w:rsidR="008B537E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ذه المناسبة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يستعرض الجهاز المركزي للإحصاء الفلسطيني أهم مؤشرات ظروف السكن في فلسطين ذات العلاقة بمؤشرات التنمية المستدامة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:rsidR="00806D87" w:rsidRPr="003A33CC" w:rsidRDefault="00806D87" w:rsidP="00806D87">
      <w:pPr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F1325B" w:rsidRPr="003A33CC" w:rsidRDefault="00F1325B" w:rsidP="00E966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عدد السكان المقدر منتصف عام 2023 في فلسطين</w:t>
      </w:r>
      <w:r w:rsidR="00CF5690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5.48 مليون نسمة</w:t>
      </w:r>
    </w:p>
    <w:p w:rsidR="00F1325B" w:rsidRPr="003A33CC" w:rsidRDefault="00F1325B" w:rsidP="003A33CC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تشير 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التقديرات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السكان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ية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أن عدد السكان المقدر منتصف عام 2023 في فلسطين بلغ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5.48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نسمة، 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منهم 78% يقيمون في تجمعات مصنفة كحضر، في حين بلغت نسبة المقيمين في تجمعات مصنفة كريف 14%، وبلغت نسبة السكان المقيمين في تجمعات مصنفة كمخيمات 8%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وبلغت الكثافة السكانية المقدرة منتصف العام 2023 910 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افراد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 كم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  <w:rtl/>
        </w:rPr>
        <w:t>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فلسطين</w:t>
      </w:r>
      <w:r w:rsidR="003A33C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(575 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فرد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 كم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  <w:rtl/>
        </w:rPr>
        <w:t>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A33CC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 الضفة الغربية مقابل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6,102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فرد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 كم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  <w:rtl/>
        </w:rPr>
        <w:t>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قطاع غزة).</w:t>
      </w:r>
    </w:p>
    <w:p w:rsidR="00013901" w:rsidRPr="003A33CC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F1325B" w:rsidRPr="003A33CC" w:rsidRDefault="00F1325B" w:rsidP="00744278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81% من الأسر في فلسطين تسكن مساكن </w:t>
      </w:r>
      <w:r w:rsidR="00744278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مملوكة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لأحد أفراد الأسرة المقيم فيها</w:t>
      </w:r>
    </w:p>
    <w:p w:rsidR="00F1325B" w:rsidRPr="003A33CC" w:rsidRDefault="00F1325B" w:rsidP="003361EF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81% من الأسر حيازة مسكنها </w:t>
      </w:r>
      <w:r w:rsidR="00680E6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مملوكة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لأحد أفراد الأسرة، وعلى مستوى المنطقة تتوزع هذه النسبة بواقع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87% في 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 الغربية</w:t>
      </w:r>
      <w:r w:rsidR="003361E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361E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و70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قطاع غزة في العام 2022.</w:t>
      </w:r>
    </w:p>
    <w:p w:rsidR="00806D87" w:rsidRPr="003A33CC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F1325B" w:rsidRPr="003A33CC" w:rsidRDefault="00F1325B" w:rsidP="00CF5690">
      <w:pPr>
        <w:tabs>
          <w:tab w:val="left" w:pos="9070"/>
          <w:tab w:val="right" w:pos="9212"/>
        </w:tabs>
        <w:spacing w:line="276" w:lineRule="auto"/>
        <w:ind w:left="-1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 بلغت نسبة الأسر التي تسكن مساكن مستأجرة في فلسطين 7% (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الغربية، مقابل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10% في قطاع غزة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)، في حين تبلغ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نسبة الأسر الفلسطينية التي تسكن مساكن دون مقابل </w:t>
      </w:r>
      <w:r w:rsidR="0074427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 مقابل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عمل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12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(7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الضفة الغربية، </w:t>
      </w:r>
      <w:r w:rsidR="00CF5690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               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مقابل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20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قطاع غزة)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وذلك خلال العام 2022.</w:t>
      </w:r>
    </w:p>
    <w:p w:rsidR="00F1325B" w:rsidRPr="003A33CC" w:rsidRDefault="00F1325B" w:rsidP="00F1325B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F1325B" w:rsidRPr="003A33CC" w:rsidRDefault="00F1325B" w:rsidP="00982EB5">
      <w:pPr>
        <w:jc w:val="both"/>
        <w:rPr>
          <w:rFonts w:ascii="Simplified Arabic" w:hAnsi="Simplified Arabic" w:cs="Simplified Arabic"/>
          <w:b/>
          <w:bCs/>
          <w:i/>
          <w:iCs/>
          <w:color w:val="000000" w:themeColor="text1"/>
          <w:sz w:val="28"/>
          <w:szCs w:val="28"/>
          <w:rtl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أكثر من نصف الأسر في فلسطين تعيش في </w:t>
      </w:r>
      <w:r w:rsidR="00982EB5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شقق سكنية</w:t>
      </w:r>
    </w:p>
    <w:p w:rsidR="00F1325B" w:rsidRPr="003A33CC" w:rsidRDefault="00530D7D" w:rsidP="003361EF">
      <w:pPr>
        <w:ind w:left="-1" w:firstLine="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إجمالي الأسر في فلسطين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التي 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تعيش في </w:t>
      </w:r>
      <w:r w:rsidR="00891B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شقق سكنية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54%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في حين أن</w:t>
      </w:r>
      <w:r w:rsidR="00BB481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43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الأسر تسكن في مساكن </w:t>
      </w:r>
      <w:r w:rsidR="002C3F4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="00891B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صنفة ك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دار، و</w:t>
      </w:r>
      <w:r w:rsidR="00983489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أقل من النصف بالمئة 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الأسر تسكن في فيلا، </w:t>
      </w:r>
      <w:r w:rsidR="003361E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و3</w:t>
      </w:r>
      <w:r w:rsidR="00983489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9107A0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الأسر تسكن في مساكن أخرى</w:t>
      </w:r>
      <w:r w:rsidR="001F166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ك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غرفة مستق</w:t>
      </w:r>
      <w:r w:rsidR="00983489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لة، أو خيمة، أو براكية،</w:t>
      </w:r>
      <w:r w:rsidR="00CF5690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    </w:t>
      </w:r>
      <w:r w:rsidR="00983489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أو أخرى</w:t>
      </w:r>
      <w:r w:rsidR="00F1325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العام 2022.</w:t>
      </w:r>
    </w:p>
    <w:p w:rsidR="00F1325B" w:rsidRDefault="00F1325B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Default="003A33CC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Default="003A33CC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Pr="003A33CC" w:rsidRDefault="003A33CC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7D1C05" w:rsidRPr="003A33CC" w:rsidRDefault="007D1C05" w:rsidP="007D1C05">
      <w:pPr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</w:pPr>
      <w:r w:rsidRPr="003A33CC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t>التوزيع النسبي للأسر في فلسطين حسب نوع المسكن، 2022</w:t>
      </w:r>
    </w:p>
    <w:p w:rsidR="00F1325B" w:rsidRPr="003A33CC" w:rsidRDefault="007D1C05" w:rsidP="003A33CC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noProof/>
          <w:sz w:val="26"/>
          <w:szCs w:val="26"/>
          <w:bdr w:val="single" w:sz="4" w:space="0" w:color="auto"/>
          <w:lang w:eastAsia="en-US"/>
        </w:rPr>
        <w:drawing>
          <wp:inline distT="0" distB="0" distL="0" distR="0" wp14:anchorId="4C39355A" wp14:editId="49C0A000">
            <wp:extent cx="3165475" cy="1579539"/>
            <wp:effectExtent l="0" t="0" r="0" b="0"/>
            <wp:docPr id="3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7329" w:rsidRPr="003A33CC" w:rsidRDefault="003A33CC" w:rsidP="00DE7329">
      <w:pPr>
        <w:ind w:left="198"/>
        <w:rPr>
          <w:rFonts w:ascii="Simplified Arabic" w:hAnsi="Simplified Arabic" w:cs="Simplified Arabic"/>
          <w:b/>
          <w:bCs/>
          <w:sz w:val="22"/>
          <w:szCs w:val="22"/>
          <w:lang w:eastAsia="en-US"/>
        </w:rPr>
      </w:pPr>
      <w:r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 xml:space="preserve">                                  </w:t>
      </w:r>
      <w:r w:rsidR="00DE7329" w:rsidRPr="003A33CC">
        <w:rPr>
          <w:rFonts w:ascii="Simplified Arabic" w:hAnsi="Simplified Arabic" w:cs="Simplified Arabic"/>
          <w:sz w:val="22"/>
          <w:szCs w:val="22"/>
          <w:rtl/>
          <w:lang w:eastAsia="en-US"/>
        </w:rPr>
        <w:t>* اخرى تشمل (غرفة مستقلة، خيمة، براكية).</w:t>
      </w:r>
    </w:p>
    <w:p w:rsidR="003918BB" w:rsidRPr="003A33CC" w:rsidRDefault="003918BB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3918BB" w:rsidRPr="003A33CC" w:rsidRDefault="00950EAC" w:rsidP="003918BB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بالمتوسط يقيم 1.5 </w:t>
      </w:r>
      <w:r w:rsidR="003918BB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فرد</w:t>
      </w:r>
      <w:r w:rsidR="00A75108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اً</w:t>
      </w:r>
      <w:r w:rsidR="003918BB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للغرفة الواحدة في مساكن فلسطين </w:t>
      </w:r>
    </w:p>
    <w:p w:rsidR="00CF5690" w:rsidRPr="003A33CC" w:rsidRDefault="003918BB" w:rsidP="00CF5690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بلغ متوسط كثافة السكن (عدد الأفراد في الغرفة) في فلسطين </w:t>
      </w:r>
      <w:r w:rsidR="00A551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1.5</w:t>
      </w:r>
      <w:r w:rsidR="00414D9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فرداً/ غرفة في العام 2022،</w:t>
      </w:r>
      <w:r w:rsidR="00A551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(بواقع 1.5 فرداً/ غرفة في الحضر والريف، </w:t>
      </w:r>
      <w:r w:rsidR="005902B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مقابل 1.8</w:t>
      </w:r>
      <w:r w:rsidR="00A551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فرداً/ غرفة في المخيمات)، </w:t>
      </w:r>
      <w:r w:rsidR="00A551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 متوسط كثافة السكن على مستوى المنطقة فبلغ</w:t>
      </w:r>
      <w:r w:rsidR="00414D9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551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1.4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فرداً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/ غرفة في الضفة الغربية</w:t>
      </w:r>
      <w:r w:rsidR="005902B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مقابل</w:t>
      </w:r>
      <w:r w:rsidR="00414D9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551A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1.7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فرداً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/ غرفة في قطاع غزة.  </w:t>
      </w:r>
    </w:p>
    <w:p w:rsidR="00CF5690" w:rsidRPr="003A33CC" w:rsidRDefault="00CF5690" w:rsidP="00CF5690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FD243B" w:rsidRPr="003A33CC" w:rsidRDefault="006465F4" w:rsidP="00E966BA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5</w:t>
      </w:r>
      <w:r w:rsidR="00FD243B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% من أسر الضفة الغربية تعيش في مساكن مكتظة مقابل</w:t>
      </w:r>
      <w:r w:rsidRPr="003A33CC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9</w:t>
      </w:r>
      <w:r w:rsidR="00FD243B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% في قطاع غزة</w:t>
      </w:r>
    </w:p>
    <w:p w:rsidR="00FD243B" w:rsidRPr="003A33CC" w:rsidRDefault="006465F4" w:rsidP="0067634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الأسر في فلسطين تسكن في وحدات سكنية ذات كثافة سكنية عالية </w:t>
      </w:r>
      <w:r w:rsidR="009A27C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(3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أفراد فأكثر للغرفة الواحدة</w:t>
      </w:r>
      <w:r w:rsidR="009A27C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(بواقع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5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مقابل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9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قطاع غزة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وعلى مستوى نوع التجمع تبلغ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6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</w:t>
      </w:r>
      <w:r w:rsidR="00852DF1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الحضر و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الريف وترتفع إلى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9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المخيمات</w:t>
      </w:r>
      <w:r w:rsidR="00CF5690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     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العام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2022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FD243B" w:rsidRPr="003A33CC" w:rsidRDefault="00FD243B" w:rsidP="00FD243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  <w:lang w:eastAsia="ar-SA"/>
        </w:rPr>
      </w:pPr>
    </w:p>
    <w:p w:rsidR="00FD243B" w:rsidRPr="003A33CC" w:rsidRDefault="009A27C4" w:rsidP="009F7B3E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كما تجدر الاشارة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إلى أن متوسط عدد الغرف في المسكن بلغ</w:t>
      </w:r>
      <w:r w:rsidR="006465F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7B3E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3.5</w:t>
      </w:r>
      <w:r w:rsidR="006465F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937D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غرف</w:t>
      </w:r>
      <w:r w:rsidR="005F0C8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="00360A51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عام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2022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فلسطين، وبلغ المتوسط</w:t>
      </w:r>
      <w:r w:rsidR="006465F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7B3E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3.5</w:t>
      </w:r>
      <w:r w:rsidR="001937D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غرف</w:t>
      </w:r>
      <w:r w:rsidR="005F0C8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الحضر</w:t>
      </w:r>
      <w:r w:rsidR="006465F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7B3E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و3.6 غرف</w:t>
      </w:r>
      <w:r w:rsidR="005F0C8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="009C099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7B3E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 الريف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مقابل</w:t>
      </w:r>
      <w:r w:rsidR="006465F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7B3E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3.2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غرف</w:t>
      </w:r>
      <w:r w:rsidR="005F0C8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="009C099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 المخيمات، وبلغ متوسط عدد الغرف في المسكن في كل من الضفة الغربية وقطاع غزة</w:t>
      </w:r>
      <w:r w:rsidR="006465F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F7B3E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3.5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غرف</w:t>
      </w:r>
      <w:r w:rsidR="005F0C8F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وذلك خلال العام 2022</w:t>
      </w:r>
      <w:r w:rsidR="00FD243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  </w:t>
      </w:r>
    </w:p>
    <w:p w:rsidR="00FD243B" w:rsidRPr="003A33CC" w:rsidRDefault="00FD243B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7E63C5" w:rsidRPr="003A33CC" w:rsidRDefault="007E63C5" w:rsidP="001040C2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4% </w:t>
      </w:r>
      <w:r w:rsidR="001040C2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فقط 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من </w:t>
      </w:r>
      <w:r w:rsidR="001040C2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سكان</w:t>
      </w: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قطاع غزة لديهم وصول الى مياه مدارة بشكل آمن وخالية من التلوث</w:t>
      </w:r>
    </w:p>
    <w:p w:rsidR="007E63C5" w:rsidRPr="003A33CC" w:rsidRDefault="005902B5" w:rsidP="00DE282B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وحول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70A4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مصادر المياه المدارة بشكل آمن (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تعرف على انها المصادر المحسنة، </w:t>
      </w:r>
      <w:r w:rsidR="0015122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مستخدمة في المسكن، </w:t>
      </w:r>
      <w:r w:rsidR="0015122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متوفرة عند الحاجة و</w:t>
      </w:r>
      <w:r w:rsidR="0015122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خالية من التلوث (خالية من بكتيريا 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E-Coli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="00151225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(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فتشير البيانات الى ان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40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السكان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فلسطين يحصلون ع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لى مياه مدارة بشكل آمن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(بواقع 66% في الضفة الغربية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مقابل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4% 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 قطاع غزة</w:t>
      </w:r>
      <w:r w:rsidR="00530D7D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9C099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وبلغت هذه النسبة حسب نوع التجمع 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36% في الحضر </w:t>
      </w:r>
      <w:r w:rsidR="00DE282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67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الريف 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وانخفضت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هذه النسبة إلى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25% من 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السكان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المخيمات</w:t>
      </w:r>
      <w:r w:rsidR="001937D8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العام 2020</w:t>
      </w:r>
      <w:r w:rsidR="007E63C5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FD243B" w:rsidRDefault="00FD243B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Default="003A33CC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Default="003A33CC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Default="003A33CC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Pr="003A33CC" w:rsidRDefault="003A33CC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ED5EB3" w:rsidRPr="003A33CC" w:rsidRDefault="001040C2" w:rsidP="00ED5EB3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59</w:t>
      </w:r>
      <w:r w:rsidR="00ED5EB3" w:rsidRPr="003A33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% من الأسر الفلسطينية تقيم في مساكن متصلة بشبكة صرف صحي</w:t>
      </w:r>
    </w:p>
    <w:p w:rsidR="00ED5EB3" w:rsidRPr="003A33CC" w:rsidRDefault="00530D7D" w:rsidP="00DE282B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28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الأسر الفلسطينية في العام 2020 تقيم في مساكن 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متصلة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بحفر امتصاصية </w:t>
      </w:r>
      <w:r w:rsidR="00DE282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12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الأسر تعتمد الحفر الصماء للتخلص من المياه العادمة، في حين أن شبكة الصرف الصحي متوفرة لدى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59% من الأسر الفلسطينية، </w:t>
      </w:r>
      <w:r w:rsidR="00DE282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الأسر تستخدم طرق أخرى للصرف الصحي، وبلغت هذه النسبة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96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المخيمات و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64% في الحضر </w:t>
      </w:r>
      <w:r w:rsidR="00DE282B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1040C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الريف على التوالي.</w:t>
      </w:r>
    </w:p>
    <w:p w:rsidR="00ED5EB3" w:rsidRPr="003A33CC" w:rsidRDefault="00ED5EB3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ED5EB3" w:rsidRPr="003A33CC" w:rsidRDefault="009C0998" w:rsidP="00ED5EB3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معظم المساكن في فلسطين لديها وسائل صرف صحي محسن</w:t>
      </w:r>
    </w:p>
    <w:p w:rsidR="00ED5EB3" w:rsidRPr="003A33CC" w:rsidRDefault="000F20D2" w:rsidP="00BA0A5D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99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الأسر الفلسطينية في العام 2020 لديها صرف صحي محسن يشمل (مرحاض متصل بشبكة مجاري عامة، أو مرحاض متصل بحفرة امتصاصية، أو مرحاض متصل بحفرة صماء)، وعلى مستوى نوع التجمع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99% من الأسر التي تقيم في الحضر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والمخيمات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لديها صرف صحي محسن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مقابل 97</w:t>
      </w:r>
      <w:r w:rsidR="00ED5EB3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الريف.</w:t>
      </w:r>
    </w:p>
    <w:p w:rsidR="00ED5EB3" w:rsidRPr="003A33CC" w:rsidRDefault="00ED5EB3" w:rsidP="00ED5EB3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ED5EB3" w:rsidRPr="003A33CC" w:rsidRDefault="000F20D2" w:rsidP="00ED5EB3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ارتفاع</w:t>
      </w:r>
      <w:r w:rsidR="00ED5EB3" w:rsidRPr="003A33C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في عدد الوحدات السكنية المرخصة للعام 2022 مقارنه مع السنوات السابقة</w:t>
      </w:r>
    </w:p>
    <w:p w:rsidR="00ED5EB3" w:rsidRPr="003A33CC" w:rsidRDefault="00ED5EB3" w:rsidP="00912AD1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بلغ عدد الوحدات السكنية المرخصة في فلسطين (الجديدة والقائمة)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23,148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وحدة سكنية</w:t>
      </w:r>
      <w:r w:rsidR="00F93BE6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مرخصة، بمتوسط مساحة</w:t>
      </w:r>
      <w:r w:rsidR="00F93BE6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0F20D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167</w:t>
      </w:r>
      <w:r w:rsidR="00912AD1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.3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حيث تتوزع بواقع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21,447 </w:t>
      </w:r>
      <w:r w:rsidR="00BF00E2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وحدة سكنية مرخصة في الضفة الغربية بمتوسط مساحة 167</w:t>
      </w:r>
      <w:r w:rsidR="00912AD1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.0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  <w:rtl/>
        </w:rPr>
        <w:t>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وفي قطاع غزة 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1,701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وحدة سكنية مرخصة بمتوسط مساحة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>171</w:t>
      </w:r>
      <w:r w:rsidR="00912AD1" w:rsidRPr="003A33CC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.0 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vertAlign w:val="superscript"/>
        </w:rPr>
        <w:t>2</w:t>
      </w:r>
      <w:r w:rsidR="00F93BE6"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وذلك حسب السجلات الإدارية لإحصاءات رخص الأبنية للعام 2022</w:t>
      </w:r>
      <w:r w:rsidRPr="003A33CC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CD2233" w:rsidRDefault="00CD223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A33CC" w:rsidRPr="003A33CC" w:rsidRDefault="003A33C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F5DAD" w:rsidRPr="003A33CC" w:rsidRDefault="00E9706A" w:rsidP="00E9706A">
      <w:pPr>
        <w:jc w:val="center"/>
        <w:rPr>
          <w:rFonts w:ascii="Simplified Arabic" w:hAnsi="Simplified Arabic" w:cs="Simplified Arabic"/>
          <w:sz w:val="26"/>
          <w:szCs w:val="26"/>
          <w:rtl/>
        </w:rPr>
        <w:sectPr w:rsidR="00AF5DAD" w:rsidRPr="003A33CC" w:rsidSect="003A33CC">
          <w:headerReference w:type="default" r:id="rId9"/>
          <w:footerReference w:type="default" r:id="rId10"/>
          <w:type w:val="continuous"/>
          <w:pgSz w:w="12240" w:h="15840"/>
          <w:pgMar w:top="709" w:right="851" w:bottom="851" w:left="851" w:header="142" w:footer="510" w:gutter="0"/>
          <w:cols w:space="567"/>
          <w:bidi/>
          <w:rtlGutter/>
          <w:docGrid w:linePitch="360"/>
        </w:sectPr>
      </w:pPr>
      <w:r w:rsidRPr="003A33CC">
        <w:rPr>
          <w:rFonts w:asciiTheme="majorBidi" w:hAnsiTheme="majorBidi" w:cstheme="majorBidi"/>
          <w:noProof/>
          <w:sz w:val="22"/>
          <w:szCs w:val="22"/>
          <w:rtl/>
          <w:lang w:eastAsia="en-US"/>
        </w:rPr>
        <w:drawing>
          <wp:inline distT="0" distB="0" distL="0" distR="0" wp14:anchorId="066299F1" wp14:editId="0FB8656E">
            <wp:extent cx="949486" cy="11779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12" cy="12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E8A" w:rsidRPr="003A33CC" w:rsidRDefault="00BF1E8A" w:rsidP="00CF5690">
      <w:pPr>
        <w:jc w:val="both"/>
        <w:rPr>
          <w:rFonts w:ascii="Simplified Arabic" w:hAnsi="Simplified Arabic" w:cs="Simplified Arabic"/>
          <w:sz w:val="26"/>
          <w:szCs w:val="26"/>
        </w:rPr>
      </w:pPr>
    </w:p>
    <w:sectPr w:rsidR="00BF1E8A" w:rsidRPr="003A33CC" w:rsidSect="00CF5690">
      <w:type w:val="continuous"/>
      <w:pgSz w:w="12240" w:h="15840"/>
      <w:pgMar w:top="851" w:right="851" w:bottom="851" w:left="851" w:header="357" w:footer="469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F" w:rsidRDefault="00F505DF">
      <w:r>
        <w:separator/>
      </w:r>
    </w:p>
  </w:endnote>
  <w:endnote w:type="continuationSeparator" w:id="0">
    <w:p w:rsidR="00F505DF" w:rsidRDefault="00F5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93417566"/>
      <w:docPartObj>
        <w:docPartGallery w:val="Page Numbers (Bottom of Page)"/>
        <w:docPartUnique/>
      </w:docPartObj>
    </w:sdtPr>
    <w:sdtEndPr/>
    <w:sdtContent>
      <w:p w:rsidR="007E63C5" w:rsidRDefault="007E63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06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E63C5" w:rsidRDefault="007E6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F" w:rsidRDefault="00F505DF">
      <w:r>
        <w:separator/>
      </w:r>
    </w:p>
  </w:footnote>
  <w:footnote w:type="continuationSeparator" w:id="0">
    <w:p w:rsidR="00F505DF" w:rsidRDefault="00F5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5D96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5602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0F20D2"/>
    <w:rsid w:val="001040C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51225"/>
    <w:rsid w:val="00152B66"/>
    <w:rsid w:val="00154469"/>
    <w:rsid w:val="00163D8E"/>
    <w:rsid w:val="00185362"/>
    <w:rsid w:val="001866E1"/>
    <w:rsid w:val="00190CF2"/>
    <w:rsid w:val="001937D8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1F1664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C3F4B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361EF"/>
    <w:rsid w:val="003429CF"/>
    <w:rsid w:val="00344E0F"/>
    <w:rsid w:val="00352D89"/>
    <w:rsid w:val="00356D2A"/>
    <w:rsid w:val="00360A51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18BB"/>
    <w:rsid w:val="00394D03"/>
    <w:rsid w:val="003A33CC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14D98"/>
    <w:rsid w:val="00427743"/>
    <w:rsid w:val="00427BE1"/>
    <w:rsid w:val="004320EE"/>
    <w:rsid w:val="004341F0"/>
    <w:rsid w:val="00436C6A"/>
    <w:rsid w:val="004445DA"/>
    <w:rsid w:val="00446292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2433"/>
    <w:rsid w:val="00526999"/>
    <w:rsid w:val="00527A94"/>
    <w:rsid w:val="00530D7D"/>
    <w:rsid w:val="005314B0"/>
    <w:rsid w:val="0053570E"/>
    <w:rsid w:val="00541470"/>
    <w:rsid w:val="005446EE"/>
    <w:rsid w:val="00546C26"/>
    <w:rsid w:val="00547072"/>
    <w:rsid w:val="00551887"/>
    <w:rsid w:val="00555D4F"/>
    <w:rsid w:val="00556309"/>
    <w:rsid w:val="00567374"/>
    <w:rsid w:val="005722DD"/>
    <w:rsid w:val="0057564E"/>
    <w:rsid w:val="00585999"/>
    <w:rsid w:val="00586434"/>
    <w:rsid w:val="00590171"/>
    <w:rsid w:val="005902B5"/>
    <w:rsid w:val="00590AB2"/>
    <w:rsid w:val="00591012"/>
    <w:rsid w:val="005959C7"/>
    <w:rsid w:val="005967F9"/>
    <w:rsid w:val="005A1D8D"/>
    <w:rsid w:val="005A3536"/>
    <w:rsid w:val="005B2767"/>
    <w:rsid w:val="005C068A"/>
    <w:rsid w:val="005D6CA1"/>
    <w:rsid w:val="005E2696"/>
    <w:rsid w:val="005E2A37"/>
    <w:rsid w:val="005E7C92"/>
    <w:rsid w:val="005F0C8F"/>
    <w:rsid w:val="005F29A5"/>
    <w:rsid w:val="006038F4"/>
    <w:rsid w:val="00607394"/>
    <w:rsid w:val="006074CB"/>
    <w:rsid w:val="006134E1"/>
    <w:rsid w:val="00613FB8"/>
    <w:rsid w:val="006160EF"/>
    <w:rsid w:val="006171FD"/>
    <w:rsid w:val="006201CC"/>
    <w:rsid w:val="00633996"/>
    <w:rsid w:val="00634439"/>
    <w:rsid w:val="00635F0D"/>
    <w:rsid w:val="006375EF"/>
    <w:rsid w:val="00641A72"/>
    <w:rsid w:val="006431F1"/>
    <w:rsid w:val="006444C4"/>
    <w:rsid w:val="00644839"/>
    <w:rsid w:val="006465F4"/>
    <w:rsid w:val="006528F1"/>
    <w:rsid w:val="006541CD"/>
    <w:rsid w:val="00655530"/>
    <w:rsid w:val="00666A55"/>
    <w:rsid w:val="00667077"/>
    <w:rsid w:val="0067406B"/>
    <w:rsid w:val="0067593C"/>
    <w:rsid w:val="00675CF0"/>
    <w:rsid w:val="0067634F"/>
    <w:rsid w:val="006774C7"/>
    <w:rsid w:val="00680E62"/>
    <w:rsid w:val="00683B5E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20"/>
    <w:rsid w:val="006F1ED6"/>
    <w:rsid w:val="006F31D8"/>
    <w:rsid w:val="006F413B"/>
    <w:rsid w:val="00701498"/>
    <w:rsid w:val="00704E31"/>
    <w:rsid w:val="007050B6"/>
    <w:rsid w:val="0070641A"/>
    <w:rsid w:val="00710901"/>
    <w:rsid w:val="00711B23"/>
    <w:rsid w:val="00711D5E"/>
    <w:rsid w:val="00716834"/>
    <w:rsid w:val="00724FB0"/>
    <w:rsid w:val="007316D4"/>
    <w:rsid w:val="007317C5"/>
    <w:rsid w:val="00731947"/>
    <w:rsid w:val="00733834"/>
    <w:rsid w:val="007369FD"/>
    <w:rsid w:val="00744278"/>
    <w:rsid w:val="00750586"/>
    <w:rsid w:val="00751F0A"/>
    <w:rsid w:val="00752CB3"/>
    <w:rsid w:val="00755D4A"/>
    <w:rsid w:val="00760452"/>
    <w:rsid w:val="00760F68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1C05"/>
    <w:rsid w:val="007D65CD"/>
    <w:rsid w:val="007E31A0"/>
    <w:rsid w:val="007E5BA5"/>
    <w:rsid w:val="007E63C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2DF1"/>
    <w:rsid w:val="00857339"/>
    <w:rsid w:val="008625FD"/>
    <w:rsid w:val="00865423"/>
    <w:rsid w:val="00880B06"/>
    <w:rsid w:val="00880F4C"/>
    <w:rsid w:val="00881721"/>
    <w:rsid w:val="008817A1"/>
    <w:rsid w:val="00885E6F"/>
    <w:rsid w:val="00891BA2"/>
    <w:rsid w:val="00895368"/>
    <w:rsid w:val="008A144A"/>
    <w:rsid w:val="008A4A20"/>
    <w:rsid w:val="008A763D"/>
    <w:rsid w:val="008B36AE"/>
    <w:rsid w:val="008B41B3"/>
    <w:rsid w:val="008B537E"/>
    <w:rsid w:val="008B5D3D"/>
    <w:rsid w:val="008C2CD2"/>
    <w:rsid w:val="008C51FB"/>
    <w:rsid w:val="008D70A4"/>
    <w:rsid w:val="008E0709"/>
    <w:rsid w:val="008E2DA0"/>
    <w:rsid w:val="008F05BF"/>
    <w:rsid w:val="008F1D57"/>
    <w:rsid w:val="008F3BEA"/>
    <w:rsid w:val="00906A12"/>
    <w:rsid w:val="009107A0"/>
    <w:rsid w:val="00910DDE"/>
    <w:rsid w:val="00911678"/>
    <w:rsid w:val="00912AD1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0EAC"/>
    <w:rsid w:val="0095270C"/>
    <w:rsid w:val="00954A53"/>
    <w:rsid w:val="00960804"/>
    <w:rsid w:val="00971594"/>
    <w:rsid w:val="009755A4"/>
    <w:rsid w:val="0097757E"/>
    <w:rsid w:val="00982EB5"/>
    <w:rsid w:val="00983403"/>
    <w:rsid w:val="00983489"/>
    <w:rsid w:val="00983E2D"/>
    <w:rsid w:val="0098687B"/>
    <w:rsid w:val="00986B9D"/>
    <w:rsid w:val="009874E5"/>
    <w:rsid w:val="00990503"/>
    <w:rsid w:val="009935FE"/>
    <w:rsid w:val="0099558D"/>
    <w:rsid w:val="009A270F"/>
    <w:rsid w:val="009A27C4"/>
    <w:rsid w:val="009A7431"/>
    <w:rsid w:val="009C0762"/>
    <w:rsid w:val="009C0998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9F7B3E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1A2"/>
    <w:rsid w:val="00A55278"/>
    <w:rsid w:val="00A555C6"/>
    <w:rsid w:val="00A57955"/>
    <w:rsid w:val="00A70367"/>
    <w:rsid w:val="00A716F2"/>
    <w:rsid w:val="00A75108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AF5DAD"/>
    <w:rsid w:val="00B02B01"/>
    <w:rsid w:val="00B05A70"/>
    <w:rsid w:val="00B11566"/>
    <w:rsid w:val="00B141D7"/>
    <w:rsid w:val="00B14DE8"/>
    <w:rsid w:val="00B150C2"/>
    <w:rsid w:val="00B15C34"/>
    <w:rsid w:val="00B16F81"/>
    <w:rsid w:val="00B32C65"/>
    <w:rsid w:val="00B418FF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679D"/>
    <w:rsid w:val="00BA0A5D"/>
    <w:rsid w:val="00BA3F65"/>
    <w:rsid w:val="00BA6832"/>
    <w:rsid w:val="00BA7639"/>
    <w:rsid w:val="00BB4814"/>
    <w:rsid w:val="00BC1660"/>
    <w:rsid w:val="00BC39DB"/>
    <w:rsid w:val="00BC7968"/>
    <w:rsid w:val="00BD0648"/>
    <w:rsid w:val="00BD1250"/>
    <w:rsid w:val="00BE4A49"/>
    <w:rsid w:val="00BE5534"/>
    <w:rsid w:val="00BF00E2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69C0"/>
    <w:rsid w:val="00C40A47"/>
    <w:rsid w:val="00C45811"/>
    <w:rsid w:val="00C470F6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95A8F"/>
    <w:rsid w:val="00CA271F"/>
    <w:rsid w:val="00CA30E8"/>
    <w:rsid w:val="00CC2D43"/>
    <w:rsid w:val="00CC4C99"/>
    <w:rsid w:val="00CC4D5C"/>
    <w:rsid w:val="00CD053B"/>
    <w:rsid w:val="00CD2233"/>
    <w:rsid w:val="00CD5B50"/>
    <w:rsid w:val="00CE2379"/>
    <w:rsid w:val="00CE54EC"/>
    <w:rsid w:val="00CF5690"/>
    <w:rsid w:val="00CF7275"/>
    <w:rsid w:val="00D016D3"/>
    <w:rsid w:val="00D042EB"/>
    <w:rsid w:val="00D04DB1"/>
    <w:rsid w:val="00D07A16"/>
    <w:rsid w:val="00D132EE"/>
    <w:rsid w:val="00D22023"/>
    <w:rsid w:val="00D22654"/>
    <w:rsid w:val="00D228DC"/>
    <w:rsid w:val="00D53C5E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B44F5"/>
    <w:rsid w:val="00DC04AE"/>
    <w:rsid w:val="00DC0D9E"/>
    <w:rsid w:val="00DC2990"/>
    <w:rsid w:val="00DC49F2"/>
    <w:rsid w:val="00DD294E"/>
    <w:rsid w:val="00DD4B79"/>
    <w:rsid w:val="00DD509B"/>
    <w:rsid w:val="00DE282B"/>
    <w:rsid w:val="00DE7329"/>
    <w:rsid w:val="00DF602B"/>
    <w:rsid w:val="00DF710E"/>
    <w:rsid w:val="00DF73BB"/>
    <w:rsid w:val="00E0516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5BE5"/>
    <w:rsid w:val="00E460CE"/>
    <w:rsid w:val="00E74226"/>
    <w:rsid w:val="00E74502"/>
    <w:rsid w:val="00E77864"/>
    <w:rsid w:val="00E81941"/>
    <w:rsid w:val="00E84A55"/>
    <w:rsid w:val="00E84DDC"/>
    <w:rsid w:val="00E906E7"/>
    <w:rsid w:val="00E9240D"/>
    <w:rsid w:val="00E966BA"/>
    <w:rsid w:val="00E9706A"/>
    <w:rsid w:val="00EA1124"/>
    <w:rsid w:val="00EA1BFE"/>
    <w:rsid w:val="00EA2616"/>
    <w:rsid w:val="00EA2D7E"/>
    <w:rsid w:val="00EB390C"/>
    <w:rsid w:val="00EB7CFD"/>
    <w:rsid w:val="00EC6E04"/>
    <w:rsid w:val="00ED2DED"/>
    <w:rsid w:val="00ED5EB3"/>
    <w:rsid w:val="00EE47A2"/>
    <w:rsid w:val="00EE4950"/>
    <w:rsid w:val="00EF1E7B"/>
    <w:rsid w:val="00EF4E3A"/>
    <w:rsid w:val="00EF5411"/>
    <w:rsid w:val="00F01229"/>
    <w:rsid w:val="00F015D6"/>
    <w:rsid w:val="00F01AC3"/>
    <w:rsid w:val="00F04270"/>
    <w:rsid w:val="00F07D88"/>
    <w:rsid w:val="00F1325B"/>
    <w:rsid w:val="00F152D9"/>
    <w:rsid w:val="00F1623F"/>
    <w:rsid w:val="00F1671B"/>
    <w:rsid w:val="00F21C6E"/>
    <w:rsid w:val="00F21F40"/>
    <w:rsid w:val="00F33757"/>
    <w:rsid w:val="00F339CA"/>
    <w:rsid w:val="00F3411A"/>
    <w:rsid w:val="00F37765"/>
    <w:rsid w:val="00F43803"/>
    <w:rsid w:val="00F505DF"/>
    <w:rsid w:val="00F5332A"/>
    <w:rsid w:val="00F53FE3"/>
    <w:rsid w:val="00F64981"/>
    <w:rsid w:val="00F752E8"/>
    <w:rsid w:val="00F76D91"/>
    <w:rsid w:val="00F8128C"/>
    <w:rsid w:val="00F819CF"/>
    <w:rsid w:val="00F83A0B"/>
    <w:rsid w:val="00F8578A"/>
    <w:rsid w:val="00F93BE6"/>
    <w:rsid w:val="00FA2D6D"/>
    <w:rsid w:val="00FA4336"/>
    <w:rsid w:val="00FA6550"/>
    <w:rsid w:val="00FA6B5F"/>
    <w:rsid w:val="00FB2E06"/>
    <w:rsid w:val="00FB44B5"/>
    <w:rsid w:val="00FB466E"/>
    <w:rsid w:val="00FC0213"/>
    <w:rsid w:val="00FC52D4"/>
    <w:rsid w:val="00FC590A"/>
    <w:rsid w:val="00FD0174"/>
    <w:rsid w:val="00FD17AC"/>
    <w:rsid w:val="00FD243B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17ED40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  <w:style w:type="paragraph" w:styleId="Title">
    <w:name w:val="Title"/>
    <w:basedOn w:val="Normal"/>
    <w:link w:val="TitleChar"/>
    <w:uiPriority w:val="99"/>
    <w:qFormat/>
    <w:rsid w:val="00F1325B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F1325B"/>
    <w:rPr>
      <w:rFonts w:cs="Simplified Arabic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918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63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01726439159997"/>
          <c:y val="0.14184824761106338"/>
          <c:w val="0.88041605130351686"/>
          <c:h val="0.604640071887730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46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Sheet1!$A$1:$D$1</c:f>
              <c:strCache>
                <c:ptCount val="4"/>
                <c:pt idx="0">
                  <c:v>فيلا
 </c:v>
                </c:pt>
                <c:pt idx="1">
                  <c:v>دار
</c:v>
                </c:pt>
                <c:pt idx="2">
                  <c:v>شقة
</c:v>
                </c:pt>
                <c:pt idx="3">
                  <c:v>أخرى*
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0.4</c:v>
                </c:pt>
                <c:pt idx="1">
                  <c:v>42.9</c:v>
                </c:pt>
                <c:pt idx="2" formatCode="0.0">
                  <c:v>53.6</c:v>
                </c:pt>
                <c:pt idx="3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7-4082-A0CB-A9BF1827CD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808064"/>
        <c:axId val="128809600"/>
      </c:barChart>
      <c:catAx>
        <c:axId val="12880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880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8096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8808064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39F2-0AEE-417A-82C6-116DD55D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5</cp:revision>
  <cp:lastPrinted>2023-09-26T08:05:00Z</cp:lastPrinted>
  <dcterms:created xsi:type="dcterms:W3CDTF">2023-09-26T08:06:00Z</dcterms:created>
  <dcterms:modified xsi:type="dcterms:W3CDTF">2023-09-26T08:45:00Z</dcterms:modified>
</cp:coreProperties>
</file>