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C80" w:rsidRDefault="00874C80" w:rsidP="00874C80">
      <w:pPr>
        <w:jc w:val="center"/>
        <w:rPr>
          <w:rFonts w:cs="Simplified Arabic"/>
          <w:b/>
          <w:bCs/>
          <w:sz w:val="28"/>
          <w:szCs w:val="28"/>
          <w:rtl/>
        </w:rPr>
      </w:pPr>
    </w:p>
    <w:p w:rsidR="00874C80" w:rsidRPr="00C05E29" w:rsidRDefault="00874C80" w:rsidP="00874C80">
      <w:pPr>
        <w:jc w:val="center"/>
        <w:rPr>
          <w:rFonts w:cs="Simplified Arabic"/>
          <w:b/>
          <w:bCs/>
          <w:sz w:val="16"/>
          <w:szCs w:val="16"/>
          <w:rtl/>
        </w:rPr>
      </w:pPr>
    </w:p>
    <w:p w:rsidR="00874C80" w:rsidRDefault="00874C80" w:rsidP="00874C80">
      <w:pPr>
        <w:jc w:val="center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C05E29">
        <w:rPr>
          <w:rFonts w:cs="Simplified Arabic" w:hint="cs"/>
          <w:b/>
          <w:bCs/>
          <w:sz w:val="32"/>
          <w:szCs w:val="32"/>
          <w:rtl/>
        </w:rPr>
        <w:t xml:space="preserve">الإحصاء الفلسطيني يعلن النتائج الأولية للتجارة الخارجية المرصودة* للسلع لشهر </w:t>
      </w:r>
      <w:r w:rsidRPr="00C05E29">
        <w:rPr>
          <w:rFonts w:cs="Simplified Arabic" w:hint="cs"/>
          <w:b/>
          <w:bCs/>
          <w:sz w:val="32"/>
          <w:szCs w:val="32"/>
          <w:rtl/>
          <w:lang w:bidi="ar-AE"/>
        </w:rPr>
        <w:t>شباط</w:t>
      </w:r>
      <w:r w:rsidRPr="00C05E29">
        <w:rPr>
          <w:rFonts w:cs="Simplified Arabic" w:hint="cs"/>
          <w:b/>
          <w:bCs/>
          <w:sz w:val="32"/>
          <w:szCs w:val="32"/>
          <w:rtl/>
        </w:rPr>
        <w:t xml:space="preserve">، </w:t>
      </w:r>
      <w:r w:rsidRPr="00C05E29">
        <w:rPr>
          <w:rFonts w:asciiTheme="majorBidi" w:hAnsiTheme="majorBidi" w:cstheme="majorBidi"/>
          <w:b/>
          <w:bCs/>
          <w:sz w:val="32"/>
          <w:szCs w:val="32"/>
          <w:rtl/>
        </w:rPr>
        <w:t>02/2016</w:t>
      </w:r>
    </w:p>
    <w:p w:rsidR="00874C80" w:rsidRPr="00C05E29" w:rsidRDefault="00874C80" w:rsidP="00874C80">
      <w:pPr>
        <w:rPr>
          <w:rFonts w:ascii="Arial" w:hAnsi="Arial"/>
          <w:b/>
          <w:bCs/>
          <w:color w:val="000000"/>
          <w:sz w:val="16"/>
          <w:szCs w:val="16"/>
          <w:rtl/>
        </w:rPr>
      </w:pPr>
    </w:p>
    <w:p w:rsidR="00874C80" w:rsidRPr="00C05E29" w:rsidRDefault="00874C80" w:rsidP="00874C80">
      <w:pPr>
        <w:spacing w:after="0"/>
        <w:rPr>
          <w:rFonts w:cs="Simplified Arabic"/>
          <w:b/>
          <w:bCs/>
          <w:sz w:val="26"/>
          <w:szCs w:val="26"/>
          <w:rtl/>
          <w:lang w:bidi="ar-JO"/>
        </w:rPr>
      </w:pPr>
      <w:r w:rsidRPr="00C05E29">
        <w:rPr>
          <w:rFonts w:cs="Simplified Arabic" w:hint="cs"/>
          <w:b/>
          <w:bCs/>
          <w:sz w:val="26"/>
          <w:szCs w:val="26"/>
          <w:rtl/>
        </w:rPr>
        <w:t>الصادرات:</w:t>
      </w:r>
    </w:p>
    <w:p w:rsidR="00874C80" w:rsidRDefault="00874C80" w:rsidP="00874C80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  <w:lang w:bidi="ar-AE"/>
        </w:rPr>
        <w:t xml:space="preserve">ارتفعت </w:t>
      </w:r>
      <w:r>
        <w:rPr>
          <w:rFonts w:cs="Simplified Arabic" w:hint="cs"/>
          <w:sz w:val="24"/>
          <w:szCs w:val="24"/>
          <w:rtl/>
        </w:rPr>
        <w:t xml:space="preserve">الصادرات الفلسطينية خلال شهر شباط من عام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2016 </w:t>
      </w:r>
      <w:r>
        <w:rPr>
          <w:rFonts w:cs="Simplified Arabic" w:hint="cs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10.8% </w:t>
      </w:r>
      <w:r>
        <w:rPr>
          <w:rFonts w:cs="Simplified Arabic" w:hint="cs"/>
          <w:sz w:val="24"/>
          <w:szCs w:val="24"/>
          <w:rtl/>
        </w:rPr>
        <w:t xml:space="preserve">مقارنة مع الشهر السابق، </w:t>
      </w:r>
      <w:r>
        <w:rPr>
          <w:rFonts w:cs="Simplified Arabic" w:hint="cs"/>
          <w:sz w:val="24"/>
          <w:szCs w:val="24"/>
          <w:rtl/>
          <w:lang w:bidi="ar-AE"/>
        </w:rPr>
        <w:t xml:space="preserve">كما ارتفعت </w:t>
      </w:r>
      <w:r>
        <w:rPr>
          <w:rFonts w:cs="Simplified Arabic" w:hint="cs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1.5% </w:t>
      </w:r>
      <w:r>
        <w:rPr>
          <w:rFonts w:cs="Simplified Arabic" w:hint="cs"/>
          <w:sz w:val="24"/>
          <w:szCs w:val="24"/>
          <w:rtl/>
        </w:rPr>
        <w:t xml:space="preserve">مقارنة مع نفس الفترة من عام </w:t>
      </w:r>
      <w:r>
        <w:rPr>
          <w:rFonts w:ascii="Simplified Arabic" w:hAnsi="Simplified Arabic" w:cs="Simplified Arabic" w:hint="cs"/>
          <w:sz w:val="24"/>
          <w:szCs w:val="24"/>
          <w:rtl/>
        </w:rPr>
        <w:t>2015</w:t>
      </w:r>
      <w:r>
        <w:rPr>
          <w:rFonts w:cs="Simplified Arabic" w:hint="cs"/>
          <w:sz w:val="24"/>
          <w:szCs w:val="24"/>
          <w:rtl/>
        </w:rPr>
        <w:t xml:space="preserve">، حيث بلغت قيمتها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69.0 </w:t>
      </w:r>
      <w:r>
        <w:rPr>
          <w:rFonts w:cs="Simplified Arabic" w:hint="cs"/>
          <w:sz w:val="24"/>
          <w:szCs w:val="24"/>
          <w:rtl/>
        </w:rPr>
        <w:t xml:space="preserve">مليون دولار أمريكي. </w:t>
      </w:r>
    </w:p>
    <w:p w:rsidR="00874C80" w:rsidRPr="00C05E29" w:rsidRDefault="00874C80" w:rsidP="00874C80">
      <w:pPr>
        <w:spacing w:after="0" w:line="20" w:lineRule="atLeast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874C80" w:rsidRDefault="00874C80" w:rsidP="00874C80">
      <w:pPr>
        <w:spacing w:after="0" w:line="20" w:lineRule="atLeast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  <w:lang w:bidi="ar-AE"/>
        </w:rPr>
        <w:t>ارتفعت</w:t>
      </w:r>
      <w:r>
        <w:rPr>
          <w:rFonts w:ascii="Simplified Arabic" w:hAnsi="Simplified Arabic" w:cs="Simplified Arabic" w:hint="cs"/>
          <w:sz w:val="24"/>
          <w:szCs w:val="24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الصادرات إلى إسرائيل خلال شهر </w:t>
      </w:r>
      <w:r>
        <w:rPr>
          <w:rFonts w:cs="Simplified Arabic" w:hint="cs"/>
          <w:sz w:val="24"/>
          <w:szCs w:val="24"/>
          <w:rtl/>
        </w:rPr>
        <w:t xml:space="preserve">شباط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بنسبة 11.6% بالمقارنة مع الشهر السابق،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</w:t>
      </w:r>
      <w:r>
        <w:rPr>
          <w:rFonts w:ascii="Simplified Arabic" w:hAnsi="Simplified Arabic" w:cs="Simplified Arabic" w:hint="cs"/>
          <w:color w:val="FF0000"/>
          <w:sz w:val="24"/>
          <w:szCs w:val="24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ارتفعت إلى باقي دول العالم بنسبة 4.3%</w:t>
      </w:r>
      <w:r>
        <w:rPr>
          <w:rFonts w:ascii="Simplified Arabic" w:hAnsi="Simplified Arabic" w:cs="Simplified Arabic" w:hint="cs"/>
          <w:sz w:val="24"/>
          <w:szCs w:val="24"/>
          <w:rtl/>
          <w:lang w:bidi="ar-AE"/>
        </w:rPr>
        <w:t>،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وشكلت الصادرات إلى إسرائيل 88.6% من إجمالي قيمة الصادرات لشهر شباط 2016.</w:t>
      </w:r>
    </w:p>
    <w:p w:rsidR="00874C80" w:rsidRPr="00C05E29" w:rsidRDefault="00874C80" w:rsidP="00874C80">
      <w:pPr>
        <w:spacing w:after="0" w:line="240" w:lineRule="auto"/>
        <w:jc w:val="both"/>
        <w:rPr>
          <w:rFonts w:cs="Simplified Arabic"/>
          <w:b/>
          <w:bCs/>
          <w:sz w:val="16"/>
          <w:szCs w:val="16"/>
        </w:rPr>
      </w:pPr>
    </w:p>
    <w:p w:rsidR="00874C80" w:rsidRPr="00C05E29" w:rsidRDefault="00874C80" w:rsidP="00874C80">
      <w:pPr>
        <w:spacing w:after="0" w:line="240" w:lineRule="auto"/>
        <w:jc w:val="both"/>
        <w:rPr>
          <w:rFonts w:cs="Simplified Arabic"/>
          <w:b/>
          <w:bCs/>
          <w:sz w:val="26"/>
          <w:szCs w:val="26"/>
          <w:rtl/>
        </w:rPr>
      </w:pPr>
      <w:r w:rsidRPr="00C05E29">
        <w:rPr>
          <w:rFonts w:cs="Simplified Arabic" w:hint="cs"/>
          <w:b/>
          <w:bCs/>
          <w:sz w:val="26"/>
          <w:szCs w:val="26"/>
          <w:rtl/>
        </w:rPr>
        <w:t>الواردات:</w:t>
      </w:r>
    </w:p>
    <w:p w:rsidR="00874C80" w:rsidRDefault="00874C80" w:rsidP="00874C80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  <w:lang w:bidi="ar-AE"/>
        </w:rPr>
        <w:t>ارتفعت</w:t>
      </w:r>
      <w:r>
        <w:rPr>
          <w:rFonts w:cs="Simplified Arabic" w:hint="cs"/>
          <w:sz w:val="24"/>
          <w:szCs w:val="24"/>
          <w:rtl/>
        </w:rPr>
        <w:t xml:space="preserve"> الواردات الفلسطينية خلال شهر شباط من عام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2016 </w:t>
      </w:r>
      <w:r>
        <w:rPr>
          <w:rFonts w:cs="Simplified Arabic" w:hint="cs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1.6% </w:t>
      </w:r>
      <w:r>
        <w:rPr>
          <w:rFonts w:cs="Simplified Arabic" w:hint="cs"/>
          <w:sz w:val="24"/>
          <w:szCs w:val="24"/>
          <w:rtl/>
        </w:rPr>
        <w:t xml:space="preserve">مقارنة مع الشهر السابق، </w:t>
      </w:r>
      <w:r>
        <w:rPr>
          <w:rFonts w:cs="Simplified Arabic" w:hint="cs"/>
          <w:sz w:val="24"/>
          <w:szCs w:val="24"/>
          <w:rtl/>
          <w:lang w:bidi="ar-AE"/>
        </w:rPr>
        <w:t xml:space="preserve">كما ارتفعت </w:t>
      </w:r>
      <w:r>
        <w:rPr>
          <w:rFonts w:cs="Simplified Arabic" w:hint="cs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9.1% </w:t>
      </w:r>
      <w:r>
        <w:rPr>
          <w:rFonts w:cs="Simplified Arabic" w:hint="cs"/>
          <w:sz w:val="24"/>
          <w:szCs w:val="24"/>
          <w:rtl/>
        </w:rPr>
        <w:t xml:space="preserve">مقارنة مع نفس الفترة من عام </w:t>
      </w:r>
      <w:r>
        <w:rPr>
          <w:rFonts w:ascii="Simplified Arabic" w:hAnsi="Simplified Arabic" w:cs="Simplified Arabic" w:hint="cs"/>
          <w:sz w:val="24"/>
          <w:szCs w:val="24"/>
          <w:rtl/>
        </w:rPr>
        <w:t>2015،</w:t>
      </w:r>
      <w:r>
        <w:rPr>
          <w:rFonts w:cs="Simplified Arabic" w:hint="cs"/>
          <w:sz w:val="24"/>
          <w:szCs w:val="24"/>
          <w:rtl/>
        </w:rPr>
        <w:t xml:space="preserve"> حيث وصلت قيمتها إلى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377.3 </w:t>
      </w:r>
      <w:r>
        <w:rPr>
          <w:rFonts w:cs="Simplified Arabic" w:hint="cs"/>
          <w:sz w:val="24"/>
          <w:szCs w:val="24"/>
          <w:rtl/>
        </w:rPr>
        <w:t>مليون دولار أمريكي.</w:t>
      </w:r>
    </w:p>
    <w:p w:rsidR="00874C80" w:rsidRPr="00C05E29" w:rsidRDefault="00874C80" w:rsidP="00874C80">
      <w:pPr>
        <w:spacing w:after="0" w:line="240" w:lineRule="exact"/>
        <w:jc w:val="both"/>
        <w:rPr>
          <w:rFonts w:cs="Simplified Arabic"/>
          <w:sz w:val="16"/>
          <w:szCs w:val="16"/>
          <w:rtl/>
        </w:rPr>
      </w:pPr>
    </w:p>
    <w:p w:rsidR="00874C80" w:rsidRDefault="00874C80" w:rsidP="00874C80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 xml:space="preserve">ارتفعت الواردات من إسرائيل خلال شهر شباط </w:t>
      </w:r>
      <w:r>
        <w:rPr>
          <w:rFonts w:ascii="Simplified Arabic" w:hAnsi="Simplified Arabic" w:cs="Simplified Arabic" w:hint="cs"/>
          <w:sz w:val="24"/>
          <w:szCs w:val="24"/>
          <w:rtl/>
        </w:rPr>
        <w:t>2016</w:t>
      </w:r>
      <w:r>
        <w:rPr>
          <w:rFonts w:cs="Simplified Arabic" w:hint="cs"/>
          <w:sz w:val="24"/>
          <w:szCs w:val="24"/>
          <w:rtl/>
        </w:rPr>
        <w:t xml:space="preserve"> بنسبة 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5.1</w:t>
      </w:r>
      <w:r>
        <w:rPr>
          <w:rFonts w:ascii="Simplified Arabic" w:hAnsi="Simplified Arabic" w:cs="Simplified Arabic" w:hint="cs"/>
          <w:sz w:val="24"/>
          <w:szCs w:val="24"/>
          <w:rtl/>
        </w:rPr>
        <w:t>%</w:t>
      </w:r>
      <w:r>
        <w:rPr>
          <w:rFonts w:cs="Simplified Arabic" w:hint="cs"/>
          <w:sz w:val="24"/>
          <w:szCs w:val="24"/>
          <w:rtl/>
        </w:rPr>
        <w:t xml:space="preserve"> بالمقارنة مع الشهر السابق، بينما انخفضت الواردات من باقي دول العالم بنسبة 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2.8</w:t>
      </w:r>
      <w:r>
        <w:rPr>
          <w:rFonts w:ascii="Simplified Arabic" w:hAnsi="Simplified Arabic" w:cs="Simplified Arabic" w:hint="cs"/>
          <w:sz w:val="24"/>
          <w:szCs w:val="24"/>
          <w:rtl/>
        </w:rPr>
        <w:t>%</w:t>
      </w:r>
      <w:r>
        <w:rPr>
          <w:rFonts w:ascii="Simplified Arabic" w:hAnsi="Simplified Arabic" w:cs="Simplified Arabic" w:hint="cs"/>
          <w:sz w:val="24"/>
          <w:szCs w:val="24"/>
        </w:rPr>
        <w:t>.</w:t>
      </w:r>
      <w:r>
        <w:rPr>
          <w:rFonts w:cs="Simplified Arabic" w:hint="cs"/>
          <w:sz w:val="24"/>
          <w:szCs w:val="24"/>
          <w:rtl/>
        </w:rPr>
        <w:t xml:space="preserve"> وشكلت الواردات من</w:t>
      </w:r>
      <w:r>
        <w:rPr>
          <w:rFonts w:cs="Simplified Arabic" w:hint="cs"/>
          <w:sz w:val="24"/>
          <w:szCs w:val="24"/>
        </w:rPr>
        <w:t xml:space="preserve"> </w:t>
      </w:r>
      <w:r>
        <w:rPr>
          <w:rFonts w:cs="Simplified Arabic" w:hint="cs"/>
          <w:sz w:val="24"/>
          <w:szCs w:val="24"/>
          <w:rtl/>
        </w:rPr>
        <w:t xml:space="preserve">إسرائيل 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57.2</w:t>
      </w:r>
      <w:r>
        <w:rPr>
          <w:rFonts w:ascii="Simplified Arabic" w:hAnsi="Simplified Arabic" w:cs="Simplified Arabic" w:hint="cs"/>
          <w:sz w:val="24"/>
          <w:szCs w:val="24"/>
          <w:rtl/>
        </w:rPr>
        <w:t>%</w:t>
      </w:r>
      <w:r>
        <w:rPr>
          <w:rFonts w:cs="Simplified Arabic" w:hint="cs"/>
          <w:sz w:val="24"/>
          <w:szCs w:val="24"/>
          <w:rtl/>
        </w:rPr>
        <w:t xml:space="preserve"> من إجمالي قيمة الواردات لشهر شباط </w:t>
      </w:r>
      <w:r>
        <w:rPr>
          <w:rFonts w:ascii="Simplified Arabic" w:hAnsi="Simplified Arabic" w:cs="Simplified Arabic" w:hint="cs"/>
          <w:sz w:val="24"/>
          <w:szCs w:val="24"/>
          <w:rtl/>
        </w:rPr>
        <w:t>2016</w:t>
      </w:r>
      <w:r>
        <w:rPr>
          <w:rFonts w:cs="Simplified Arabic" w:hint="cs"/>
          <w:sz w:val="24"/>
          <w:szCs w:val="24"/>
          <w:rtl/>
        </w:rPr>
        <w:t xml:space="preserve">. </w:t>
      </w:r>
    </w:p>
    <w:p w:rsidR="00874C80" w:rsidRDefault="00874C80" w:rsidP="00874C80">
      <w:pPr>
        <w:spacing w:after="0" w:line="20" w:lineRule="atLeast"/>
        <w:jc w:val="both"/>
        <w:rPr>
          <w:rFonts w:cs="Simplified Arabic"/>
          <w:color w:val="000000" w:themeColor="text1"/>
          <w:sz w:val="24"/>
          <w:szCs w:val="24"/>
        </w:rPr>
      </w:pPr>
    </w:p>
    <w:p w:rsidR="00874C80" w:rsidRDefault="00874C80" w:rsidP="00874C80">
      <w:pPr>
        <w:spacing w:after="120" w:line="20" w:lineRule="atLeast"/>
        <w:jc w:val="center"/>
        <w:rPr>
          <w:rFonts w:cs="Simplified Arabic"/>
          <w:color w:val="000000" w:themeColor="text1"/>
          <w:sz w:val="8"/>
          <w:szCs w:val="8"/>
        </w:rPr>
      </w:pPr>
      <w:r>
        <w:rPr>
          <w:rFonts w:cs="Simplified Arabic"/>
          <w:noProof/>
          <w:color w:val="000000" w:themeColor="text1"/>
          <w:sz w:val="8"/>
          <w:szCs w:val="8"/>
        </w:rPr>
        <w:drawing>
          <wp:inline distT="0" distB="0" distL="0" distR="0">
            <wp:extent cx="3314700" cy="2695575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74C80" w:rsidRPr="00C05E29" w:rsidRDefault="00874C80" w:rsidP="00874C80">
      <w:pPr>
        <w:spacing w:after="0"/>
        <w:jc w:val="both"/>
        <w:rPr>
          <w:rFonts w:cs="Simplified Arabic"/>
          <w:b/>
          <w:bCs/>
          <w:color w:val="000000" w:themeColor="text1"/>
          <w:sz w:val="16"/>
          <w:szCs w:val="16"/>
          <w:rtl/>
        </w:rPr>
      </w:pPr>
    </w:p>
    <w:p w:rsidR="00874C80" w:rsidRPr="00C05E29" w:rsidRDefault="00874C80" w:rsidP="00874C80">
      <w:pPr>
        <w:spacing w:after="0"/>
        <w:jc w:val="both"/>
        <w:rPr>
          <w:rFonts w:cs="Simplified Arabic"/>
          <w:b/>
          <w:bCs/>
          <w:color w:val="000000" w:themeColor="text1"/>
          <w:sz w:val="26"/>
          <w:szCs w:val="26"/>
          <w:rtl/>
        </w:rPr>
      </w:pPr>
      <w:r w:rsidRPr="00C05E29">
        <w:rPr>
          <w:rFonts w:cs="Simplified Arabic" w:hint="cs"/>
          <w:b/>
          <w:bCs/>
          <w:color w:val="000000" w:themeColor="text1"/>
          <w:sz w:val="26"/>
          <w:szCs w:val="26"/>
          <w:rtl/>
        </w:rPr>
        <w:t>الميزان التجاري للسلع المرصودة:</w:t>
      </w:r>
    </w:p>
    <w:p w:rsidR="00874C80" w:rsidRDefault="00874C80" w:rsidP="00874C80">
      <w:pPr>
        <w:jc w:val="both"/>
        <w:rPr>
          <w:b/>
          <w:bCs/>
          <w:color w:val="000000" w:themeColor="text1"/>
          <w:rtl/>
        </w:rPr>
      </w:pPr>
      <w:r>
        <w:rPr>
          <w:rFonts w:cs="Simplified Arabic" w:hint="cs"/>
          <w:color w:val="000000" w:themeColor="text1"/>
          <w:sz w:val="24"/>
          <w:szCs w:val="24"/>
          <w:rtl/>
        </w:rPr>
        <w:t>أما الميزان التجاري والذي يمثل الفرق بين الصادرات والواردات، فقد سجل انخفاضاً طفيفاً في قيمة العجز</w:t>
      </w:r>
      <w:r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0.3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شباط</w:t>
      </w:r>
      <w:r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2016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بينما ارتفع</w:t>
      </w:r>
      <w:r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11.0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المناظر من</w:t>
      </w:r>
      <w:r>
        <w:rPr>
          <w:rFonts w:cs="Simplified Arabic" w:hint="cs"/>
          <w:color w:val="000000" w:themeColor="text1"/>
          <w:sz w:val="24"/>
          <w:szCs w:val="24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عام 2015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، حيث وصل العجز إلى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308.3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 مليون دولار أمريكي.</w:t>
      </w:r>
    </w:p>
    <w:p w:rsidR="003A6B91" w:rsidRDefault="003A6B91" w:rsidP="003A6B91">
      <w:pPr>
        <w:pStyle w:val="Footer"/>
      </w:pPr>
      <w:r>
        <w:rPr>
          <w:rFonts w:cs="Simplified Arabic" w:hint="cs"/>
          <w:sz w:val="18"/>
          <w:szCs w:val="18"/>
          <w:rtl/>
        </w:rPr>
        <w:t>*: تشمل البيانات الفعلية التي تم الحصول عليها من المصادر الرسمية</w:t>
      </w:r>
    </w:p>
    <w:p w:rsidR="00874C80" w:rsidRDefault="00874C80" w:rsidP="00874C80">
      <w:pPr>
        <w:spacing w:after="120"/>
        <w:rPr>
          <w:rFonts w:cs="Simplified Arabic"/>
        </w:rPr>
      </w:pPr>
    </w:p>
    <w:p w:rsidR="00937DAF" w:rsidRDefault="00937DAF"/>
    <w:sectPr w:rsidR="00937DAF" w:rsidSect="00116C84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74C80"/>
    <w:rsid w:val="000A69A0"/>
    <w:rsid w:val="003A6B91"/>
    <w:rsid w:val="003E1F1B"/>
    <w:rsid w:val="005E7849"/>
    <w:rsid w:val="00874C80"/>
    <w:rsid w:val="00937DAF"/>
    <w:rsid w:val="00F52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C80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8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A6B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B91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6\Monthly\&#1588;&#1607;&#1585;%202\news%20releases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AE" sz="800">
                <a:latin typeface="Simplified Arabic" pitchFamily="18" charset="-78"/>
                <a:cs typeface="Simplified Arabic" pitchFamily="18" charset="-78"/>
              </a:rPr>
              <a:t>الواردات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 والصادرات لشهر شباط 1999-2016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4620618625203594"/>
          <c:y val="7.9729160446572224E-3"/>
        </c:manualLayout>
      </c:layout>
      <c:overlay val="1"/>
    </c:title>
    <c:plotArea>
      <c:layout>
        <c:manualLayout>
          <c:layoutTarget val="inner"/>
          <c:xMode val="edge"/>
          <c:yMode val="edge"/>
          <c:x val="0.20166925976843841"/>
          <c:y val="6.8348121788111324E-2"/>
          <c:w val="0.73872418108604621"/>
          <c:h val="0.67789302821395492"/>
        </c:manualLayout>
      </c:layout>
      <c:lineChart>
        <c:grouping val="standard"/>
        <c:ser>
          <c:idx val="1"/>
          <c:order val="0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marker>
            <c:symbol val="triangle"/>
            <c:size val="7"/>
          </c:marker>
          <c:cat>
            <c:strRef>
              <c:f>Sheet1!$A$2:$A$19</c:f>
              <c:strCache>
                <c:ptCount val="18"/>
                <c:pt idx="0">
                  <c:v>شباط 99</c:v>
                </c:pt>
                <c:pt idx="1">
                  <c:v>شباط 00</c:v>
                </c:pt>
                <c:pt idx="2">
                  <c:v>شباط 01</c:v>
                </c:pt>
                <c:pt idx="3">
                  <c:v>شباط 02</c:v>
                </c:pt>
                <c:pt idx="4">
                  <c:v>شباط 03</c:v>
                </c:pt>
                <c:pt idx="5">
                  <c:v>شباط 04</c:v>
                </c:pt>
                <c:pt idx="6">
                  <c:v>شباط 05</c:v>
                </c:pt>
                <c:pt idx="7">
                  <c:v>شباط 06</c:v>
                </c:pt>
                <c:pt idx="8">
                  <c:v>شباط 07</c:v>
                </c:pt>
                <c:pt idx="9">
                  <c:v>شباط 08</c:v>
                </c:pt>
                <c:pt idx="10">
                  <c:v>شباط 09</c:v>
                </c:pt>
                <c:pt idx="11">
                  <c:v>شباط 10</c:v>
                </c:pt>
                <c:pt idx="12">
                  <c:v>شباط 11</c:v>
                </c:pt>
                <c:pt idx="13">
                  <c:v>شباط 12</c:v>
                </c:pt>
                <c:pt idx="14">
                  <c:v>شباط 13</c:v>
                </c:pt>
                <c:pt idx="15">
                  <c:v>شباط 14</c:v>
                </c:pt>
                <c:pt idx="16">
                  <c:v>شباط 15</c:v>
                </c:pt>
                <c:pt idx="17">
                  <c:v>شباط 16</c:v>
                </c:pt>
              </c:strCache>
            </c:strRef>
          </c:cat>
          <c:val>
            <c:numRef>
              <c:f>Sheet1!$C$2:$C$19</c:f>
              <c:numCache>
                <c:formatCode>0.0</c:formatCode>
                <c:ptCount val="18"/>
                <c:pt idx="0">
                  <c:v>29.182247546004813</c:v>
                </c:pt>
                <c:pt idx="1">
                  <c:v>34.858381501699824</c:v>
                </c:pt>
                <c:pt idx="2">
                  <c:v>21.625</c:v>
                </c:pt>
                <c:pt idx="3">
                  <c:v>18.532</c:v>
                </c:pt>
                <c:pt idx="4">
                  <c:v>18.355</c:v>
                </c:pt>
                <c:pt idx="5">
                  <c:v>23.863</c:v>
                </c:pt>
                <c:pt idx="6">
                  <c:v>21.978999999999989</c:v>
                </c:pt>
                <c:pt idx="7">
                  <c:v>26.416</c:v>
                </c:pt>
                <c:pt idx="8">
                  <c:v>42.759</c:v>
                </c:pt>
                <c:pt idx="9">
                  <c:v>42.758000000000003</c:v>
                </c:pt>
                <c:pt idx="10">
                  <c:v>38.778000000000013</c:v>
                </c:pt>
                <c:pt idx="11">
                  <c:v>28.815000000000001</c:v>
                </c:pt>
                <c:pt idx="12">
                  <c:v>49.932000000000002</c:v>
                </c:pt>
                <c:pt idx="13">
                  <c:v>58.141000000000005</c:v>
                </c:pt>
                <c:pt idx="14">
                  <c:v>68.900000000000006</c:v>
                </c:pt>
                <c:pt idx="15">
                  <c:v>68.8</c:v>
                </c:pt>
                <c:pt idx="16">
                  <c:v>68.000399672938528</c:v>
                </c:pt>
                <c:pt idx="17" formatCode="#,##0.0">
                  <c:v>69.016776841613549</c:v>
                </c:pt>
              </c:numCache>
            </c:numRef>
          </c:val>
        </c:ser>
        <c:ser>
          <c:idx val="0"/>
          <c:order val="1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شباط 99</c:v>
                </c:pt>
                <c:pt idx="1">
                  <c:v>شباط 00</c:v>
                </c:pt>
                <c:pt idx="2">
                  <c:v>شباط 01</c:v>
                </c:pt>
                <c:pt idx="3">
                  <c:v>شباط 02</c:v>
                </c:pt>
                <c:pt idx="4">
                  <c:v>شباط 03</c:v>
                </c:pt>
                <c:pt idx="5">
                  <c:v>شباط 04</c:v>
                </c:pt>
                <c:pt idx="6">
                  <c:v>شباط 05</c:v>
                </c:pt>
                <c:pt idx="7">
                  <c:v>شباط 06</c:v>
                </c:pt>
                <c:pt idx="8">
                  <c:v>شباط 07</c:v>
                </c:pt>
                <c:pt idx="9">
                  <c:v>شباط 08</c:v>
                </c:pt>
                <c:pt idx="10">
                  <c:v>شباط 09</c:v>
                </c:pt>
                <c:pt idx="11">
                  <c:v>شباط 10</c:v>
                </c:pt>
                <c:pt idx="12">
                  <c:v>شباط 11</c:v>
                </c:pt>
                <c:pt idx="13">
                  <c:v>شباط 12</c:v>
                </c:pt>
                <c:pt idx="14">
                  <c:v>شباط 13</c:v>
                </c:pt>
                <c:pt idx="15">
                  <c:v>شباط 14</c:v>
                </c:pt>
                <c:pt idx="16">
                  <c:v>شباط 15</c:v>
                </c:pt>
                <c:pt idx="17">
                  <c:v>شباط 16</c:v>
                </c:pt>
              </c:strCache>
            </c:strRef>
          </c:cat>
          <c:val>
            <c:numRef>
              <c:f>Sheet1!$B$2:$B$19</c:f>
              <c:numCache>
                <c:formatCode>0.0</c:formatCode>
                <c:ptCount val="18"/>
                <c:pt idx="0">
                  <c:v>221.70845790235029</c:v>
                </c:pt>
                <c:pt idx="1">
                  <c:v>189.34019275109586</c:v>
                </c:pt>
                <c:pt idx="2">
                  <c:v>132.47300000000001</c:v>
                </c:pt>
                <c:pt idx="3">
                  <c:v>117.01900000000002</c:v>
                </c:pt>
                <c:pt idx="4">
                  <c:v>123.471</c:v>
                </c:pt>
                <c:pt idx="5">
                  <c:v>172.863</c:v>
                </c:pt>
                <c:pt idx="6">
                  <c:v>181.36500000000001</c:v>
                </c:pt>
                <c:pt idx="7">
                  <c:v>214.65200000000004</c:v>
                </c:pt>
                <c:pt idx="8">
                  <c:v>252.85600000000039</c:v>
                </c:pt>
                <c:pt idx="9">
                  <c:v>200.26</c:v>
                </c:pt>
                <c:pt idx="10">
                  <c:v>264.36700000000002</c:v>
                </c:pt>
                <c:pt idx="11">
                  <c:v>268.95099999999923</c:v>
                </c:pt>
                <c:pt idx="12">
                  <c:v>336.96799999999922</c:v>
                </c:pt>
                <c:pt idx="13">
                  <c:v>367.58499999999964</c:v>
                </c:pt>
                <c:pt idx="14">
                  <c:v>364.3</c:v>
                </c:pt>
                <c:pt idx="15">
                  <c:v>409.26799999999969</c:v>
                </c:pt>
                <c:pt idx="16">
                  <c:v>345.75963541706994</c:v>
                </c:pt>
                <c:pt idx="17" formatCode="#,##0.0">
                  <c:v>377.28943638431707</c:v>
                </c:pt>
              </c:numCache>
            </c:numRef>
          </c:val>
        </c:ser>
        <c:marker val="1"/>
        <c:axId val="129975424"/>
        <c:axId val="129976960"/>
      </c:lineChart>
      <c:catAx>
        <c:axId val="129975424"/>
        <c:scaling>
          <c:orientation val="minMax"/>
        </c:scaling>
        <c:axPos val="b"/>
        <c:majorGridlines/>
        <c:maj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9976960"/>
        <c:crosses val="autoZero"/>
        <c:auto val="1"/>
        <c:lblAlgn val="ctr"/>
        <c:lblOffset val="100"/>
      </c:catAx>
      <c:valAx>
        <c:axId val="129976960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91414318159791E-3"/>
              <c:y val="0.27565433871986555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29975424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5327177097827897"/>
          <c:y val="0.8977115582058629"/>
          <c:w val="0.59173485017842897"/>
          <c:h val="5.0716306755274027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loays</cp:lastModifiedBy>
  <cp:revision>4</cp:revision>
  <dcterms:created xsi:type="dcterms:W3CDTF">2016-04-24T07:47:00Z</dcterms:created>
  <dcterms:modified xsi:type="dcterms:W3CDTF">2016-04-24T09:52:00Z</dcterms:modified>
</cp:coreProperties>
</file>