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87" w:rsidRDefault="00A22B87" w:rsidP="00A22B87">
      <w:pPr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</w:p>
    <w:p w:rsidR="00A22B87" w:rsidRDefault="00A22B87" w:rsidP="00A22B87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</w:p>
    <w:p w:rsidR="00A22B87" w:rsidRPr="00A22B87" w:rsidRDefault="00A22B87" w:rsidP="00A22B87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A22B87">
        <w:rPr>
          <w:rFonts w:cs="Simplified Arabic" w:hint="cs"/>
          <w:b/>
          <w:bCs/>
          <w:color w:val="000000"/>
          <w:sz w:val="32"/>
          <w:szCs w:val="32"/>
          <w:rtl/>
        </w:rPr>
        <w:t>الاحصاء الفلسطيني يعلن النتائج الأساسية</w:t>
      </w:r>
      <w:r w:rsidRPr="00A22B87">
        <w:rPr>
          <w:rFonts w:cs="Simplified Arabic"/>
          <w:b/>
          <w:bCs/>
          <w:color w:val="000000"/>
          <w:sz w:val="32"/>
          <w:szCs w:val="32"/>
        </w:rPr>
        <w:t xml:space="preserve"> </w:t>
      </w:r>
      <w:r w:rsidRPr="00A22B87">
        <w:rPr>
          <w:rFonts w:cs="Simplified Arabic" w:hint="cs"/>
          <w:b/>
          <w:bCs/>
          <w:color w:val="000000"/>
          <w:sz w:val="32"/>
          <w:szCs w:val="32"/>
          <w:rtl/>
        </w:rPr>
        <w:t>لمسح الضحية 2016</w:t>
      </w:r>
    </w:p>
    <w:p w:rsidR="00A22B87" w:rsidRPr="00CE024B" w:rsidRDefault="00A22B87" w:rsidP="00A22B87">
      <w:pPr>
        <w:jc w:val="both"/>
        <w:rPr>
          <w:rFonts w:cs="Simplified Arabic"/>
          <w:b/>
          <w:bCs/>
          <w:color w:val="000000"/>
          <w:sz w:val="16"/>
          <w:szCs w:val="16"/>
          <w:lang w:bidi="ar-EG"/>
        </w:rPr>
      </w:pP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</w:pP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نفذ الجهاز المركزي للإحصاء الفلسطيني الدورة السادسة من مسح الضحية خلال الربع الرابع من عام 2016 وذلك خلال الفترة من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(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lang w:eastAsia="en-US"/>
        </w:rPr>
        <w:t>09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/10/2016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–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lang w:eastAsia="en-US"/>
        </w:rPr>
        <w:t>05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/01/2017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)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بهدف رصد ومراقبة التغيرات التي طرأت على المؤشرات الرئيسية لهذا المسح، وقد تم تنفيذ المسح على عينة بلغت 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</w:rPr>
        <w:t>7,603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أسر في فلسطين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(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lang w:eastAsia="en-US"/>
        </w:rPr>
        <w:t>5,083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أسرة في الضفة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الغربية،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lang w:eastAsia="en-US"/>
        </w:rPr>
        <w:t>2,520</w:t>
      </w: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أسرة في قطاع غزة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).</w:t>
      </w:r>
      <w:proofErr w:type="spellEnd"/>
    </w:p>
    <w:p w:rsidR="00A22B87" w:rsidRPr="00CE024B" w:rsidRDefault="00A22B87" w:rsidP="00A22B87">
      <w:pPr>
        <w:spacing w:line="200" w:lineRule="exact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  <w:r w:rsidRPr="002455E1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  <w:t xml:space="preserve">الأسر ضحايا الافعال الاجرامية </w:t>
      </w: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color w:val="000000"/>
          <w:sz w:val="24"/>
          <w:szCs w:val="24"/>
          <w:lang w:eastAsia="en-US"/>
        </w:rPr>
      </w:pP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7.0%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من الأسر في فلسطين تعرضت لأفعال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إجرامية،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بواقع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5.3%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الضفة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الغربية،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و10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.1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قطاع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غزة،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 وبلغت نسبة الأسر التي تعرضت لسرقة (باستثناء سرقة السيارة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)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فلسطين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3.6%،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وبلغت نسبة الأسر التي تعرضت لسرقة السيارة أو بعض قطع السيارة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4.0%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وبلغت نسبة الأسر التي تعرضت ممتلكاتها إلى إتلاف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0.4%،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وبلغت نسبة الاسر التي تعرض أفرادها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للإعتداء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0.9%،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وأما نسبة الأسر التي تعرضت لتحرشات واعتداءات الجيش والمستوطنين الإسرائيليين فبلغت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1.3%.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</w:p>
    <w:p w:rsidR="00A22B87" w:rsidRPr="002455E1" w:rsidRDefault="00A22B87" w:rsidP="0019680E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</w:pP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بلغت نسبة الاسر التي تعرض أحد أفرادها لتهديد معلوماتي واحد على الاقل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3.8%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بواقع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2.9%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الضفة الغربية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و5.4%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قطاع غزة </w:t>
      </w:r>
    </w:p>
    <w:p w:rsidR="00A22B87" w:rsidRPr="00CE024B" w:rsidRDefault="00A22B87" w:rsidP="00A22B87">
      <w:pPr>
        <w:spacing w:line="200" w:lineRule="exact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  <w:r w:rsidRPr="002455E1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  <w:t>الافراد ضحايا الأفعال الاجرامية</w:t>
      </w:r>
    </w:p>
    <w:p w:rsidR="00A22B87" w:rsidRPr="002455E1" w:rsidRDefault="00A22B87" w:rsidP="00A22B87">
      <w:pPr>
        <w:pStyle w:val="BodyText2"/>
        <w:jc w:val="both"/>
        <w:rPr>
          <w:rFonts w:ascii="Simplified Arabic" w:hAnsi="Simplified Arabic"/>
          <w:color w:val="000000"/>
          <w:szCs w:val="24"/>
          <w:rtl/>
        </w:rPr>
      </w:pP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1.4%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من الأفراد في فلسطين تعرضوا لأفعال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إجرامية،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بواقع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1.8%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قطاع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غزة،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و1.1%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الضفة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الغربية،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وأشارت النتائج أن السرقة هي أكثر الأفعال الإجرامية ضد الأفراد حيث بلغت نسبة الأفراد الذين تعرضوا </w:t>
      </w:r>
      <w:r w:rsidRPr="002455E1">
        <w:rPr>
          <w:rFonts w:ascii="Simplified Arabic" w:hAnsi="Simplified Arabic"/>
          <w:color w:val="000000"/>
          <w:szCs w:val="24"/>
          <w:rtl/>
          <w:lang w:eastAsia="en-US"/>
        </w:rPr>
        <w:t xml:space="preserve">لها من إجمالي الأفراد الضحايا في فلسطين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58.0%،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يليها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إعتداءات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وتحرشات جيش الاحتلال الاسرائيلي والمستوطنين بواقع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15.7%،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حين بلغت نسبة الاعتداء بالضرب  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10.7%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ونسبة إتلاف الممتلكات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3.7%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من مجمل الأفعال الإجرامية ضد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الأفراد،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وتتفاوت هذه النسب بين الضفة الغربية وقطاع غزة حيث بلغت نسبة الأفراد الذين تعرضوا للسرقة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43.9%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و71.0%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من إجمالي الأفراد ضحايا الأفعال الإجرامية في الضفة الغربية وقطاع غزة على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التوالي،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 ونسبة إتلاف الممتلكات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4.1%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و3.3%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الضفة الغربية وقطاع غزة على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التوالي،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وبلغت نسبة الأفراد الذين تعرضوا لاعتداءات الجيش الإسرائيلي والمستوطنين في الضفة الغربية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32.5%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مقابل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0.3%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قطاع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غزة،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حين أن نسبة الأفراد ضحايا الاعتداء بالضرب في قطاع غزة بلغت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15.5%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مقارنة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بـ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</w:t>
      </w:r>
      <w:proofErr w:type="spellStart"/>
      <w:r w:rsidRPr="002455E1">
        <w:rPr>
          <w:rFonts w:ascii="Simplified Arabic" w:hAnsi="Simplified Arabic"/>
          <w:color w:val="000000"/>
          <w:szCs w:val="24"/>
          <w:rtl/>
        </w:rPr>
        <w:t>5.4%</w:t>
      </w:r>
      <w:proofErr w:type="spellEnd"/>
      <w:r w:rsidRPr="002455E1">
        <w:rPr>
          <w:rFonts w:ascii="Simplified Arabic" w:hAnsi="Simplified Arabic"/>
          <w:color w:val="000000"/>
          <w:szCs w:val="24"/>
          <w:rtl/>
        </w:rPr>
        <w:t xml:space="preserve"> في الضفة الغربية. </w:t>
      </w:r>
    </w:p>
    <w:p w:rsidR="00A22B87" w:rsidRPr="00CE024B" w:rsidRDefault="00A22B87" w:rsidP="00A22B87">
      <w:pPr>
        <w:spacing w:line="200" w:lineRule="exact"/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  <w:r w:rsidRPr="002455E1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  <w:t>المنزل أكثر الأماكن عرضة لحدوث الأفعال الاجرامية</w:t>
      </w: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</w:pP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أما نسبة حدوث الأفعال الإجرامية داخل منزل الضحية فقد بلغت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35.8%،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وبجوار المنزل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26.8%،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وخارج التجمع السكاني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16.3%،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وبلغت هذه النسب على التوالي في الضفة الغربية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33.3%،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و23.7%،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و23.1%،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 مقابل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38.2%،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و29.7%،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و10.0%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على التوالي في قطاع غزة. </w:t>
      </w:r>
    </w:p>
    <w:p w:rsidR="00A22B87" w:rsidRPr="00CE024B" w:rsidRDefault="00A22B87" w:rsidP="00A22B87">
      <w:pPr>
        <w:spacing w:line="200" w:lineRule="exact"/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  <w:r w:rsidRPr="002455E1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  <w:t>التبليغ عن الأفعال الاجرامية</w:t>
      </w:r>
    </w:p>
    <w:p w:rsidR="00A22B87" w:rsidRPr="002455E1" w:rsidRDefault="00A22B87" w:rsidP="00A22B87">
      <w:pPr>
        <w:jc w:val="lowKashida"/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</w:pP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وعن التبليغ عن الجريمة أشارت النتائج أن نسبة الأفراد ضحايا الأفعال الإجرامية في فلسطين الذين قاموا بالتبليغ عن الجرائم التي تعرضوا لها قد بلغت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43.0%،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(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38.3%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الضفة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الغربية،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و45.9%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قطاع غزة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).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 وقد بلغت نسبة الأفعال الإجرامية في فلسطين التي تم الإبلاغ عنها ووصلت المحكمة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15.7%،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(24.4%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الضفة الغربية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و11.3%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قطاع غزة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)،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وأما عن أسباب عدم قيام الضحية بالتبليغ عن الحادث فأجاب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40.7%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من الأفراد الضحايا ان السبب هو عدم خطورة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الحادث،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يليها عدم الرغبة في تدخل الشرطة بنسبة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24.3%.</w:t>
      </w:r>
      <w:proofErr w:type="spellEnd"/>
    </w:p>
    <w:p w:rsidR="00A22B87" w:rsidRPr="00CE024B" w:rsidRDefault="00A22B87" w:rsidP="00A22B87">
      <w:pPr>
        <w:spacing w:line="200" w:lineRule="exact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</w:p>
    <w:p w:rsidR="00A22B87" w:rsidRPr="002455E1" w:rsidRDefault="00A22B87" w:rsidP="00A22B87">
      <w:pPr>
        <w:spacing w:line="240" w:lineRule="exact"/>
        <w:jc w:val="lowKashida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</w:pPr>
      <w:r w:rsidRPr="002455E1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en-US"/>
        </w:rPr>
        <w:t xml:space="preserve">الافعال الاجرامية حسب نوع الضرر   </w:t>
      </w:r>
    </w:p>
    <w:p w:rsidR="00A22B87" w:rsidRDefault="00A22B87" w:rsidP="00A22B87">
      <w:pPr>
        <w:jc w:val="lowKashida"/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</w:pPr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وحسب ما أشارت إليه النتائج فقد بلغت نسبة الأفعال الإجرامية التي تعرض لها الأفراد في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فلسطين،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والتي تسببت في أضرار بشرية  للضحية 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8.6%.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بواقع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12.4%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الضفة الغربية مقارنة مع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5.1%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في قطاع غزة.  وبالنسبة للأضرار المادية فان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19.8%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من الافراد الذين تعرضوا </w:t>
      </w:r>
      <w:proofErr w:type="spellStart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>لافعال</w:t>
      </w:r>
      <w:proofErr w:type="spellEnd"/>
      <w:r w:rsidRPr="002455E1">
        <w:rPr>
          <w:rFonts w:ascii="Simplified Arabic" w:hAnsi="Simplified Arabic" w:cs="Simplified Arabic"/>
          <w:color w:val="000000"/>
          <w:sz w:val="24"/>
          <w:szCs w:val="24"/>
          <w:rtl/>
          <w:lang w:eastAsia="en-US"/>
        </w:rPr>
        <w:t xml:space="preserve"> اجرامية ولحق بهم أضرار مادية قد قدرت بألف دينار أردني أو اكثر.</w:t>
      </w:r>
    </w:p>
    <w:p w:rsidR="00A22B87" w:rsidRPr="00A22B87" w:rsidRDefault="00A22B87" w:rsidP="00A22B87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A22B87" w:rsidRPr="00A22B87" w:rsidRDefault="00A22B87" w:rsidP="00A22B87">
      <w:pPr>
        <w:pStyle w:val="BodyText"/>
        <w:jc w:val="left"/>
        <w:rPr>
          <w:rFonts w:ascii="Simplified Arabic" w:hAnsi="Simplified Arabic"/>
          <w:color w:val="000000"/>
          <w:sz w:val="16"/>
          <w:szCs w:val="16"/>
          <w:rtl/>
          <w:lang w:eastAsia="en-US"/>
        </w:rPr>
        <w:sectPr w:rsidR="00A22B87" w:rsidRPr="00A22B87" w:rsidSect="00A22B87">
          <w:headerReference w:type="default" r:id="rId7"/>
          <w:footerReference w:type="even" r:id="rId8"/>
          <w:footerReference w:type="default" r:id="rId9"/>
          <w:footerReference w:type="first" r:id="rId10"/>
          <w:endnotePr>
            <w:numFmt w:val="lowerLetter"/>
          </w:endnotePr>
          <w:pgSz w:w="11906" w:h="16838" w:code="9"/>
          <w:pgMar w:top="720" w:right="720" w:bottom="720" w:left="720" w:header="709" w:footer="709" w:gutter="0"/>
          <w:cols w:space="720"/>
          <w:titlePg/>
          <w:bidi/>
          <w:rtlGutter/>
          <w:docGrid w:linePitch="272"/>
        </w:sectPr>
      </w:pPr>
    </w:p>
    <w:p w:rsidR="00A22B87" w:rsidRDefault="00A22B87" w:rsidP="00A22B87">
      <w:pPr>
        <w:tabs>
          <w:tab w:val="left" w:pos="4465"/>
          <w:tab w:val="center" w:pos="4535"/>
        </w:tabs>
        <w:jc w:val="center"/>
        <w:rPr>
          <w:rFonts w:ascii="Arial" w:hAnsi="Arial" w:cs="Simplified Arabic"/>
          <w:b/>
          <w:bCs/>
          <w:color w:val="000000"/>
          <w:sz w:val="24"/>
          <w:szCs w:val="24"/>
          <w:rtl/>
          <w:lang w:eastAsia="en-US"/>
        </w:rPr>
      </w:pPr>
      <w:r w:rsidRPr="002455E1">
        <w:rPr>
          <w:rFonts w:ascii="Arial" w:hAnsi="Arial" w:cs="Simplified Arabic"/>
          <w:b/>
          <w:bCs/>
          <w:color w:val="000000"/>
          <w:sz w:val="24"/>
          <w:szCs w:val="24"/>
          <w:rtl/>
          <w:lang w:eastAsia="en-US"/>
        </w:rPr>
        <w:lastRenderedPageBreak/>
        <w:t>قائمة بالمؤشرات الرئيسية لمسح الضحية</w:t>
      </w:r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>1996،</w:t>
      </w:r>
      <w:proofErr w:type="spellEnd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>1999،</w:t>
      </w:r>
      <w:proofErr w:type="spellEnd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>2004،</w:t>
      </w:r>
      <w:proofErr w:type="spellEnd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>2008،</w:t>
      </w:r>
      <w:proofErr w:type="spellEnd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>2012،</w:t>
      </w:r>
      <w:proofErr w:type="spellEnd"/>
      <w:r w:rsidRPr="002455E1">
        <w:rPr>
          <w:rFonts w:ascii="Arial" w:hAnsi="Arial" w:cs="Simplified Arabic" w:hint="cs"/>
          <w:b/>
          <w:bCs/>
          <w:color w:val="000000"/>
          <w:sz w:val="24"/>
          <w:szCs w:val="24"/>
          <w:rtl/>
          <w:lang w:eastAsia="en-US"/>
        </w:rPr>
        <w:t xml:space="preserve"> 2016</w:t>
      </w:r>
    </w:p>
    <w:p w:rsidR="00A22B87" w:rsidRPr="002455E1" w:rsidRDefault="00A22B87" w:rsidP="00A22B87">
      <w:pPr>
        <w:tabs>
          <w:tab w:val="left" w:pos="4465"/>
          <w:tab w:val="center" w:pos="4535"/>
        </w:tabs>
        <w:jc w:val="center"/>
        <w:rPr>
          <w:rFonts w:ascii="Arial" w:hAnsi="Arial" w:cs="Simplified Arabic"/>
          <w:b/>
          <w:bCs/>
          <w:color w:val="000000"/>
          <w:sz w:val="8"/>
          <w:szCs w:val="8"/>
          <w:rtl/>
          <w:lang w:eastAsia="en-US"/>
        </w:rPr>
      </w:pPr>
    </w:p>
    <w:tbl>
      <w:tblPr>
        <w:bidiVisual/>
        <w:tblW w:w="10490" w:type="dxa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5"/>
        <w:gridCol w:w="709"/>
        <w:gridCol w:w="47"/>
        <w:gridCol w:w="767"/>
        <w:gridCol w:w="34"/>
        <w:gridCol w:w="714"/>
        <w:gridCol w:w="34"/>
        <w:gridCol w:w="722"/>
        <w:gridCol w:w="33"/>
        <w:gridCol w:w="727"/>
        <w:gridCol w:w="33"/>
        <w:gridCol w:w="1285"/>
      </w:tblGrid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المؤشر</w:t>
            </w:r>
          </w:p>
        </w:tc>
        <w:tc>
          <w:tcPr>
            <w:tcW w:w="5105" w:type="dxa"/>
            <w:gridSpan w:val="11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السنة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1996</w:t>
            </w:r>
          </w:p>
        </w:tc>
        <w:tc>
          <w:tcPr>
            <w:tcW w:w="848" w:type="dxa"/>
            <w:gridSpan w:val="3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1999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2004</w:t>
            </w:r>
          </w:p>
        </w:tc>
        <w:tc>
          <w:tcPr>
            <w:tcW w:w="755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2008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2012</w:t>
            </w:r>
          </w:p>
        </w:tc>
        <w:tc>
          <w:tcPr>
            <w:tcW w:w="1285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2016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6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الأسر ضحايا الأفعال الإجرامية  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مجموع الأفعال الإجرامية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5.6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5.1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11.3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7.5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9.6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7.0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السرقة (باستثناء السيارة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)</w:t>
            </w:r>
            <w:proofErr w:type="spellEnd"/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1.6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1.2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1.2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2.0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3.2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3.6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سرقة  السيارة أو بعض قطع السيارة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1.8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1.9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1.1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6.1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4.3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4.0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محاولات السطو والسرقة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0.5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0.4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0.6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0.7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0.6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إتلاف الممتلكات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1.3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0.2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1.7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0.5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0.4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الأسر ضحايا التهديد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(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تهديد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كلامي،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تهديد بسلاح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ناري،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سلاح أبيض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)</w:t>
            </w:r>
            <w:proofErr w:type="spellEnd"/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1.3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0.4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0.6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0.3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0.7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الاعتداء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1.2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0.4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0.7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0.9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الأسر ضحايا التحرش والاعتداء من قبل الجيش الإسرائيلي والمستوطنين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1.3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7.1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2.4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4.4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1.3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  <w:t>نسبة</w:t>
            </w: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2455E1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  <w:t>الأسر</w:t>
            </w: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2455E1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  <w:t>ضحايا التعرض لجرائم أخرى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0.3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0.4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0.2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0.3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الاسر ضحايا التهديدات المعلوماتية على مواقع الانترنت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  <w:lang w:eastAsia="en-US"/>
              </w:rPr>
              <w:t>نسبة الاسر التي تعرض أحد أفرادها لتهديد معلوماتي واحد على الاقل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الأفراد ضحايا الأفعال الإجرامية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*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للسرقة/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محاولة السطو والسرقة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54.2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55.2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19.5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33.9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41.9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61.8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للاعتداء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بالضرب</w:t>
            </w: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/</w:t>
            </w:r>
            <w:proofErr w:type="spellEnd"/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التهديد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18.8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18.0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13.1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18.4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10.6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14.9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تعرضوا لإتلاف الممتلكات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16.1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4.4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8.2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18.3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3.0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0.4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مكان حصول الجريمة*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تعرضوا  لفعل إجرامي داخل المنزل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23.5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16.5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44.8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45.9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49.3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35.8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تعرضوا  لفعل إجرامي بجوار المنزل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32.8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41.7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17.5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26.4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19.0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26.8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التبليغ عن الجريمة*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تعرضوا  لفعل إجرامي وقاموا بالتبليغ عن الجريمة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40.2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43.2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29.5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53.0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43.4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43.0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pStyle w:val="Heading2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أسباب عدم التبليغ عن الجريمة*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لم يبلغوا بسبب عدم خطورة الحادث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51.7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29.3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28.5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46.4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40.7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لم يبلغوا بسبب حل الموضوع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شخصيا/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عشائرياً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10.7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30.0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18.3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8.2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12.6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لم يبلغوا بسبب عدم الرغبة في تدخل الشرطة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10.7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20.7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21.2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23.2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24.3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منفذ الجريمة*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 لفعل إجرامي من قبل جيش الاحتلال أو المستوطنين الإسرائيليين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11.6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26.8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62.7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33.3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42.2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17.1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 لفعل إجرامي من قبل أحد الأقارب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13.0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8.9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4.4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4.8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12.4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الأضرار البشرية والمادية للفعل الإجرامي*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 لفعل إجرامي تسبب لهم بأضرار بشرية فقط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22.6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16.5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10.5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12.3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5.5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8.6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نسبة الأفراد الضحايا الذين تعرضوا  لفعل إجرامي تسبب لهم بأضرار مادية فقط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77.4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61.0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60.0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63.9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74.9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68.2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نسبة الأفراد الضحايا الذين تعرضوا  لفعل إجرامي تسبب لهم بأضرار مادية وبشرية معا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..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3.2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3.4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1.8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1.5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3.2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 لفعل إجرامي تسبب لهم بأضرار مادية تقدر بألف دينار أردني أو اكثر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15.3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14.7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21.2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30.4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19.9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19.8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الجهة التي تحملت عبء الأضرار المادية*</w:t>
            </w: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8DB3E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8DB3E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نسبة الأفراد الضحايا الذين تعرضوا  لفعل </w:t>
            </w: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إجرامي،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وكان الضحية هو الذي تحمل عبء الأضرار المادية للفعل الإجرامي 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85.8</w:t>
            </w: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88.7</w:t>
            </w: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78.6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72.7</w:t>
            </w: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94.4</w:t>
            </w:r>
          </w:p>
        </w:tc>
        <w:tc>
          <w:tcPr>
            <w:tcW w:w="1318" w:type="dxa"/>
            <w:gridSpan w:val="2"/>
            <w:vAlign w:val="center"/>
          </w:tcPr>
          <w:p w:rsidR="00A22B87" w:rsidRPr="002455E1" w:rsidRDefault="00A22B87" w:rsidP="003A78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91.8</w:t>
            </w: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(..):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البيانات غير متوفرة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A22B87" w:rsidRPr="002455E1" w:rsidTr="00A22B87">
        <w:trPr>
          <w:trHeight w:val="284"/>
          <w:jc w:val="center"/>
        </w:trPr>
        <w:tc>
          <w:tcPr>
            <w:tcW w:w="5385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  <w:proofErr w:type="spellStart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>(*):</w:t>
            </w:r>
            <w:proofErr w:type="spellEnd"/>
            <w:r w:rsidRPr="002455E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  <w:t xml:space="preserve"> النسبة هي من إجمالي الأفراد الذين تعرضوا لفعل إجرامي واحد على الأقل</w:t>
            </w: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7" w:type="dxa"/>
            <w:vAlign w:val="center"/>
          </w:tcPr>
          <w:p w:rsidR="00A22B87" w:rsidRPr="002455E1" w:rsidRDefault="00A22B87" w:rsidP="003A78F7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18" w:type="dxa"/>
            <w:gridSpan w:val="2"/>
          </w:tcPr>
          <w:p w:rsidR="00A22B87" w:rsidRPr="002455E1" w:rsidRDefault="00A22B87" w:rsidP="003A78F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</w:tbl>
    <w:p w:rsidR="00A22B87" w:rsidRPr="0093386C" w:rsidRDefault="00A22B87" w:rsidP="00A22B87">
      <w:pPr>
        <w:pStyle w:val="BodyText"/>
        <w:jc w:val="left"/>
        <w:rPr>
          <w:color w:val="000000"/>
          <w:rtl/>
          <w:lang w:eastAsia="en-US"/>
        </w:rPr>
      </w:pPr>
    </w:p>
    <w:p w:rsidR="00241AEF" w:rsidRDefault="00A22B87">
      <w:r>
        <w:rPr>
          <w:rFonts w:hint="cs"/>
          <w:rtl/>
        </w:rPr>
        <w:t xml:space="preserve"> </w:t>
      </w:r>
    </w:p>
    <w:sectPr w:rsidR="00241AEF" w:rsidSect="0040271C">
      <w:headerReference w:type="default" r:id="rId11"/>
      <w:headerReference w:type="first" r:id="rId12"/>
      <w:endnotePr>
        <w:numFmt w:val="lowerLetter"/>
      </w:endnotePr>
      <w:type w:val="continuous"/>
      <w:pgSz w:w="11906" w:h="16838" w:code="9"/>
      <w:pgMar w:top="1418" w:right="1418" w:bottom="1418" w:left="1418" w:header="709" w:footer="709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7A" w:rsidRDefault="00C6287A" w:rsidP="00A22B87">
      <w:r>
        <w:separator/>
      </w:r>
    </w:p>
  </w:endnote>
  <w:endnote w:type="continuationSeparator" w:id="0">
    <w:p w:rsidR="00C6287A" w:rsidRDefault="00C6287A" w:rsidP="00A22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61" w:rsidRDefault="007E38F7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</w:rPr>
      <w:fldChar w:fldCharType="begin"/>
    </w:r>
    <w:r w:rsidR="009376D0">
      <w:rPr>
        <w:rStyle w:val="PageNumber"/>
        <w:lang w:eastAsia="en-US"/>
      </w:rPr>
      <w:instrText xml:space="preserve">PAGE  </w:instrText>
    </w:r>
    <w:r>
      <w:rPr>
        <w:rStyle w:val="PageNumber"/>
      </w:rPr>
      <w:fldChar w:fldCharType="end"/>
    </w:r>
  </w:p>
  <w:p w:rsidR="00902961" w:rsidRDefault="00C6287A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61" w:rsidRDefault="007E38F7">
    <w:pPr>
      <w:pStyle w:val="Footer"/>
      <w:jc w:val="center"/>
    </w:pPr>
    <w:r>
      <w:fldChar w:fldCharType="begin"/>
    </w:r>
    <w:r w:rsidR="009376D0">
      <w:instrText xml:space="preserve"> PAGE   \* MERGEFORMAT </w:instrText>
    </w:r>
    <w:r>
      <w:fldChar w:fldCharType="separate"/>
    </w:r>
    <w:r w:rsidR="0019680E">
      <w:rPr>
        <w:noProof/>
        <w:rtl/>
      </w:rPr>
      <w:t>2</w:t>
    </w:r>
    <w:r>
      <w:fldChar w:fldCharType="end"/>
    </w:r>
  </w:p>
  <w:p w:rsidR="00902961" w:rsidRDefault="00C6287A" w:rsidP="0040271C">
    <w:pPr>
      <w:pStyle w:val="Footer"/>
      <w:bidi w:val="0"/>
      <w:jc w:val="center"/>
      <w:rPr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2669352"/>
      <w:docPartObj>
        <w:docPartGallery w:val="Page Numbers (Bottom of Page)"/>
        <w:docPartUnique/>
      </w:docPartObj>
    </w:sdtPr>
    <w:sdtContent>
      <w:p w:rsidR="00A22B87" w:rsidRDefault="007E38F7">
        <w:pPr>
          <w:pStyle w:val="Footer"/>
          <w:jc w:val="center"/>
        </w:pPr>
        <w:fldSimple w:instr=" PAGE   \* MERGEFORMAT ">
          <w:r w:rsidR="0019680E">
            <w:rPr>
              <w:noProof/>
              <w:rtl/>
            </w:rPr>
            <w:t>1</w:t>
          </w:r>
        </w:fldSimple>
      </w:p>
    </w:sdtContent>
  </w:sdt>
  <w:p w:rsidR="00A22B87" w:rsidRDefault="00A22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7A" w:rsidRDefault="00C6287A" w:rsidP="00A22B87">
      <w:r>
        <w:separator/>
      </w:r>
    </w:p>
  </w:footnote>
  <w:footnote w:type="continuationSeparator" w:id="0">
    <w:p w:rsidR="00C6287A" w:rsidRDefault="00C6287A" w:rsidP="00A22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61" w:rsidRPr="00964E77" w:rsidRDefault="009376D0" w:rsidP="00A22B87">
    <w:pPr>
      <w:pStyle w:val="Header"/>
      <w:tabs>
        <w:tab w:val="clear" w:pos="4153"/>
        <w:tab w:val="clear" w:pos="8306"/>
        <w:tab w:val="left" w:pos="3896"/>
      </w:tabs>
      <w:rPr>
        <w:rFonts w:cs="Simplified Arabic"/>
        <w:sz w:val="18"/>
        <w:szCs w:val="18"/>
        <w:rtl/>
        <w:lang w:eastAsia="en-US"/>
      </w:rPr>
    </w:pPr>
    <w:r>
      <w:rPr>
        <w:rFonts w:cs="Simplified Arabic" w:hint="cs"/>
        <w:sz w:val="18"/>
        <w:szCs w:val="18"/>
        <w:rtl/>
        <w:lang w:eastAsia="en-US"/>
      </w:rP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61" w:rsidRPr="00964E77" w:rsidRDefault="00C6287A" w:rsidP="00D66023">
    <w:pPr>
      <w:pStyle w:val="Header"/>
      <w:rPr>
        <w:rFonts w:cs="Simplified Arabic"/>
        <w:sz w:val="18"/>
        <w:szCs w:val="18"/>
        <w:rtl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61" w:rsidRDefault="00C6287A" w:rsidP="0040271C">
    <w:pPr>
      <w:pStyle w:val="Header"/>
      <w:tabs>
        <w:tab w:val="clear" w:pos="4153"/>
        <w:tab w:val="clear" w:pos="8306"/>
        <w:tab w:val="left" w:pos="78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A22B87"/>
    <w:rsid w:val="0019680E"/>
    <w:rsid w:val="00241AEF"/>
    <w:rsid w:val="007E38F7"/>
    <w:rsid w:val="009376D0"/>
    <w:rsid w:val="00A22B87"/>
    <w:rsid w:val="00BD1620"/>
    <w:rsid w:val="00C6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8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22B87"/>
    <w:pPr>
      <w:keepNext/>
      <w:outlineLvl w:val="1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A22B87"/>
    <w:pPr>
      <w:keepNext/>
      <w:outlineLvl w:val="5"/>
    </w:pPr>
    <w:rPr>
      <w:rFonts w:cs="Simplified Arabic"/>
      <w:b/>
      <w:bCs/>
    </w:rPr>
  </w:style>
  <w:style w:type="paragraph" w:styleId="Heading9">
    <w:name w:val="heading 9"/>
    <w:basedOn w:val="Normal"/>
    <w:next w:val="Normal"/>
    <w:link w:val="Heading9Char"/>
    <w:qFormat/>
    <w:rsid w:val="00A22B87"/>
    <w:pPr>
      <w:keepNext/>
      <w:jc w:val="lowKashida"/>
      <w:outlineLvl w:val="8"/>
    </w:pPr>
    <w:rPr>
      <w:rFonts w:cs="Simplified Arab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B87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A22B87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A22B87"/>
    <w:rPr>
      <w:rFonts w:ascii="Times New Roman" w:eastAsia="Times New Roman" w:hAnsi="Times New Roman" w:cs="Simplified Arabic"/>
      <w:b/>
      <w:bCs/>
      <w:sz w:val="20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A22B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87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22B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87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PageNumber">
    <w:name w:val="page number"/>
    <w:basedOn w:val="DefaultParagraphFont"/>
    <w:semiHidden/>
    <w:rsid w:val="00A22B87"/>
  </w:style>
  <w:style w:type="paragraph" w:styleId="BodyText">
    <w:name w:val="Body Text"/>
    <w:basedOn w:val="Normal"/>
    <w:link w:val="BodyTextChar"/>
    <w:semiHidden/>
    <w:rsid w:val="00A22B87"/>
    <w:pPr>
      <w:jc w:val="lowKashida"/>
    </w:pPr>
    <w:rPr>
      <w:rFonts w:cs="Simplified Arabic"/>
    </w:rPr>
  </w:style>
  <w:style w:type="character" w:customStyle="1" w:styleId="BodyTextChar">
    <w:name w:val="Body Text Char"/>
    <w:basedOn w:val="DefaultParagraphFont"/>
    <w:link w:val="BodyText"/>
    <w:semiHidden/>
    <w:rsid w:val="00A22B87"/>
    <w:rPr>
      <w:rFonts w:ascii="Times New Roman" w:eastAsia="Times New Roman" w:hAnsi="Times New Roman" w:cs="Simplified Arabic"/>
      <w:sz w:val="20"/>
      <w:szCs w:val="20"/>
      <w:lang w:eastAsia="ar-SA"/>
    </w:rPr>
  </w:style>
  <w:style w:type="paragraph" w:styleId="BodyText2">
    <w:name w:val="Body Text 2"/>
    <w:basedOn w:val="Normal"/>
    <w:link w:val="BodyText2Char"/>
    <w:semiHidden/>
    <w:rsid w:val="00A22B87"/>
    <w:pPr>
      <w:jc w:val="lowKashida"/>
    </w:pPr>
    <w:rPr>
      <w:rFonts w:cs="Simplified Arabic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A22B87"/>
    <w:rPr>
      <w:rFonts w:ascii="Times New Roman" w:eastAsia="Times New Roman" w:hAnsi="Times New Roman" w:cs="Simplified Arabic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BA48-8658-4377-90BD-5669AC5C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3</cp:revision>
  <cp:lastPrinted>2017-03-14T12:55:00Z</cp:lastPrinted>
  <dcterms:created xsi:type="dcterms:W3CDTF">2017-03-14T12:50:00Z</dcterms:created>
  <dcterms:modified xsi:type="dcterms:W3CDTF">2017-03-15T06:59:00Z</dcterms:modified>
</cp:coreProperties>
</file>