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8B" w:rsidRDefault="004A328B" w:rsidP="004A328B">
      <w:pPr>
        <w:ind w:left="-28" w:right="-272"/>
        <w:jc w:val="center"/>
        <w:rPr>
          <w:rFonts w:cs="Simplified Arabic" w:hint="cs"/>
          <w:b/>
          <w:bCs/>
          <w:color w:val="000000"/>
          <w:sz w:val="22"/>
          <w:szCs w:val="22"/>
          <w:rtl/>
        </w:rPr>
      </w:pPr>
      <w:bookmarkStart w:id="0" w:name="OLE_LINK5"/>
      <w:bookmarkStart w:id="1" w:name="OLE_LINK6"/>
    </w:p>
    <w:p w:rsidR="004A328B" w:rsidRDefault="004A328B" w:rsidP="004A328B">
      <w:pPr>
        <w:ind w:left="-28" w:right="-272"/>
        <w:jc w:val="center"/>
        <w:rPr>
          <w:rFonts w:cs="Simplified Arabic"/>
          <w:b/>
          <w:bCs/>
          <w:color w:val="000000"/>
          <w:sz w:val="22"/>
          <w:szCs w:val="22"/>
          <w:rtl/>
        </w:rPr>
      </w:pPr>
    </w:p>
    <w:p w:rsidR="004A328B" w:rsidRDefault="004A328B" w:rsidP="004A328B">
      <w:pPr>
        <w:ind w:left="-28" w:right="-272"/>
        <w:jc w:val="center"/>
        <w:rPr>
          <w:rFonts w:cs="Simplified Arabic"/>
          <w:b/>
          <w:bCs/>
          <w:color w:val="000000"/>
          <w:sz w:val="22"/>
          <w:szCs w:val="22"/>
          <w:rtl/>
        </w:rPr>
      </w:pPr>
    </w:p>
    <w:p w:rsidR="004A328B" w:rsidRDefault="004A328B" w:rsidP="004A328B">
      <w:pPr>
        <w:ind w:left="-28" w:right="-272"/>
        <w:jc w:val="center"/>
        <w:rPr>
          <w:rFonts w:cs="Simplified Arabic"/>
          <w:b/>
          <w:bCs/>
          <w:color w:val="000000"/>
          <w:sz w:val="22"/>
          <w:szCs w:val="22"/>
          <w:rtl/>
        </w:rPr>
      </w:pPr>
    </w:p>
    <w:p w:rsidR="004A328B" w:rsidRPr="00421687" w:rsidRDefault="004A328B" w:rsidP="004A328B">
      <w:pPr>
        <w:ind w:left="-28" w:right="-272"/>
        <w:jc w:val="center"/>
        <w:rPr>
          <w:rFonts w:cs="Simplified Arabic"/>
          <w:b/>
          <w:bCs/>
          <w:color w:val="000000"/>
          <w:sz w:val="36"/>
          <w:szCs w:val="36"/>
          <w:rtl/>
        </w:rPr>
      </w:pPr>
    </w:p>
    <w:p w:rsidR="004A328B" w:rsidRPr="00421687" w:rsidRDefault="001B013D" w:rsidP="004A328B">
      <w:pPr>
        <w:ind w:left="-28" w:right="-272"/>
        <w:jc w:val="center"/>
        <w:rPr>
          <w:rFonts w:cs="Simplified Arabic"/>
          <w:b/>
          <w:bCs/>
          <w:color w:val="000000"/>
          <w:sz w:val="36"/>
          <w:szCs w:val="36"/>
          <w:rtl/>
        </w:rPr>
      </w:pPr>
      <w:r>
        <w:rPr>
          <w:rFonts w:cs="Simplified Arabic" w:hint="cs"/>
          <w:b/>
          <w:bCs/>
          <w:color w:val="000000"/>
          <w:sz w:val="36"/>
          <w:szCs w:val="36"/>
          <w:rtl/>
        </w:rPr>
        <w:t>الاحصاء ا</w:t>
      </w:r>
      <w:r w:rsidR="004A328B" w:rsidRPr="00421687">
        <w:rPr>
          <w:rFonts w:cs="Simplified Arabic" w:hint="cs"/>
          <w:b/>
          <w:bCs/>
          <w:color w:val="000000"/>
          <w:sz w:val="36"/>
          <w:szCs w:val="36"/>
          <w:rtl/>
        </w:rPr>
        <w:t xml:space="preserve">لفلسطيني يعلن الرقم القياسي لأسعار المنتج في فلسطين </w:t>
      </w:r>
    </w:p>
    <w:p w:rsidR="004A328B" w:rsidRPr="00421687" w:rsidRDefault="004A328B" w:rsidP="004A328B">
      <w:pPr>
        <w:ind w:left="-28" w:right="-272"/>
        <w:jc w:val="center"/>
        <w:rPr>
          <w:rFonts w:cs="Simplified Arabic"/>
          <w:b/>
          <w:bCs/>
          <w:color w:val="000000"/>
          <w:sz w:val="36"/>
          <w:szCs w:val="36"/>
          <w:rtl/>
        </w:rPr>
      </w:pPr>
      <w:r w:rsidRPr="00421687">
        <w:rPr>
          <w:rFonts w:cs="Simplified Arabic" w:hint="cs"/>
          <w:b/>
          <w:bCs/>
          <w:color w:val="000000"/>
          <w:sz w:val="36"/>
          <w:szCs w:val="36"/>
          <w:rtl/>
        </w:rPr>
        <w:t>لشهر كانون ثاني،2013</w:t>
      </w:r>
    </w:p>
    <w:p w:rsidR="004A328B" w:rsidRDefault="004A328B" w:rsidP="004A328B">
      <w:pPr>
        <w:ind w:left="-28" w:right="-272"/>
        <w:jc w:val="center"/>
        <w:rPr>
          <w:rFonts w:cs="Simplified Arabic"/>
          <w:b/>
          <w:bCs/>
          <w:color w:val="000000"/>
          <w:sz w:val="22"/>
          <w:szCs w:val="22"/>
          <w:rtl/>
        </w:rPr>
      </w:pPr>
    </w:p>
    <w:p w:rsidR="004A328B" w:rsidRPr="001D048D" w:rsidRDefault="004A328B" w:rsidP="004A328B">
      <w:pPr>
        <w:ind w:left="-28" w:right="-272"/>
        <w:jc w:val="center"/>
        <w:rPr>
          <w:rFonts w:cs="Simplified Arabic"/>
          <w:b/>
          <w:bCs/>
          <w:color w:val="000000"/>
          <w:sz w:val="22"/>
          <w:szCs w:val="22"/>
          <w:rtl/>
        </w:rPr>
      </w:pPr>
    </w:p>
    <w:p w:rsidR="004A328B" w:rsidRPr="007A0560" w:rsidRDefault="004A328B" w:rsidP="004A328B">
      <w:pPr>
        <w:ind w:left="-28" w:right="-272"/>
        <w:jc w:val="both"/>
        <w:rPr>
          <w:rFonts w:cs="Simplified Arabic"/>
          <w:b/>
          <w:bCs/>
          <w:color w:val="000000"/>
          <w:sz w:val="8"/>
          <w:szCs w:val="8"/>
        </w:rPr>
      </w:pPr>
    </w:p>
    <w:p w:rsidR="004A328B" w:rsidRPr="001D048D" w:rsidRDefault="004A328B" w:rsidP="004A328B">
      <w:pPr>
        <w:pStyle w:val="a4"/>
        <w:tabs>
          <w:tab w:val="left" w:pos="5925"/>
        </w:tabs>
        <w:jc w:val="both"/>
        <w:rPr>
          <w:rFonts w:cs="Simplified Arabic"/>
          <w:b/>
          <w:bCs/>
          <w:color w:val="000000"/>
          <w:sz w:val="28"/>
          <w:szCs w:val="28"/>
          <w:rtl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>ارتفاع</w:t>
      </w:r>
      <w:r w:rsidRPr="001D048D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أسعار المنتج خلال شهر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كانون ثاني</w:t>
      </w:r>
      <w:r w:rsidRPr="001D048D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201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3</w:t>
      </w:r>
    </w:p>
    <w:p w:rsidR="004A328B" w:rsidRPr="00EA206B" w:rsidRDefault="004A328B" w:rsidP="004A328B">
      <w:pPr>
        <w:pStyle w:val="a4"/>
        <w:tabs>
          <w:tab w:val="left" w:pos="5925"/>
        </w:tabs>
        <w:jc w:val="both"/>
        <w:rPr>
          <w:rFonts w:cs="Simplified Arabic"/>
          <w:color w:val="000000"/>
          <w:sz w:val="24"/>
          <w:szCs w:val="24"/>
          <w:rtl/>
        </w:rPr>
      </w:pPr>
      <w:r w:rsidRPr="00347E8D">
        <w:rPr>
          <w:rFonts w:cs="Simplified Arabic" w:hint="cs"/>
          <w:color w:val="000000"/>
          <w:sz w:val="24"/>
          <w:szCs w:val="24"/>
          <w:rtl/>
        </w:rPr>
        <w:t xml:space="preserve">الرقم القياسي العام لأسعار </w:t>
      </w:r>
      <w:r>
        <w:rPr>
          <w:rFonts w:cs="Simplified Arabic" w:hint="cs"/>
          <w:color w:val="000000"/>
          <w:sz w:val="24"/>
          <w:szCs w:val="24"/>
          <w:rtl/>
        </w:rPr>
        <w:t>المنتج</w:t>
      </w:r>
      <w:r w:rsidRPr="00347E8D">
        <w:rPr>
          <w:rFonts w:cs="Simplified Arabic" w:hint="cs"/>
          <w:color w:val="000000"/>
          <w:sz w:val="24"/>
          <w:szCs w:val="24"/>
          <w:rtl/>
        </w:rPr>
        <w:t xml:space="preserve"> يسجل </w:t>
      </w:r>
      <w:r>
        <w:rPr>
          <w:rFonts w:cs="Simplified Arabic" w:hint="cs"/>
          <w:color w:val="000000"/>
          <w:sz w:val="24"/>
          <w:szCs w:val="24"/>
          <w:rtl/>
        </w:rPr>
        <w:t>ارتفاع</w:t>
      </w:r>
      <w:r w:rsidRPr="00347E8D">
        <w:rPr>
          <w:rFonts w:cs="Simplified Arabic" w:hint="cs"/>
          <w:color w:val="000000"/>
          <w:sz w:val="24"/>
          <w:szCs w:val="24"/>
          <w:rtl/>
        </w:rPr>
        <w:t xml:space="preserve">اً </w:t>
      </w:r>
      <w:r>
        <w:rPr>
          <w:rFonts w:cs="Simplified Arabic" w:hint="cs"/>
          <w:color w:val="000000"/>
          <w:sz w:val="24"/>
          <w:szCs w:val="24"/>
          <w:rtl/>
        </w:rPr>
        <w:t>بنسبة</w:t>
      </w:r>
      <w:r w:rsidRPr="00347E8D">
        <w:rPr>
          <w:rFonts w:cs="Simplified Arabic" w:hint="cs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0.95</w:t>
      </w:r>
      <w:r w:rsidRPr="00347E8D">
        <w:rPr>
          <w:rFonts w:cs="Simplified Arabic" w:hint="cs"/>
          <w:color w:val="000000"/>
          <w:sz w:val="24"/>
          <w:szCs w:val="24"/>
          <w:rtl/>
        </w:rPr>
        <w:t>%</w:t>
      </w:r>
      <w:proofErr w:type="spellEnd"/>
      <w:r w:rsidRPr="00347E8D">
        <w:rPr>
          <w:rFonts w:cs="Simplified Arabic" w:hint="cs"/>
          <w:color w:val="000000"/>
          <w:sz w:val="24"/>
          <w:szCs w:val="24"/>
          <w:rtl/>
        </w:rPr>
        <w:t xml:space="preserve"> خلال </w:t>
      </w:r>
      <w:r>
        <w:rPr>
          <w:rFonts w:cs="Simplified Arabic" w:hint="cs"/>
          <w:color w:val="000000"/>
          <w:sz w:val="24"/>
          <w:szCs w:val="24"/>
          <w:rtl/>
        </w:rPr>
        <w:t>شهر كانون ثاني 2013</w:t>
      </w:r>
      <w:r w:rsidRPr="00347E8D">
        <w:rPr>
          <w:rFonts w:cs="Simplified Arabic" w:hint="cs"/>
          <w:color w:val="000000"/>
          <w:sz w:val="24"/>
          <w:szCs w:val="24"/>
          <w:rtl/>
        </w:rPr>
        <w:t xml:space="preserve"> مقارنة مع </w:t>
      </w:r>
      <w:r>
        <w:rPr>
          <w:rFonts w:cs="Simplified Arabic" w:hint="cs"/>
          <w:color w:val="000000"/>
          <w:sz w:val="24"/>
          <w:szCs w:val="24"/>
          <w:rtl/>
        </w:rPr>
        <w:t>الشهر</w:t>
      </w:r>
      <w:r w:rsidRPr="00347E8D">
        <w:rPr>
          <w:rFonts w:cs="Simplified Arabic" w:hint="cs"/>
          <w:color w:val="000000"/>
          <w:sz w:val="24"/>
          <w:szCs w:val="24"/>
          <w:rtl/>
        </w:rPr>
        <w:t xml:space="preserve"> </w:t>
      </w:r>
      <w:proofErr w:type="spellStart"/>
      <w:r w:rsidRPr="00347E8D">
        <w:rPr>
          <w:rFonts w:cs="Simplified Arabic" w:hint="cs"/>
          <w:color w:val="000000"/>
          <w:sz w:val="24"/>
          <w:szCs w:val="24"/>
          <w:rtl/>
        </w:rPr>
        <w:t>السابق</w:t>
      </w:r>
      <w:r>
        <w:rPr>
          <w:rFonts w:cs="Simplified Arabic" w:hint="cs"/>
          <w:color w:val="000000"/>
          <w:sz w:val="24"/>
          <w:szCs w:val="24"/>
          <w:rtl/>
        </w:rPr>
        <w:t>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</w:t>
      </w:r>
      <w:r w:rsidRPr="0002407B">
        <w:rPr>
          <w:rFonts w:cs="Simplified Arabic" w:hint="cs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 xml:space="preserve">الرقم القياسي العام 103.41 خلال شهر كانون ثاني 2013 مقارنة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بـ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102.43 خلال الشهر السابق </w:t>
      </w:r>
      <w:r w:rsidRPr="0002407B">
        <w:rPr>
          <w:rFonts w:cs="Simplified Arabic" w:hint="cs"/>
          <w:color w:val="000000"/>
          <w:sz w:val="24"/>
          <w:szCs w:val="24"/>
          <w:rtl/>
        </w:rPr>
        <w:t>(</w:t>
      </w:r>
      <w:r>
        <w:rPr>
          <w:rFonts w:cs="Simplified Arabic" w:hint="cs"/>
          <w:color w:val="000000"/>
          <w:sz w:val="24"/>
          <w:szCs w:val="24"/>
          <w:rtl/>
        </w:rPr>
        <w:t>شهر الأساس</w:t>
      </w:r>
      <w:r w:rsidRPr="0002407B">
        <w:rPr>
          <w:rFonts w:cs="Simplified Arabic" w:hint="cs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 xml:space="preserve">كانون ثاني 2011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=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</w:p>
    <w:p w:rsidR="004A328B" w:rsidRPr="007A0560" w:rsidRDefault="004A328B" w:rsidP="004A328B">
      <w:pPr>
        <w:pStyle w:val="a4"/>
        <w:tabs>
          <w:tab w:val="left" w:pos="5925"/>
        </w:tabs>
        <w:rPr>
          <w:rFonts w:cs="Simplified Arabic"/>
          <w:b/>
          <w:bCs/>
          <w:color w:val="000000"/>
          <w:sz w:val="8"/>
          <w:szCs w:val="8"/>
          <w:rtl/>
        </w:rPr>
      </w:pPr>
    </w:p>
    <w:p w:rsidR="004A328B" w:rsidRDefault="004A328B" w:rsidP="004A328B">
      <w:pPr>
        <w:pStyle w:val="a4"/>
        <w:tabs>
          <w:tab w:val="left" w:pos="5925"/>
        </w:tabs>
        <w:rPr>
          <w:rFonts w:cs="Simplified Arabic"/>
          <w:b/>
          <w:bCs/>
          <w:color w:val="000000"/>
          <w:sz w:val="24"/>
          <w:szCs w:val="24"/>
          <w:rtl/>
        </w:rPr>
      </w:pPr>
      <w:r>
        <w:rPr>
          <w:rFonts w:cs="Simplified Arabic" w:hint="cs"/>
          <w:b/>
          <w:bCs/>
          <w:color w:val="000000"/>
          <w:sz w:val="24"/>
          <w:szCs w:val="24"/>
          <w:rtl/>
        </w:rPr>
        <w:t>الرقم القياسي لأسعار المنتج للسلع المصدرة</w:t>
      </w:r>
    </w:p>
    <w:p w:rsidR="004A328B" w:rsidRDefault="004A328B" w:rsidP="004A328B">
      <w:pPr>
        <w:pStyle w:val="a4"/>
        <w:tabs>
          <w:tab w:val="left" w:pos="5925"/>
        </w:tabs>
        <w:jc w:val="both"/>
        <w:rPr>
          <w:rFonts w:cs="Simplified Arabic"/>
          <w:color w:val="000000"/>
          <w:sz w:val="24"/>
          <w:szCs w:val="24"/>
          <w:rtl/>
        </w:rPr>
      </w:pPr>
      <w:r>
        <w:rPr>
          <w:rFonts w:cs="Simplified Arabic" w:hint="cs"/>
          <w:color w:val="000000"/>
          <w:sz w:val="24"/>
          <w:szCs w:val="24"/>
          <w:rtl/>
        </w:rPr>
        <w:t xml:space="preserve">سجل الرقم القياسي لأسعار السلع المصدرة من الإنتاج المحلي ارتفاعاً بنسبة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0.13%،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 الرقم القياسي لأسعار السلع المصدرة 105.56 خلال شهر كانون ثاني 2013 مقارنة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بـ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105.42 خلال</w:t>
      </w:r>
      <w:r>
        <w:rPr>
          <w:rFonts w:cs="Simplified Arabic"/>
          <w:color w:val="000000"/>
          <w:sz w:val="24"/>
          <w:szCs w:val="24"/>
          <w:rtl/>
        </w:rPr>
        <w:t xml:space="preserve"> الشهر الس</w:t>
      </w:r>
      <w:r>
        <w:rPr>
          <w:rFonts w:cs="Simplified Arabic" w:hint="cs"/>
          <w:color w:val="000000"/>
          <w:sz w:val="24"/>
          <w:szCs w:val="24"/>
          <w:rtl/>
        </w:rPr>
        <w:t>ا</w:t>
      </w:r>
      <w:r>
        <w:rPr>
          <w:rFonts w:cs="Simplified Arabic"/>
          <w:color w:val="000000"/>
          <w:sz w:val="24"/>
          <w:szCs w:val="24"/>
          <w:rtl/>
        </w:rPr>
        <w:t>بق</w:t>
      </w:r>
      <w:r>
        <w:rPr>
          <w:rFonts w:cs="Simplified Arabic" w:hint="cs"/>
          <w:color w:val="000000"/>
          <w:sz w:val="24"/>
          <w:szCs w:val="24"/>
          <w:rtl/>
        </w:rPr>
        <w:t xml:space="preserve"> (شهر الأساس كانون ثاني 2011=100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</w:p>
    <w:p w:rsidR="004A328B" w:rsidRPr="007A0560" w:rsidRDefault="004A328B" w:rsidP="004A328B">
      <w:pPr>
        <w:pStyle w:val="a4"/>
        <w:tabs>
          <w:tab w:val="left" w:pos="5925"/>
        </w:tabs>
        <w:rPr>
          <w:rFonts w:cs="Simplified Arabic"/>
          <w:b/>
          <w:bCs/>
          <w:color w:val="000000"/>
          <w:sz w:val="8"/>
          <w:szCs w:val="8"/>
          <w:rtl/>
        </w:rPr>
      </w:pPr>
    </w:p>
    <w:p w:rsidR="004A328B" w:rsidRDefault="004A328B" w:rsidP="004A328B">
      <w:pPr>
        <w:pStyle w:val="a4"/>
        <w:tabs>
          <w:tab w:val="left" w:pos="5925"/>
        </w:tabs>
        <w:rPr>
          <w:rFonts w:cs="Simplified Arabic"/>
          <w:b/>
          <w:bCs/>
          <w:color w:val="000000"/>
          <w:sz w:val="24"/>
          <w:szCs w:val="24"/>
          <w:rtl/>
        </w:rPr>
      </w:pPr>
      <w:r>
        <w:rPr>
          <w:rFonts w:cs="Simplified Arabic" w:hint="cs"/>
          <w:b/>
          <w:bCs/>
          <w:color w:val="000000"/>
          <w:sz w:val="24"/>
          <w:szCs w:val="24"/>
          <w:rtl/>
        </w:rPr>
        <w:t>الرقم القياسي لأسعار المنتج للسلع المستهلكة محلياً</w:t>
      </w:r>
    </w:p>
    <w:p w:rsidR="004A328B" w:rsidRDefault="004A328B" w:rsidP="004A328B">
      <w:pPr>
        <w:pStyle w:val="a4"/>
        <w:tabs>
          <w:tab w:val="left" w:pos="5925"/>
        </w:tabs>
        <w:jc w:val="both"/>
        <w:rPr>
          <w:rFonts w:cs="Simplified Arabic"/>
          <w:color w:val="000000"/>
          <w:sz w:val="24"/>
          <w:szCs w:val="24"/>
          <w:rtl/>
        </w:rPr>
      </w:pPr>
      <w:r>
        <w:rPr>
          <w:rFonts w:cs="Simplified Arabic" w:hint="cs"/>
          <w:color w:val="000000"/>
          <w:sz w:val="24"/>
          <w:szCs w:val="24"/>
          <w:rtl/>
        </w:rPr>
        <w:t xml:space="preserve"> سجل الرقم القياسي لأسعار المنتج للسلع المستهلكة محلياً من الإنتاج المحلي ارتفاعاً بنسبة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1.04%،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 الرقم القياسي لأسعار المنتج للسلع المستهلكة محلياً 103.19 خلال شهر كانون ثاني 2013 مقارنة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بـ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102.13 خلال</w:t>
      </w:r>
      <w:r>
        <w:rPr>
          <w:rFonts w:cs="Simplified Arabic"/>
          <w:color w:val="000000"/>
          <w:sz w:val="24"/>
          <w:szCs w:val="24"/>
          <w:rtl/>
        </w:rPr>
        <w:t xml:space="preserve"> الشهر الس</w:t>
      </w:r>
      <w:r>
        <w:rPr>
          <w:rFonts w:cs="Simplified Arabic" w:hint="cs"/>
          <w:color w:val="000000"/>
          <w:sz w:val="24"/>
          <w:szCs w:val="24"/>
          <w:rtl/>
        </w:rPr>
        <w:t>ا</w:t>
      </w:r>
      <w:r>
        <w:rPr>
          <w:rFonts w:cs="Simplified Arabic"/>
          <w:color w:val="000000"/>
          <w:sz w:val="24"/>
          <w:szCs w:val="24"/>
          <w:rtl/>
        </w:rPr>
        <w:t>بق</w:t>
      </w:r>
      <w:r>
        <w:rPr>
          <w:rFonts w:cs="Simplified Arabic" w:hint="cs"/>
          <w:color w:val="000000"/>
          <w:sz w:val="24"/>
          <w:szCs w:val="24"/>
          <w:rtl/>
        </w:rPr>
        <w:t xml:space="preserve"> (شهر الأساس كانون ثاني 2011=100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</w:p>
    <w:p w:rsidR="004A328B" w:rsidRPr="007A0560" w:rsidRDefault="004A328B" w:rsidP="004A328B">
      <w:pPr>
        <w:pStyle w:val="a4"/>
        <w:tabs>
          <w:tab w:val="left" w:pos="5925"/>
        </w:tabs>
        <w:jc w:val="both"/>
        <w:rPr>
          <w:rFonts w:cs="Simplified Arabic"/>
          <w:color w:val="000000"/>
          <w:sz w:val="8"/>
          <w:szCs w:val="8"/>
          <w:rtl/>
        </w:rPr>
      </w:pPr>
    </w:p>
    <w:p w:rsidR="004A328B" w:rsidRPr="00243704" w:rsidRDefault="004A328B" w:rsidP="004A328B">
      <w:pPr>
        <w:pStyle w:val="2"/>
        <w:spacing w:after="0" w:line="240" w:lineRule="auto"/>
        <w:jc w:val="both"/>
        <w:rPr>
          <w:rFonts w:cs="Simplified Arabic"/>
          <w:b/>
          <w:bCs/>
          <w:color w:val="000000"/>
          <w:rtl/>
        </w:rPr>
      </w:pPr>
      <w:r w:rsidRPr="00243704">
        <w:rPr>
          <w:rFonts w:cs="Simplified Arabic" w:hint="cs"/>
          <w:b/>
          <w:bCs/>
          <w:color w:val="000000"/>
          <w:rtl/>
        </w:rPr>
        <w:t xml:space="preserve">حركة أسعار المنتج ضمن الأنشطة الرئيسية </w:t>
      </w:r>
    </w:p>
    <w:p w:rsidR="004A328B" w:rsidRDefault="004A328B" w:rsidP="004A328B">
      <w:pPr>
        <w:jc w:val="lowKashida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شهدت أسعار السلع المنتجة من </w:t>
      </w:r>
      <w:r>
        <w:rPr>
          <w:rFonts w:cs="Simplified Arabic" w:hint="cs"/>
          <w:b/>
          <w:bCs/>
          <w:color w:val="000000"/>
          <w:rtl/>
        </w:rPr>
        <w:t xml:space="preserve">نشاط الزراعة </w:t>
      </w:r>
      <w:r>
        <w:rPr>
          <w:rFonts w:cs="Simplified Arabic" w:hint="cs"/>
          <w:color w:val="000000"/>
          <w:rtl/>
        </w:rPr>
        <w:t>ارتفاع</w:t>
      </w:r>
      <w:r w:rsidRPr="00F7028C">
        <w:rPr>
          <w:rFonts w:cs="Simplified Arabic" w:hint="cs"/>
          <w:color w:val="000000"/>
          <w:rtl/>
        </w:rPr>
        <w:t xml:space="preserve">اً </w:t>
      </w:r>
      <w:r>
        <w:rPr>
          <w:rFonts w:cs="Simplified Arabic" w:hint="cs"/>
          <w:color w:val="000000"/>
          <w:rtl/>
        </w:rPr>
        <w:t xml:space="preserve">بنسبة </w:t>
      </w:r>
      <w:proofErr w:type="spellStart"/>
      <w:r>
        <w:rPr>
          <w:rFonts w:cs="Simplified Arabic" w:hint="cs"/>
          <w:color w:val="000000"/>
          <w:rtl/>
        </w:rPr>
        <w:t>2.68%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36.01%</w:t>
      </w:r>
      <w:proofErr w:type="spellEnd"/>
      <w:r>
        <w:rPr>
          <w:rFonts w:cs="Simplified Arabic" w:hint="cs"/>
          <w:color w:val="000000"/>
          <w:rtl/>
        </w:rPr>
        <w:t xml:space="preserve"> من سلة </w:t>
      </w:r>
      <w:proofErr w:type="spellStart"/>
      <w:r>
        <w:rPr>
          <w:rFonts w:cs="Simplified Arabic" w:hint="cs"/>
          <w:color w:val="000000"/>
          <w:rtl/>
        </w:rPr>
        <w:t>المنتج،</w:t>
      </w:r>
      <w:proofErr w:type="spellEnd"/>
      <w:r>
        <w:rPr>
          <w:rFonts w:cs="Simplified Arabic" w:hint="cs"/>
          <w:color w:val="000000"/>
          <w:rtl/>
        </w:rPr>
        <w:t xml:space="preserve"> وذلك لارتفاع أسعار زراعة المحاصيل بنسبة </w:t>
      </w:r>
      <w:proofErr w:type="spellStart"/>
      <w:r>
        <w:rPr>
          <w:rFonts w:cs="Simplified Arabic" w:hint="cs"/>
          <w:color w:val="000000"/>
          <w:rtl/>
        </w:rPr>
        <w:t>1.38%،</w:t>
      </w:r>
      <w:proofErr w:type="spellEnd"/>
      <w:r>
        <w:rPr>
          <w:rFonts w:cs="Simplified Arabic" w:hint="cs"/>
          <w:color w:val="000000"/>
          <w:rtl/>
        </w:rPr>
        <w:t xml:space="preserve"> بسبب ارتفاع أسعار الخضروات الطازجة والمجففة بنسبة </w:t>
      </w:r>
      <w:proofErr w:type="spellStart"/>
      <w:r>
        <w:rPr>
          <w:rFonts w:cs="Simplified Arabic" w:hint="cs"/>
          <w:color w:val="000000"/>
          <w:rtl/>
        </w:rPr>
        <w:t>2.45%،</w:t>
      </w:r>
      <w:proofErr w:type="spellEnd"/>
      <w:r>
        <w:rPr>
          <w:rFonts w:cs="Simplified Arabic" w:hint="cs"/>
          <w:color w:val="000000"/>
          <w:rtl/>
        </w:rPr>
        <w:t xml:space="preserve"> وأسعار الفواكه الطازجة بنسبة </w:t>
      </w:r>
      <w:proofErr w:type="spellStart"/>
      <w:r>
        <w:rPr>
          <w:rFonts w:cs="Simplified Arabic" w:hint="cs"/>
          <w:color w:val="000000"/>
          <w:rtl/>
        </w:rPr>
        <w:t>1.26%،</w:t>
      </w:r>
      <w:proofErr w:type="spellEnd"/>
      <w:r>
        <w:rPr>
          <w:rFonts w:cs="Simplified Arabic" w:hint="cs"/>
          <w:color w:val="000000"/>
          <w:rtl/>
        </w:rPr>
        <w:t xml:space="preserve">  كما ارتفعت أسعار تربية الحيوان بنسبة </w:t>
      </w:r>
      <w:proofErr w:type="spellStart"/>
      <w:r>
        <w:rPr>
          <w:rFonts w:cs="Simplified Arabic" w:hint="cs"/>
          <w:color w:val="000000"/>
          <w:rtl/>
        </w:rPr>
        <w:t>4.17%،</w:t>
      </w:r>
      <w:proofErr w:type="spellEnd"/>
      <w:r>
        <w:rPr>
          <w:rFonts w:cs="Simplified Arabic" w:hint="cs"/>
          <w:color w:val="000000"/>
          <w:rtl/>
        </w:rPr>
        <w:t xml:space="preserve"> وذلك لارتفاع أسعار المنتجات الحيوانية بنسبة </w:t>
      </w:r>
      <w:proofErr w:type="spellStart"/>
      <w:r>
        <w:rPr>
          <w:rFonts w:cs="Simplified Arabic" w:hint="cs"/>
          <w:color w:val="000000"/>
          <w:rtl/>
        </w:rPr>
        <w:t>7.88%.</w:t>
      </w:r>
      <w:proofErr w:type="spellEnd"/>
    </w:p>
    <w:p w:rsidR="004A328B" w:rsidRPr="007A0560" w:rsidRDefault="004A328B" w:rsidP="004A328B">
      <w:pPr>
        <w:jc w:val="lowKashida"/>
        <w:rPr>
          <w:rFonts w:cs="Simplified Arabic"/>
          <w:color w:val="000000"/>
          <w:sz w:val="8"/>
          <w:szCs w:val="8"/>
          <w:rtl/>
        </w:rPr>
      </w:pPr>
    </w:p>
    <w:p w:rsidR="004A328B" w:rsidRDefault="004A328B" w:rsidP="004A328B">
      <w:pPr>
        <w:ind w:left="-1"/>
        <w:jc w:val="lowKashida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 كما سجل الرقم القياسي لأسعار منتجات </w:t>
      </w:r>
      <w:r>
        <w:rPr>
          <w:rFonts w:cs="Simplified Arabic" w:hint="cs"/>
          <w:b/>
          <w:bCs/>
          <w:color w:val="000000"/>
          <w:rtl/>
        </w:rPr>
        <w:t>الصناعات التحويلية</w:t>
      </w:r>
      <w:r>
        <w:rPr>
          <w:rFonts w:cs="Simplified Arabic" w:hint="cs"/>
          <w:color w:val="000000"/>
          <w:rtl/>
        </w:rPr>
        <w:t xml:space="preserve"> شبه استقرار خلال شهر كانون ثاني 2013 حيث ارتفع بنسبة </w:t>
      </w:r>
      <w:proofErr w:type="spellStart"/>
      <w:r>
        <w:rPr>
          <w:rFonts w:cs="Simplified Arabic" w:hint="cs"/>
          <w:color w:val="000000"/>
          <w:rtl/>
        </w:rPr>
        <w:t>0.02%،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61.66%،</w:t>
      </w:r>
      <w:proofErr w:type="spellEnd"/>
      <w:r>
        <w:rPr>
          <w:rFonts w:cs="Simplified Arabic" w:hint="cs"/>
          <w:color w:val="000000"/>
          <w:rtl/>
        </w:rPr>
        <w:t xml:space="preserve"> بسبب ارتفاع أسعار صنع منتجات الأغذية الاخرى بنسبة </w:t>
      </w:r>
      <w:proofErr w:type="spellStart"/>
      <w:r>
        <w:rPr>
          <w:rFonts w:cs="Simplified Arabic" w:hint="cs"/>
          <w:color w:val="000000"/>
          <w:rtl/>
        </w:rPr>
        <w:t>1.36%،</w:t>
      </w:r>
      <w:proofErr w:type="spellEnd"/>
      <w:r>
        <w:rPr>
          <w:rFonts w:cs="Simplified Arabic" w:hint="cs"/>
          <w:color w:val="000000"/>
          <w:rtl/>
        </w:rPr>
        <w:t xml:space="preserve"> وأسعار صنع الزيوت والدهون النباتية والحيوانية بنسبة </w:t>
      </w:r>
      <w:proofErr w:type="spellStart"/>
      <w:r>
        <w:rPr>
          <w:rFonts w:cs="Simplified Arabic" w:hint="cs"/>
          <w:color w:val="000000"/>
          <w:rtl/>
        </w:rPr>
        <w:t>1.02%،</w:t>
      </w:r>
      <w:proofErr w:type="spellEnd"/>
      <w:r>
        <w:rPr>
          <w:rFonts w:cs="Simplified Arabic" w:hint="cs"/>
          <w:color w:val="000000"/>
          <w:rtl/>
        </w:rPr>
        <w:t xml:space="preserve"> وأسعار انتاج وتجهيز وحفظ اللحوم ومنتجاتها بنسبة </w:t>
      </w:r>
      <w:proofErr w:type="spellStart"/>
      <w:r>
        <w:rPr>
          <w:rFonts w:cs="Simplified Arabic" w:hint="cs"/>
          <w:color w:val="000000"/>
          <w:rtl/>
        </w:rPr>
        <w:t>0.61%،</w:t>
      </w:r>
      <w:proofErr w:type="spellEnd"/>
      <w:r>
        <w:rPr>
          <w:rFonts w:cs="Simplified Arabic" w:hint="cs"/>
          <w:color w:val="000000"/>
          <w:rtl/>
        </w:rPr>
        <w:t xml:space="preserve"> في حين انخفضت أسعار منتجات طواحين الحبوب والأعلاف الحيوانية بمقدار </w:t>
      </w:r>
      <w:proofErr w:type="spellStart"/>
      <w:r>
        <w:rPr>
          <w:rFonts w:cs="Simplified Arabic" w:hint="cs"/>
          <w:color w:val="000000"/>
          <w:rtl/>
        </w:rPr>
        <w:t>2.69%،</w:t>
      </w:r>
      <w:proofErr w:type="spellEnd"/>
      <w:r w:rsidRPr="004504B5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وأسعار صنع منتجات الألبان بمقدار </w:t>
      </w:r>
      <w:proofErr w:type="spellStart"/>
      <w:r>
        <w:rPr>
          <w:rFonts w:cs="Simplified Arabic" w:hint="cs"/>
          <w:color w:val="000000"/>
          <w:rtl/>
        </w:rPr>
        <w:t>0.15%،</w:t>
      </w:r>
      <w:proofErr w:type="spellEnd"/>
      <w:r>
        <w:rPr>
          <w:rFonts w:cs="Simplified Arabic" w:hint="cs"/>
          <w:color w:val="000000"/>
          <w:rtl/>
        </w:rPr>
        <w:t xml:space="preserve"> وأسعار دبغ وتهيئة الجلود وصنع الحقائب والأحذية بمقدار </w:t>
      </w:r>
      <w:proofErr w:type="spellStart"/>
      <w:r>
        <w:rPr>
          <w:rFonts w:cs="Simplified Arabic" w:hint="cs"/>
          <w:color w:val="000000"/>
          <w:rtl/>
        </w:rPr>
        <w:t>0.36%.</w:t>
      </w:r>
      <w:proofErr w:type="spellEnd"/>
    </w:p>
    <w:p w:rsidR="004A328B" w:rsidRDefault="004A328B" w:rsidP="004A328B">
      <w:pPr>
        <w:ind w:left="-1"/>
        <w:jc w:val="lowKashida"/>
        <w:rPr>
          <w:rFonts w:cs="Simplified Arabic"/>
          <w:color w:val="000000"/>
          <w:rtl/>
        </w:rPr>
      </w:pPr>
    </w:p>
    <w:p w:rsidR="004A328B" w:rsidRDefault="004A328B" w:rsidP="004A328B">
      <w:pPr>
        <w:ind w:left="-1"/>
        <w:jc w:val="lowKashida"/>
        <w:rPr>
          <w:rFonts w:cs="Simplified Arabic"/>
          <w:color w:val="000000"/>
          <w:rtl/>
        </w:rPr>
      </w:pPr>
    </w:p>
    <w:p w:rsidR="004A328B" w:rsidRDefault="004A328B" w:rsidP="004A328B">
      <w:pPr>
        <w:ind w:left="-1"/>
        <w:jc w:val="lowKashida"/>
        <w:rPr>
          <w:rFonts w:cs="Simplified Arabic"/>
          <w:color w:val="000000"/>
          <w:rtl/>
        </w:rPr>
      </w:pPr>
    </w:p>
    <w:p w:rsidR="004A328B" w:rsidRDefault="004A328B" w:rsidP="004A328B">
      <w:pPr>
        <w:ind w:left="-1"/>
        <w:jc w:val="lowKashida"/>
        <w:rPr>
          <w:rFonts w:cs="Simplified Arabic"/>
          <w:color w:val="000000"/>
          <w:rtl/>
        </w:rPr>
      </w:pPr>
    </w:p>
    <w:p w:rsidR="004A328B" w:rsidRDefault="004A328B" w:rsidP="004A328B">
      <w:pPr>
        <w:ind w:left="-1"/>
        <w:jc w:val="lowKashida"/>
        <w:rPr>
          <w:rFonts w:cs="Simplified Arabic"/>
          <w:color w:val="000000"/>
          <w:rtl/>
        </w:rPr>
      </w:pPr>
    </w:p>
    <w:p w:rsidR="004A328B" w:rsidRDefault="004A328B" w:rsidP="004A328B">
      <w:pPr>
        <w:ind w:left="-1"/>
        <w:jc w:val="lowKashida"/>
        <w:rPr>
          <w:rFonts w:cs="Simplified Arabic"/>
          <w:color w:val="000000"/>
          <w:rtl/>
        </w:rPr>
      </w:pPr>
    </w:p>
    <w:p w:rsidR="004A328B" w:rsidRDefault="004A328B" w:rsidP="004A328B">
      <w:pPr>
        <w:ind w:left="-1"/>
        <w:jc w:val="lowKashida"/>
        <w:rPr>
          <w:rFonts w:cs="Simplified Arabic"/>
          <w:color w:val="000000"/>
          <w:rtl/>
        </w:rPr>
      </w:pPr>
    </w:p>
    <w:p w:rsidR="004A328B" w:rsidRDefault="004A328B" w:rsidP="004A328B">
      <w:pPr>
        <w:ind w:left="-1"/>
        <w:jc w:val="lowKashida"/>
        <w:rPr>
          <w:rFonts w:cs="Simplified Arabic"/>
          <w:color w:val="000000"/>
          <w:rtl/>
        </w:rPr>
      </w:pPr>
    </w:p>
    <w:p w:rsidR="004A328B" w:rsidRDefault="004A328B" w:rsidP="004A328B">
      <w:pPr>
        <w:ind w:left="-1"/>
        <w:jc w:val="lowKashida"/>
        <w:rPr>
          <w:rFonts w:cs="Simplified Arabic"/>
          <w:color w:val="000000"/>
          <w:rtl/>
        </w:rPr>
      </w:pPr>
    </w:p>
    <w:p w:rsidR="004A328B" w:rsidRPr="007A0560" w:rsidRDefault="004A328B" w:rsidP="004A328B">
      <w:pPr>
        <w:ind w:left="-1"/>
        <w:jc w:val="lowKashida"/>
        <w:rPr>
          <w:rFonts w:cs="Simplified Arabic"/>
          <w:color w:val="000000"/>
          <w:sz w:val="8"/>
          <w:szCs w:val="8"/>
          <w:rtl/>
        </w:rPr>
      </w:pPr>
    </w:p>
    <w:p w:rsidR="004A328B" w:rsidRDefault="004A328B" w:rsidP="004A328B">
      <w:pPr>
        <w:jc w:val="lowKashida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 كما سجلت أسعار </w:t>
      </w:r>
      <w:r>
        <w:rPr>
          <w:rFonts w:cs="Simplified Arabic" w:hint="cs"/>
          <w:b/>
          <w:bCs/>
          <w:color w:val="000000"/>
          <w:rtl/>
        </w:rPr>
        <w:t>منتجات</w:t>
      </w:r>
      <w:r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b/>
          <w:bCs/>
          <w:color w:val="000000"/>
          <w:rtl/>
        </w:rPr>
        <w:t xml:space="preserve">صيد الأسماك </w:t>
      </w:r>
      <w:r>
        <w:rPr>
          <w:rFonts w:cs="Simplified Arabic" w:hint="cs"/>
          <w:color w:val="000000"/>
          <w:rtl/>
        </w:rPr>
        <w:t xml:space="preserve">ارتفاعاً بنسبة </w:t>
      </w:r>
      <w:proofErr w:type="spellStart"/>
      <w:r>
        <w:rPr>
          <w:rFonts w:cs="Simplified Arabic" w:hint="cs"/>
          <w:color w:val="000000"/>
          <w:rtl/>
        </w:rPr>
        <w:t>5.78%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0.20%</w:t>
      </w:r>
      <w:proofErr w:type="spellEnd"/>
      <w:r>
        <w:rPr>
          <w:rFonts w:cs="Simplified Arabic" w:hint="cs"/>
          <w:color w:val="000000"/>
          <w:rtl/>
        </w:rPr>
        <w:t xml:space="preserve"> فقط من سلة المنتج. </w:t>
      </w:r>
    </w:p>
    <w:p w:rsidR="004A328B" w:rsidRPr="007A0560" w:rsidRDefault="004A328B" w:rsidP="004A328B">
      <w:pPr>
        <w:ind w:left="-1"/>
        <w:jc w:val="lowKashida"/>
        <w:rPr>
          <w:rFonts w:cs="Simplified Arabic"/>
          <w:color w:val="000000"/>
          <w:sz w:val="8"/>
          <w:szCs w:val="8"/>
          <w:rtl/>
        </w:rPr>
      </w:pPr>
    </w:p>
    <w:p w:rsidR="004A328B" w:rsidRDefault="004A328B" w:rsidP="004A328B">
      <w:pPr>
        <w:jc w:val="lowKashida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شهدت أسعار منتجات </w:t>
      </w:r>
      <w:r>
        <w:rPr>
          <w:rFonts w:cs="Simplified Arabic" w:hint="cs"/>
          <w:b/>
          <w:bCs/>
          <w:color w:val="000000"/>
          <w:rtl/>
        </w:rPr>
        <w:t xml:space="preserve">الصناعات التعدينية </w:t>
      </w:r>
      <w:proofErr w:type="spellStart"/>
      <w:r>
        <w:rPr>
          <w:rFonts w:cs="Simplified Arabic" w:hint="cs"/>
          <w:b/>
          <w:bCs/>
          <w:color w:val="000000"/>
          <w:rtl/>
        </w:rPr>
        <w:t>والاستخراجية</w:t>
      </w:r>
      <w:proofErr w:type="spellEnd"/>
      <w:r>
        <w:rPr>
          <w:rFonts w:cs="Simplified Arabic" w:hint="cs"/>
          <w:color w:val="000000"/>
          <w:rtl/>
        </w:rPr>
        <w:t xml:space="preserve"> استقراراً خلال شهر كانون ثاني 2013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2.13%</w:t>
      </w:r>
      <w:proofErr w:type="spellEnd"/>
      <w:r>
        <w:rPr>
          <w:rFonts w:cs="Simplified Arabic" w:hint="cs"/>
          <w:color w:val="000000"/>
          <w:rtl/>
        </w:rPr>
        <w:t xml:space="preserve"> من سلة المنتج.</w:t>
      </w:r>
    </w:p>
    <w:p w:rsidR="004A328B" w:rsidRPr="007A0560" w:rsidRDefault="004A328B" w:rsidP="004A328B">
      <w:pPr>
        <w:ind w:left="-1"/>
        <w:jc w:val="lowKashida"/>
        <w:rPr>
          <w:rFonts w:cs="Simplified Arabic"/>
          <w:color w:val="000000"/>
          <w:sz w:val="8"/>
          <w:szCs w:val="8"/>
          <w:rtl/>
        </w:rPr>
      </w:pPr>
    </w:p>
    <w:p w:rsidR="004A328B" w:rsidRDefault="004A328B" w:rsidP="004A328B">
      <w:pPr>
        <w:pStyle w:val="2"/>
        <w:spacing w:after="0" w:line="240" w:lineRule="auto"/>
        <w:jc w:val="center"/>
        <w:rPr>
          <w:rFonts w:cs="Simplified Arabic"/>
          <w:b/>
          <w:bCs/>
          <w:sz w:val="22"/>
          <w:szCs w:val="22"/>
          <w:rtl/>
        </w:rPr>
      </w:pPr>
      <w:r w:rsidRPr="001B73D4">
        <w:rPr>
          <w:rFonts w:cs="Simplified Arabic" w:hint="cs"/>
          <w:b/>
          <w:bCs/>
          <w:sz w:val="22"/>
          <w:szCs w:val="22"/>
          <w:rtl/>
        </w:rPr>
        <w:t xml:space="preserve">الاتجاه العام لحركة الأرقام القياسية لأسعار المنتج في </w:t>
      </w:r>
      <w:proofErr w:type="spellStart"/>
      <w:r>
        <w:rPr>
          <w:rFonts w:cs="Simplified Arabic" w:hint="cs"/>
          <w:b/>
          <w:bCs/>
          <w:sz w:val="22"/>
          <w:szCs w:val="22"/>
          <w:rtl/>
        </w:rPr>
        <w:t>فلسطين</w:t>
      </w:r>
      <w:r w:rsidRPr="001B73D4">
        <w:rPr>
          <w:rFonts w:cs="Simplified Arabic" w:hint="cs"/>
          <w:b/>
          <w:bCs/>
          <w:sz w:val="22"/>
          <w:szCs w:val="22"/>
          <w:rtl/>
        </w:rPr>
        <w:t>:</w:t>
      </w:r>
      <w:proofErr w:type="spellEnd"/>
      <w:r w:rsidRPr="001B73D4">
        <w:rPr>
          <w:rFonts w:cs="Simplified Arabic" w:hint="cs"/>
          <w:b/>
          <w:bCs/>
          <w:sz w:val="22"/>
          <w:szCs w:val="22"/>
          <w:rtl/>
        </w:rPr>
        <w:t xml:space="preserve"> كانون ثاني </w:t>
      </w:r>
      <w:r>
        <w:rPr>
          <w:rFonts w:cs="Simplified Arabic" w:hint="cs"/>
          <w:b/>
          <w:bCs/>
          <w:sz w:val="22"/>
          <w:szCs w:val="22"/>
          <w:rtl/>
        </w:rPr>
        <w:t>2012</w:t>
      </w:r>
      <w:r w:rsidRPr="001B73D4">
        <w:rPr>
          <w:rFonts w:cs="Simplified Arabic" w:hint="cs"/>
          <w:b/>
          <w:bCs/>
          <w:sz w:val="22"/>
          <w:szCs w:val="22"/>
          <w:rtl/>
        </w:rPr>
        <w:t xml:space="preserve"> </w:t>
      </w:r>
      <w:proofErr w:type="spellStart"/>
      <w:r w:rsidRPr="001B73D4">
        <w:rPr>
          <w:rFonts w:cs="Simplified Arabic"/>
          <w:b/>
          <w:bCs/>
          <w:sz w:val="22"/>
          <w:szCs w:val="22"/>
          <w:rtl/>
        </w:rPr>
        <w:t>–</w:t>
      </w:r>
      <w:proofErr w:type="spellEnd"/>
      <w:r w:rsidRPr="001B73D4">
        <w:rPr>
          <w:rFonts w:cs="Simplified Arabic" w:hint="cs"/>
          <w:b/>
          <w:bCs/>
          <w:sz w:val="22"/>
          <w:szCs w:val="22"/>
          <w:rtl/>
        </w:rPr>
        <w:t xml:space="preserve"> </w:t>
      </w:r>
      <w:r>
        <w:rPr>
          <w:rFonts w:cs="Simplified Arabic" w:hint="cs"/>
          <w:b/>
          <w:bCs/>
          <w:sz w:val="22"/>
          <w:szCs w:val="22"/>
          <w:rtl/>
        </w:rPr>
        <w:t>كانون</w:t>
      </w:r>
      <w:r w:rsidRPr="001B73D4">
        <w:rPr>
          <w:rFonts w:cs="Simplified Arabic" w:hint="cs"/>
          <w:b/>
          <w:bCs/>
          <w:sz w:val="22"/>
          <w:szCs w:val="22"/>
          <w:rtl/>
        </w:rPr>
        <w:t xml:space="preserve"> </w:t>
      </w:r>
      <w:r>
        <w:rPr>
          <w:rFonts w:cs="Simplified Arabic" w:hint="cs"/>
          <w:b/>
          <w:bCs/>
          <w:sz w:val="22"/>
          <w:szCs w:val="22"/>
          <w:rtl/>
        </w:rPr>
        <w:t>ثاني</w:t>
      </w:r>
      <w:r w:rsidRPr="001B73D4">
        <w:rPr>
          <w:rFonts w:cs="Simplified Arabic" w:hint="cs"/>
          <w:b/>
          <w:bCs/>
          <w:sz w:val="22"/>
          <w:szCs w:val="22"/>
          <w:rtl/>
        </w:rPr>
        <w:t xml:space="preserve"> </w:t>
      </w:r>
      <w:r>
        <w:rPr>
          <w:rFonts w:cs="Simplified Arabic" w:hint="cs"/>
          <w:b/>
          <w:bCs/>
          <w:sz w:val="22"/>
          <w:szCs w:val="22"/>
          <w:rtl/>
        </w:rPr>
        <w:t>2013</w:t>
      </w:r>
      <w:r w:rsidRPr="001B73D4">
        <w:rPr>
          <w:rFonts w:cs="Simplified Arabic" w:hint="cs"/>
          <w:b/>
          <w:bCs/>
          <w:sz w:val="22"/>
          <w:szCs w:val="22"/>
          <w:rtl/>
        </w:rPr>
        <w:t xml:space="preserve"> (شهر الأساس كانون ثاني </w:t>
      </w:r>
    </w:p>
    <w:p w:rsidR="004A328B" w:rsidRPr="001B73D4" w:rsidRDefault="004A328B" w:rsidP="004A328B">
      <w:pPr>
        <w:pStyle w:val="2"/>
        <w:spacing w:after="0" w:line="240" w:lineRule="auto"/>
        <w:jc w:val="center"/>
        <w:rPr>
          <w:rFonts w:cs="Simplified Arabic"/>
          <w:b/>
          <w:bCs/>
          <w:sz w:val="22"/>
          <w:szCs w:val="22"/>
          <w:rtl/>
        </w:rPr>
      </w:pPr>
      <w:r w:rsidRPr="001B73D4">
        <w:rPr>
          <w:rFonts w:cs="Simplified Arabic" w:hint="cs"/>
          <w:b/>
          <w:bCs/>
          <w:sz w:val="22"/>
          <w:szCs w:val="22"/>
          <w:rtl/>
        </w:rPr>
        <w:t xml:space="preserve">2011 </w:t>
      </w:r>
      <w:proofErr w:type="spellStart"/>
      <w:r w:rsidRPr="001B73D4">
        <w:rPr>
          <w:rFonts w:cs="Simplified Arabic" w:hint="cs"/>
          <w:b/>
          <w:bCs/>
          <w:sz w:val="22"/>
          <w:szCs w:val="22"/>
          <w:rtl/>
        </w:rPr>
        <w:t>=</w:t>
      </w:r>
      <w:proofErr w:type="spellEnd"/>
      <w:r w:rsidRPr="001B73D4">
        <w:rPr>
          <w:rFonts w:cs="Simplified Arabic" w:hint="cs"/>
          <w:b/>
          <w:bCs/>
          <w:sz w:val="22"/>
          <w:szCs w:val="22"/>
          <w:rtl/>
        </w:rPr>
        <w:t xml:space="preserve"> 100</w:t>
      </w:r>
      <w:proofErr w:type="spellStart"/>
      <w:r w:rsidRPr="001B73D4">
        <w:rPr>
          <w:rFonts w:cs="Simplified Arabic" w:hint="cs"/>
          <w:b/>
          <w:bCs/>
          <w:sz w:val="22"/>
          <w:szCs w:val="22"/>
          <w:rtl/>
        </w:rPr>
        <w:t>)</w:t>
      </w:r>
      <w:proofErr w:type="spellEnd"/>
    </w:p>
    <w:p w:rsidR="004A328B" w:rsidRDefault="004A328B" w:rsidP="004A328B">
      <w:pPr>
        <w:pStyle w:val="2"/>
        <w:spacing w:after="0" w:line="240" w:lineRule="auto"/>
        <w:jc w:val="lowKashida"/>
        <w:rPr>
          <w:rFonts w:cs="Simplified Arabic"/>
          <w:b/>
          <w:bCs/>
          <w:sz w:val="8"/>
          <w:szCs w:val="8"/>
          <w:rtl/>
        </w:rPr>
      </w:pPr>
    </w:p>
    <w:p w:rsidR="004A328B" w:rsidRPr="007A0560" w:rsidRDefault="004A328B" w:rsidP="004A328B">
      <w:pPr>
        <w:pStyle w:val="2"/>
        <w:spacing w:after="0" w:line="240" w:lineRule="auto"/>
        <w:jc w:val="lowKashida"/>
        <w:rPr>
          <w:rFonts w:cs="Simplified Arabic"/>
          <w:b/>
          <w:bCs/>
          <w:sz w:val="8"/>
          <w:szCs w:val="8"/>
          <w:rtl/>
        </w:rPr>
      </w:pPr>
    </w:p>
    <w:p w:rsidR="004A328B" w:rsidRPr="007C5F9D" w:rsidRDefault="004A328B" w:rsidP="004A328B">
      <w:pPr>
        <w:ind w:left="-1"/>
        <w:jc w:val="center"/>
        <w:rPr>
          <w:rFonts w:cs="Simplified Arabic"/>
          <w:color w:val="000000"/>
          <w:sz w:val="8"/>
          <w:szCs w:val="8"/>
          <w:rtl/>
        </w:rPr>
      </w:pPr>
      <w:r>
        <w:rPr>
          <w:noProof/>
          <w:lang w:eastAsia="en-US"/>
        </w:rPr>
        <w:drawing>
          <wp:inline distT="0" distB="0" distL="0" distR="0">
            <wp:extent cx="3190875" cy="2171700"/>
            <wp:effectExtent l="0" t="0" r="0" b="0"/>
            <wp:docPr id="1" name="كائن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bookmarkEnd w:id="0"/>
    <w:bookmarkEnd w:id="1"/>
    <w:p w:rsidR="007C54EA" w:rsidRDefault="007C54EA">
      <w:pPr>
        <w:rPr>
          <w:rFonts w:cs="Simplified Arabic"/>
          <w:b/>
          <w:bCs/>
          <w:sz w:val="20"/>
          <w:szCs w:val="20"/>
          <w:rtl/>
        </w:rPr>
      </w:pPr>
    </w:p>
    <w:p w:rsidR="004A328B" w:rsidRPr="004A328B" w:rsidRDefault="004A328B"/>
    <w:sectPr w:rsidR="004A328B" w:rsidRPr="004A328B" w:rsidSect="007A6BF9">
      <w:footerReference w:type="even" r:id="rId7"/>
      <w:pgSz w:w="11907" w:h="16840" w:code="9"/>
      <w:pgMar w:top="851" w:right="851" w:bottom="851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B9" w:rsidRDefault="008460B9" w:rsidP="004A328B">
      <w:r>
        <w:separator/>
      </w:r>
    </w:p>
  </w:endnote>
  <w:endnote w:type="continuationSeparator" w:id="0">
    <w:p w:rsidR="008460B9" w:rsidRDefault="008460B9" w:rsidP="004A3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7A7" w:rsidRDefault="00B57723">
    <w:pPr>
      <w:pStyle w:val="a8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4349F4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8767A7" w:rsidRDefault="008460B9">
    <w:pPr>
      <w:pStyle w:val="a8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B9" w:rsidRDefault="008460B9" w:rsidP="004A328B">
      <w:r>
        <w:separator/>
      </w:r>
    </w:p>
  </w:footnote>
  <w:footnote w:type="continuationSeparator" w:id="0">
    <w:p w:rsidR="008460B9" w:rsidRDefault="008460B9" w:rsidP="004A3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A328B"/>
    <w:rsid w:val="00042B42"/>
    <w:rsid w:val="001B013D"/>
    <w:rsid w:val="00280536"/>
    <w:rsid w:val="002B4A64"/>
    <w:rsid w:val="00421687"/>
    <w:rsid w:val="004349F4"/>
    <w:rsid w:val="004A328B"/>
    <w:rsid w:val="004F5104"/>
    <w:rsid w:val="00552054"/>
    <w:rsid w:val="007C54EA"/>
    <w:rsid w:val="008011D4"/>
    <w:rsid w:val="008460B9"/>
    <w:rsid w:val="00B57723"/>
    <w:rsid w:val="00BA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4F510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F5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4F510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header"/>
    <w:basedOn w:val="a"/>
    <w:link w:val="Char"/>
    <w:uiPriority w:val="99"/>
    <w:rsid w:val="004A328B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Char">
    <w:name w:val="رأس صفحة Char"/>
    <w:basedOn w:val="a0"/>
    <w:link w:val="a4"/>
    <w:uiPriority w:val="99"/>
    <w:rsid w:val="004A328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5">
    <w:name w:val="footnote text"/>
    <w:basedOn w:val="a"/>
    <w:link w:val="Char0"/>
    <w:semiHidden/>
    <w:rsid w:val="004A328B"/>
    <w:rPr>
      <w:rFonts w:cs="Traditional Arabic"/>
      <w:snapToGrid w:val="0"/>
      <w:sz w:val="20"/>
      <w:szCs w:val="20"/>
      <w:lang w:eastAsia="en-US"/>
    </w:rPr>
  </w:style>
  <w:style w:type="character" w:customStyle="1" w:styleId="Char0">
    <w:name w:val="نص حاشية سفلية Char"/>
    <w:basedOn w:val="a0"/>
    <w:link w:val="a5"/>
    <w:semiHidden/>
    <w:rsid w:val="004A328B"/>
    <w:rPr>
      <w:rFonts w:ascii="Times New Roman" w:eastAsia="Times New Roman" w:hAnsi="Times New Roman" w:cs="Traditional Arabic"/>
      <w:snapToGrid w:val="0"/>
      <w:sz w:val="20"/>
      <w:szCs w:val="20"/>
    </w:rPr>
  </w:style>
  <w:style w:type="character" w:styleId="a6">
    <w:name w:val="footnote reference"/>
    <w:semiHidden/>
    <w:rsid w:val="004A328B"/>
    <w:rPr>
      <w:vertAlign w:val="superscript"/>
    </w:rPr>
  </w:style>
  <w:style w:type="paragraph" w:styleId="a7">
    <w:name w:val="Body Text"/>
    <w:basedOn w:val="a"/>
    <w:link w:val="Char1"/>
    <w:semiHidden/>
    <w:rsid w:val="004A328B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character" w:customStyle="1" w:styleId="Char1">
    <w:name w:val="نص أساسي Char"/>
    <w:basedOn w:val="a0"/>
    <w:link w:val="a7"/>
    <w:semiHidden/>
    <w:rsid w:val="004A328B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a8">
    <w:name w:val="footer"/>
    <w:basedOn w:val="a"/>
    <w:link w:val="Char2"/>
    <w:uiPriority w:val="99"/>
    <w:unhideWhenUsed/>
    <w:rsid w:val="004A328B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8"/>
    <w:uiPriority w:val="99"/>
    <w:rsid w:val="004A32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semiHidden/>
    <w:rsid w:val="004A328B"/>
  </w:style>
  <w:style w:type="paragraph" w:styleId="2">
    <w:name w:val="Body Text 2"/>
    <w:basedOn w:val="a"/>
    <w:link w:val="2Char"/>
    <w:uiPriority w:val="99"/>
    <w:unhideWhenUsed/>
    <w:rsid w:val="004A328B"/>
    <w:pPr>
      <w:spacing w:after="120" w:line="480" w:lineRule="auto"/>
    </w:pPr>
  </w:style>
  <w:style w:type="character" w:customStyle="1" w:styleId="2Char">
    <w:name w:val="نص أساسي 2 Char"/>
    <w:basedOn w:val="a0"/>
    <w:link w:val="2"/>
    <w:uiPriority w:val="99"/>
    <w:rsid w:val="004A3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Char3"/>
    <w:uiPriority w:val="99"/>
    <w:semiHidden/>
    <w:unhideWhenUsed/>
    <w:rsid w:val="004A328B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a"/>
    <w:uiPriority w:val="99"/>
    <w:semiHidden/>
    <w:rsid w:val="004A328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6358024691358017"/>
          <c:y val="4.1284403669724766E-2"/>
          <c:w val="0.8271604938271605"/>
          <c:h val="0.7798165137614676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56">
              <a:solidFill>
                <a:srgbClr val="00008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Sheet1!$B$1:$N$1</c:f>
              <c:strCache>
                <c:ptCount val="13"/>
                <c:pt idx="0">
                  <c:v>كانون ثاني 2012 </c:v>
                </c:pt>
                <c:pt idx="1">
                  <c:v>شباط 2012</c:v>
                </c:pt>
                <c:pt idx="2">
                  <c:v>آذار 2012</c:v>
                </c:pt>
                <c:pt idx="3">
                  <c:v>نيسان 2012</c:v>
                </c:pt>
                <c:pt idx="4">
                  <c:v>أيار 2012</c:v>
                </c:pt>
                <c:pt idx="5">
                  <c:v>حزيران 2012</c:v>
                </c:pt>
                <c:pt idx="6">
                  <c:v>تموز 2012</c:v>
                </c:pt>
                <c:pt idx="7">
                  <c:v>آب 2012</c:v>
                </c:pt>
                <c:pt idx="8">
                  <c:v>أيلول 2012</c:v>
                </c:pt>
                <c:pt idx="9">
                  <c:v>تشرين أول 2012</c:v>
                </c:pt>
                <c:pt idx="10">
                  <c:v>تشرين ثاني 2012</c:v>
                </c:pt>
                <c:pt idx="11">
                  <c:v>كانون أول 2012</c:v>
                </c:pt>
                <c:pt idx="12">
                  <c:v>كانون ثاني2013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>
                  <c:v>100.59</c:v>
                </c:pt>
                <c:pt idx="1">
                  <c:v>101.36999999999999</c:v>
                </c:pt>
                <c:pt idx="2">
                  <c:v>99.36</c:v>
                </c:pt>
                <c:pt idx="3">
                  <c:v>100.66</c:v>
                </c:pt>
                <c:pt idx="4">
                  <c:v>101.42</c:v>
                </c:pt>
                <c:pt idx="5">
                  <c:v>100.46000000000002</c:v>
                </c:pt>
                <c:pt idx="6">
                  <c:v>100.66999999999999</c:v>
                </c:pt>
                <c:pt idx="7">
                  <c:v>104.08</c:v>
                </c:pt>
                <c:pt idx="8">
                  <c:v>104.88</c:v>
                </c:pt>
                <c:pt idx="9">
                  <c:v>103.04</c:v>
                </c:pt>
                <c:pt idx="10">
                  <c:v>102.76</c:v>
                </c:pt>
                <c:pt idx="11">
                  <c:v>102.43</c:v>
                </c:pt>
                <c:pt idx="12">
                  <c:v>103.41000000000008</c:v>
                </c:pt>
              </c:numCache>
            </c:numRef>
          </c:val>
        </c:ser>
        <c:marker val="1"/>
        <c:axId val="107080320"/>
        <c:axId val="76964608"/>
      </c:lineChart>
      <c:catAx>
        <c:axId val="107080320"/>
        <c:scaling>
          <c:orientation val="minMax"/>
        </c:scaling>
        <c:axPos val="b"/>
        <c:numFmt formatCode="General" sourceLinked="1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-1920000" vert="horz"/>
          <a:lstStyle/>
          <a:p>
            <a:pPr>
              <a:defRPr sz="548" b="1" i="0" u="none" strike="noStrike" baseline="0">
                <a:solidFill>
                  <a:srgbClr val="000000"/>
                </a:solidFill>
                <a:latin typeface="Simplified Arabic"/>
                <a:ea typeface="Simplified Arabic"/>
                <a:cs typeface="Simplified Arabic"/>
              </a:defRPr>
            </a:pPr>
            <a:endParaRPr lang="ar-SA"/>
          </a:p>
        </c:txPr>
        <c:crossAx val="76964608"/>
        <c:crosses val="autoZero"/>
        <c:auto val="1"/>
        <c:lblAlgn val="ctr"/>
        <c:lblOffset val="100"/>
        <c:tickLblSkip val="1"/>
        <c:tickMarkSkip val="1"/>
      </c:catAx>
      <c:valAx>
        <c:axId val="76964608"/>
        <c:scaling>
          <c:orientation val="minMax"/>
          <c:max val="110"/>
          <c:min val="90"/>
        </c:scaling>
        <c:axPos val="l"/>
        <c:title>
          <c:tx>
            <c:rich>
              <a:bodyPr/>
              <a:lstStyle/>
              <a:p>
                <a:pPr>
                  <a:defRPr sz="747" b="1" i="0" u="none" strike="noStrike" baseline="0">
                    <a:solidFill>
                      <a:srgbClr val="000000"/>
                    </a:solidFill>
                    <a:latin typeface="Simplified Arabic"/>
                    <a:ea typeface="Simplified Arabic"/>
                    <a:cs typeface="Simplified Arabic"/>
                  </a:defRPr>
                </a:pPr>
                <a:r>
                  <a:rPr lang="ar-SA"/>
                  <a:t>الرقم القياسي لأسعار المنتج </a:t>
                </a:r>
                <a:r>
                  <a:rPr lang="en-US"/>
                  <a:t>PPI</a:t>
                </a:r>
              </a:p>
            </c:rich>
          </c:tx>
          <c:layout>
            <c:manualLayout>
              <c:xMode val="edge"/>
              <c:yMode val="edge"/>
              <c:x val="0"/>
              <c:y val="0.1743119266055046"/>
            </c:manualLayout>
          </c:layout>
          <c:spPr>
            <a:noFill/>
            <a:ln w="25312">
              <a:noFill/>
            </a:ln>
          </c:spPr>
        </c:title>
        <c:numFmt formatCode="0" sourceLinked="0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07080320"/>
        <c:crosses val="autoZero"/>
        <c:crossBetween val="between"/>
        <c:majorUnit val="5"/>
      </c:valAx>
      <c:spPr>
        <a:noFill/>
        <a:ln w="25312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1896</Characters>
  <Application>Microsoft Office Word</Application>
  <DocSecurity>0</DocSecurity>
  <Lines>15</Lines>
  <Paragraphs>4</Paragraphs>
  <ScaleCrop>false</ScaleCrop>
  <Company>PCBS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5</cp:revision>
  <cp:lastPrinted>2013-02-28T05:57:00Z</cp:lastPrinted>
  <dcterms:created xsi:type="dcterms:W3CDTF">2013-02-27T12:32:00Z</dcterms:created>
  <dcterms:modified xsi:type="dcterms:W3CDTF">2013-02-28T06:57:00Z</dcterms:modified>
</cp:coreProperties>
</file>