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AA" w:rsidRDefault="002F6AAA" w:rsidP="002F6AAA">
      <w:pPr>
        <w:pStyle w:val="Header"/>
        <w:tabs>
          <w:tab w:val="left" w:pos="5925"/>
        </w:tabs>
        <w:jc w:val="both"/>
        <w:rPr>
          <w:rFonts w:cs="Simplified Arabic" w:hint="cs"/>
          <w:b/>
          <w:bCs/>
          <w:color w:val="000000"/>
          <w:rtl/>
        </w:rPr>
      </w:pPr>
      <w:bookmarkStart w:id="0" w:name="OLE_LINK5"/>
      <w:bookmarkStart w:id="1" w:name="OLE_LINK6"/>
    </w:p>
    <w:p w:rsidR="002F6AAA" w:rsidRDefault="002F6AAA" w:rsidP="002F6AAA">
      <w:pPr>
        <w:jc w:val="center"/>
        <w:rPr>
          <w:rFonts w:cs="Simplified Arabic"/>
          <w:b/>
          <w:bCs/>
          <w:color w:val="000000"/>
          <w:sz w:val="30"/>
          <w:szCs w:val="30"/>
          <w:rtl/>
        </w:rPr>
      </w:pPr>
    </w:p>
    <w:p w:rsidR="002F6AAA" w:rsidRDefault="002F6AAA" w:rsidP="002F6AAA">
      <w:pPr>
        <w:jc w:val="center"/>
        <w:rPr>
          <w:rFonts w:cs="Simplified Arabic"/>
          <w:b/>
          <w:bCs/>
          <w:color w:val="000000"/>
          <w:sz w:val="28"/>
          <w:szCs w:val="28"/>
          <w:rtl/>
        </w:rPr>
      </w:pPr>
    </w:p>
    <w:p w:rsidR="002F6AAA" w:rsidRPr="002F6AAA" w:rsidRDefault="002F6AAA" w:rsidP="002F6AAA">
      <w:pPr>
        <w:jc w:val="center"/>
        <w:rPr>
          <w:b/>
          <w:bCs/>
          <w:color w:val="000000"/>
          <w:sz w:val="28"/>
          <w:szCs w:val="28"/>
        </w:rPr>
      </w:pPr>
      <w:r w:rsidRPr="002F6AAA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الاحصاء الفلسطيني يعلن الرقم القياسي لأسعار المنتج في فلسطين لشهر تشرين </w:t>
      </w:r>
      <w:proofErr w:type="spellStart"/>
      <w:r w:rsidRPr="002F6AAA">
        <w:rPr>
          <w:rFonts w:cs="Simplified Arabic" w:hint="cs"/>
          <w:b/>
          <w:bCs/>
          <w:color w:val="000000"/>
          <w:sz w:val="28"/>
          <w:szCs w:val="28"/>
          <w:rtl/>
        </w:rPr>
        <w:t>ثاني،</w:t>
      </w:r>
      <w:proofErr w:type="spellEnd"/>
      <w:r w:rsidRPr="002F6AAA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2F6AA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11/2015</w:t>
      </w:r>
    </w:p>
    <w:p w:rsidR="002F6AAA" w:rsidRDefault="002F6AAA" w:rsidP="002F6AAA">
      <w:pPr>
        <w:pStyle w:val="Header"/>
        <w:tabs>
          <w:tab w:val="left" w:pos="5925"/>
        </w:tabs>
        <w:jc w:val="both"/>
        <w:rPr>
          <w:rFonts w:cs="Simplified Arabic"/>
          <w:b/>
          <w:bCs/>
          <w:color w:val="000000"/>
          <w:rtl/>
        </w:rPr>
      </w:pPr>
      <w:r>
        <w:rPr>
          <w:rFonts w:cs="Simplified Arabic" w:hint="cs"/>
          <w:b/>
          <w:bCs/>
          <w:color w:val="000000"/>
          <w:rtl/>
        </w:rPr>
        <w:t xml:space="preserve"> </w:t>
      </w:r>
    </w:p>
    <w:p w:rsidR="002F6AAA" w:rsidRPr="002F6AAA" w:rsidRDefault="002F6AAA" w:rsidP="002F6AAA">
      <w:pPr>
        <w:pStyle w:val="Header"/>
        <w:tabs>
          <w:tab w:val="left" w:pos="5925"/>
        </w:tabs>
        <w:jc w:val="both"/>
        <w:rPr>
          <w:rFonts w:cs="Simplified Arabic"/>
          <w:b/>
          <w:bCs/>
          <w:color w:val="000000"/>
          <w:rtl/>
        </w:rPr>
      </w:pPr>
    </w:p>
    <w:p w:rsidR="002F6AAA" w:rsidRPr="002F6AAA" w:rsidRDefault="002F6AAA" w:rsidP="002F6AAA">
      <w:pPr>
        <w:pStyle w:val="Header"/>
        <w:tabs>
          <w:tab w:val="left" w:pos="5925"/>
        </w:tabs>
        <w:jc w:val="both"/>
        <w:rPr>
          <w:rFonts w:cs="Simplified Arabic"/>
          <w:b/>
          <w:bCs/>
          <w:color w:val="000000"/>
          <w:sz w:val="24"/>
          <w:szCs w:val="24"/>
          <w:rtl/>
        </w:rPr>
      </w:pPr>
      <w:r w:rsidRPr="002F6AAA">
        <w:rPr>
          <w:rFonts w:cs="Simplified Arabic" w:hint="cs"/>
          <w:b/>
          <w:bCs/>
          <w:color w:val="000000"/>
          <w:sz w:val="24"/>
          <w:szCs w:val="24"/>
          <w:rtl/>
        </w:rPr>
        <w:t>انخفاض الرقم القياسي لأسعار المنتج</w:t>
      </w:r>
      <w:r w:rsidRPr="002F6AAA">
        <w:rPr>
          <w:rStyle w:val="FootnoteReference"/>
          <w:rFonts w:cs="Simplified Arabic"/>
          <w:b/>
          <w:bCs/>
          <w:color w:val="000000"/>
          <w:sz w:val="24"/>
          <w:szCs w:val="24"/>
          <w:rtl/>
        </w:rPr>
        <w:footnoteReference w:id="1"/>
      </w:r>
      <w:r w:rsidRPr="002F6AAA">
        <w:rPr>
          <w:rFonts w:cs="Simplified Arabic" w:hint="cs"/>
          <w:b/>
          <w:bCs/>
          <w:color w:val="000000"/>
          <w:sz w:val="24"/>
          <w:szCs w:val="24"/>
          <w:rtl/>
        </w:rPr>
        <w:t xml:space="preserve"> خلال شهر تشرين ثاني 2015</w:t>
      </w:r>
    </w:p>
    <w:p w:rsidR="002F6AAA" w:rsidRDefault="002F6AAA" w:rsidP="002F6AAA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24"/>
          <w:szCs w:val="24"/>
          <w:rtl/>
        </w:rPr>
      </w:pPr>
      <w:r w:rsidRPr="00347E8D">
        <w:rPr>
          <w:rFonts w:cs="Simplified Arabic" w:hint="cs"/>
          <w:color w:val="000000"/>
          <w:sz w:val="24"/>
          <w:szCs w:val="24"/>
          <w:rtl/>
        </w:rPr>
        <w:t xml:space="preserve">الرقم القياسي العام لأسعار </w:t>
      </w:r>
      <w:r>
        <w:rPr>
          <w:rFonts w:cs="Simplified Arabic" w:hint="cs"/>
          <w:color w:val="000000"/>
          <w:sz w:val="24"/>
          <w:szCs w:val="24"/>
          <w:rtl/>
        </w:rPr>
        <w:t>المنتج</w:t>
      </w:r>
      <w:r w:rsidRPr="00347E8D">
        <w:rPr>
          <w:rFonts w:cs="Simplified Arabic" w:hint="cs"/>
          <w:color w:val="000000"/>
          <w:sz w:val="24"/>
          <w:szCs w:val="24"/>
          <w:rtl/>
        </w:rPr>
        <w:t xml:space="preserve"> يسجل </w:t>
      </w:r>
      <w:r>
        <w:rPr>
          <w:rFonts w:cs="Simplified Arabic" w:hint="cs"/>
          <w:color w:val="000000"/>
          <w:sz w:val="24"/>
          <w:szCs w:val="24"/>
          <w:rtl/>
        </w:rPr>
        <w:t xml:space="preserve">انخفاضاً مقداره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0.68</w:t>
      </w:r>
      <w:r w:rsidRPr="00347E8D">
        <w:rPr>
          <w:rFonts w:cs="Simplified Arabic" w:hint="cs"/>
          <w:color w:val="000000"/>
          <w:sz w:val="24"/>
          <w:szCs w:val="24"/>
          <w:rtl/>
        </w:rPr>
        <w:t>%</w:t>
      </w:r>
      <w:proofErr w:type="spellEnd"/>
      <w:r w:rsidRPr="00347E8D">
        <w:rPr>
          <w:rFonts w:cs="Simplified Arabic" w:hint="cs"/>
          <w:color w:val="000000"/>
          <w:sz w:val="24"/>
          <w:szCs w:val="24"/>
          <w:rtl/>
        </w:rPr>
        <w:t xml:space="preserve"> خلال </w:t>
      </w:r>
      <w:r>
        <w:rPr>
          <w:rFonts w:cs="Simplified Arabic" w:hint="cs"/>
          <w:color w:val="000000"/>
          <w:sz w:val="24"/>
          <w:szCs w:val="24"/>
          <w:rtl/>
        </w:rPr>
        <w:t>شهر تشرين ثاني 2015</w:t>
      </w:r>
      <w:r w:rsidRPr="00347E8D">
        <w:rPr>
          <w:rFonts w:cs="Simplified Arabic" w:hint="cs"/>
          <w:color w:val="000000"/>
          <w:sz w:val="24"/>
          <w:szCs w:val="24"/>
          <w:rtl/>
        </w:rPr>
        <w:t xml:space="preserve"> مقارنة مع 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تشرين أول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2015</w:t>
      </w:r>
      <w:r>
        <w:rPr>
          <w:rFonts w:cs="Simplified Arabic" w:hint="cs"/>
          <w:vanish/>
          <w:color w:val="000000"/>
          <w:sz w:val="24"/>
          <w:szCs w:val="24"/>
          <w:rtl/>
        </w:rPr>
        <w:t>أ</w:t>
      </w:r>
      <w:r>
        <w:rPr>
          <w:rFonts w:cs="Simplified Arabic" w:hint="cs"/>
          <w:color w:val="000000"/>
          <w:sz w:val="24"/>
          <w:szCs w:val="24"/>
          <w:rtl/>
        </w:rPr>
        <w:t>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 xml:space="preserve">الرقم القياسي العام 107.83 خلال شهر تشرين ثاني 2015 مقارنة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بـ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108.57 خلال شهر تشرين أول 2015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(</w:t>
      </w:r>
      <w:r>
        <w:rPr>
          <w:rFonts w:cs="Simplified Arabic" w:hint="cs"/>
          <w:color w:val="000000"/>
          <w:sz w:val="24"/>
          <w:szCs w:val="24"/>
          <w:rtl/>
        </w:rPr>
        <w:t xml:space="preserve">سنة الأساس 2011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</w:p>
    <w:p w:rsidR="002F6AAA" w:rsidRPr="002F6AAA" w:rsidRDefault="002F6AAA" w:rsidP="002F6AAA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16"/>
          <w:szCs w:val="16"/>
          <w:rtl/>
        </w:rPr>
      </w:pPr>
    </w:p>
    <w:p w:rsidR="002F6AAA" w:rsidRDefault="002F6AAA" w:rsidP="002F6AAA">
      <w:pPr>
        <w:pStyle w:val="Header"/>
        <w:tabs>
          <w:tab w:val="left" w:pos="5925"/>
        </w:tabs>
        <w:rPr>
          <w:rFonts w:cs="Simplified Arabic"/>
          <w:b/>
          <w:bCs/>
          <w:color w:val="000000"/>
          <w:sz w:val="24"/>
          <w:szCs w:val="24"/>
          <w:rtl/>
        </w:rPr>
      </w:pPr>
      <w:r>
        <w:rPr>
          <w:rFonts w:cs="Simplified Arabic" w:hint="cs"/>
          <w:b/>
          <w:bCs/>
          <w:color w:val="000000"/>
          <w:sz w:val="24"/>
          <w:szCs w:val="24"/>
          <w:rtl/>
        </w:rPr>
        <w:t>الرقم القياسي لأسعار المنتج للسلع المستهلكة محلياً</w:t>
      </w:r>
    </w:p>
    <w:p w:rsidR="002F6AAA" w:rsidRPr="009C425E" w:rsidRDefault="002F6AAA" w:rsidP="002F6AAA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24"/>
          <w:szCs w:val="24"/>
          <w:rtl/>
        </w:rPr>
      </w:pPr>
      <w:r>
        <w:rPr>
          <w:rFonts w:cs="Simplified Arabic" w:hint="cs"/>
          <w:color w:val="000000"/>
          <w:sz w:val="24"/>
          <w:szCs w:val="24"/>
          <w:rtl/>
        </w:rPr>
        <w:t xml:space="preserve">سجل الرقم القياسي لأسعار المنتج للسلع المستهلكة محلياً من الإنتاج المحلي انخفاضاً مقداره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0.73%،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 الرقم القياسي لأسعار المنتج للسلع المستهلكة محلياً 108.27 خلال شهر تشرين ثاني 2015 مقارنة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بـ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109.06 خلال</w:t>
      </w:r>
      <w:r>
        <w:rPr>
          <w:rFonts w:cs="Simplified Arabic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>شهر تشرين أول 2015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(</w:t>
      </w:r>
      <w:r>
        <w:rPr>
          <w:rFonts w:cs="Simplified Arabic" w:hint="cs"/>
          <w:color w:val="000000"/>
          <w:sz w:val="24"/>
          <w:szCs w:val="24"/>
          <w:rtl/>
        </w:rPr>
        <w:t xml:space="preserve">سنة الأساس 2011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</w:p>
    <w:p w:rsidR="002F6AAA" w:rsidRDefault="002F6AAA" w:rsidP="002F6AAA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16"/>
          <w:szCs w:val="16"/>
          <w:rtl/>
        </w:rPr>
      </w:pPr>
    </w:p>
    <w:p w:rsidR="002F6AAA" w:rsidRPr="002F6AAA" w:rsidRDefault="002F6AAA" w:rsidP="002F6AAA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16"/>
          <w:szCs w:val="16"/>
        </w:rPr>
      </w:pPr>
    </w:p>
    <w:p w:rsidR="002F6AAA" w:rsidRDefault="002F6AAA" w:rsidP="002F6AAA">
      <w:pPr>
        <w:pStyle w:val="Header"/>
        <w:tabs>
          <w:tab w:val="left" w:pos="5925"/>
        </w:tabs>
        <w:jc w:val="lowKashida"/>
        <w:rPr>
          <w:rFonts w:cs="Simplified Arabic"/>
          <w:b/>
          <w:bCs/>
          <w:color w:val="000000"/>
          <w:sz w:val="24"/>
          <w:szCs w:val="24"/>
          <w:rtl/>
        </w:rPr>
      </w:pPr>
      <w:r>
        <w:rPr>
          <w:rFonts w:cs="Simplified Arabic" w:hint="cs"/>
          <w:b/>
          <w:bCs/>
          <w:color w:val="000000"/>
          <w:sz w:val="24"/>
          <w:szCs w:val="24"/>
          <w:rtl/>
        </w:rPr>
        <w:t>الرقم القياسي لأسعار المنتج للسلع المصدرة</w:t>
      </w:r>
    </w:p>
    <w:p w:rsidR="002F6AAA" w:rsidRDefault="002F6AAA" w:rsidP="002F6AAA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24"/>
          <w:szCs w:val="24"/>
          <w:rtl/>
        </w:rPr>
      </w:pPr>
      <w:r>
        <w:rPr>
          <w:rFonts w:cs="Simplified Arabic" w:hint="cs"/>
          <w:color w:val="000000"/>
          <w:sz w:val="24"/>
          <w:szCs w:val="24"/>
          <w:rtl/>
        </w:rPr>
        <w:t xml:space="preserve">سجل الرقم القياسي لأسعار المنتج للسلع المصدرة من الإنتاج المحلي انخفاضاً مقداره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0.21%،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 الرقم القياسي لأسعار المنتج للسلع المصدرة 103.34 خلال شهر تشرين ثاني 2015 مقارنة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بـ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103.56 خلال</w:t>
      </w:r>
      <w:r>
        <w:rPr>
          <w:rFonts w:cs="Simplified Arabic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تشرين أول 2015 </w:t>
      </w:r>
      <w:r w:rsidRPr="0002407B">
        <w:rPr>
          <w:rFonts w:cs="Simplified Arabic" w:hint="cs"/>
          <w:color w:val="000000"/>
          <w:sz w:val="24"/>
          <w:szCs w:val="24"/>
          <w:rtl/>
        </w:rPr>
        <w:t>(</w:t>
      </w:r>
      <w:r>
        <w:rPr>
          <w:rFonts w:cs="Simplified Arabic" w:hint="cs"/>
          <w:color w:val="000000"/>
          <w:sz w:val="24"/>
          <w:szCs w:val="24"/>
          <w:rtl/>
        </w:rPr>
        <w:t xml:space="preserve">سنة الأساس 2011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</w:p>
    <w:p w:rsidR="002F6AAA" w:rsidRPr="002F6AAA" w:rsidRDefault="002F6AAA" w:rsidP="002F6AAA">
      <w:pPr>
        <w:pStyle w:val="Header"/>
        <w:tabs>
          <w:tab w:val="left" w:pos="5925"/>
        </w:tabs>
        <w:jc w:val="lowKashida"/>
        <w:rPr>
          <w:rFonts w:cs="Simplified Arabic"/>
          <w:color w:val="000000"/>
          <w:sz w:val="22"/>
          <w:szCs w:val="22"/>
          <w:rtl/>
        </w:rPr>
      </w:pPr>
    </w:p>
    <w:p w:rsidR="002F6AAA" w:rsidRDefault="002F6AAA" w:rsidP="002F6AAA">
      <w:pPr>
        <w:pStyle w:val="BodyText2"/>
        <w:spacing w:after="0" w:line="240" w:lineRule="auto"/>
        <w:jc w:val="lowKashida"/>
        <w:rPr>
          <w:rFonts w:cs="Simplified Arabic"/>
          <w:b/>
          <w:bCs/>
          <w:color w:val="000000"/>
          <w:rtl/>
        </w:rPr>
      </w:pPr>
      <w:r w:rsidRPr="00243704">
        <w:rPr>
          <w:rFonts w:cs="Simplified Arabic" w:hint="cs"/>
          <w:b/>
          <w:bCs/>
          <w:color w:val="000000"/>
          <w:rtl/>
        </w:rPr>
        <w:t xml:space="preserve">حركة أسعار المنتج ضمن الأنشطة الرئيسية </w:t>
      </w:r>
    </w:p>
    <w:p w:rsidR="002F6AAA" w:rsidRDefault="002F6AAA" w:rsidP="002F6AAA">
      <w:pPr>
        <w:jc w:val="lowKashida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سجلت أسعار السلع المنتجة من </w:t>
      </w:r>
      <w:r>
        <w:rPr>
          <w:rFonts w:cs="Simplified Arabic" w:hint="cs"/>
          <w:b/>
          <w:bCs/>
          <w:color w:val="000000"/>
          <w:rtl/>
        </w:rPr>
        <w:t>نشاط</w:t>
      </w:r>
      <w:r w:rsidRPr="00E117B7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b/>
          <w:bCs/>
          <w:color w:val="000000"/>
          <w:rtl/>
        </w:rPr>
        <w:t xml:space="preserve">الزراعة </w:t>
      </w:r>
      <w:r>
        <w:rPr>
          <w:rFonts w:cs="Simplified Arabic" w:hint="cs"/>
          <w:color w:val="000000"/>
          <w:rtl/>
        </w:rPr>
        <w:t xml:space="preserve">انخفاضاً مقداره </w:t>
      </w:r>
      <w:proofErr w:type="spellStart"/>
      <w:r>
        <w:rPr>
          <w:rFonts w:cs="Simplified Arabic" w:hint="cs"/>
          <w:color w:val="000000"/>
          <w:rtl/>
        </w:rPr>
        <w:t>1.15%،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36.01%</w:t>
      </w:r>
      <w:proofErr w:type="spellEnd"/>
      <w:r>
        <w:rPr>
          <w:rFonts w:cs="Simplified Arabic" w:hint="cs"/>
          <w:color w:val="000000"/>
          <w:rtl/>
        </w:rPr>
        <w:t xml:space="preserve"> من سلة </w:t>
      </w:r>
      <w:proofErr w:type="spellStart"/>
      <w:r>
        <w:rPr>
          <w:rFonts w:cs="Simplified Arabic" w:hint="cs"/>
          <w:color w:val="000000"/>
          <w:rtl/>
        </w:rPr>
        <w:t>المنتج،</w:t>
      </w:r>
      <w:proofErr w:type="spellEnd"/>
      <w:r>
        <w:rPr>
          <w:rFonts w:cs="Simplified Arabic" w:hint="cs"/>
          <w:color w:val="000000"/>
          <w:rtl/>
        </w:rPr>
        <w:t xml:space="preserve"> وذلك لانخفاض</w:t>
      </w:r>
      <w:r w:rsidRPr="001E4195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أسعار السلع ضمن نشاط </w:t>
      </w:r>
      <w:r w:rsidRPr="004E5062">
        <w:rPr>
          <w:rFonts w:cs="Simplified Arabic" w:hint="cs"/>
          <w:b/>
          <w:bCs/>
          <w:color w:val="000000"/>
          <w:rtl/>
        </w:rPr>
        <w:t>تربية الحيوانات</w:t>
      </w:r>
      <w:r>
        <w:rPr>
          <w:rFonts w:cs="Simplified Arabic" w:hint="cs"/>
          <w:color w:val="000000"/>
          <w:rtl/>
        </w:rPr>
        <w:t xml:space="preserve"> بمقدار </w:t>
      </w:r>
      <w:proofErr w:type="spellStart"/>
      <w:r>
        <w:rPr>
          <w:rFonts w:cs="Simplified Arabic" w:hint="cs"/>
          <w:color w:val="000000"/>
          <w:rtl/>
        </w:rPr>
        <w:t>3.27%،</w:t>
      </w:r>
      <w:proofErr w:type="spellEnd"/>
      <w:r>
        <w:rPr>
          <w:rFonts w:cs="Simplified Arabic" w:hint="cs"/>
          <w:color w:val="000000"/>
          <w:rtl/>
        </w:rPr>
        <w:t xml:space="preserve"> بسبب انخفاض أسعار الحيوانات الحية بمقدار </w:t>
      </w:r>
      <w:proofErr w:type="spellStart"/>
      <w:r>
        <w:rPr>
          <w:rFonts w:cs="Simplified Arabic" w:hint="cs"/>
          <w:color w:val="000000"/>
          <w:rtl/>
        </w:rPr>
        <w:t>4.63%،</w:t>
      </w:r>
      <w:proofErr w:type="spellEnd"/>
      <w:r>
        <w:rPr>
          <w:rFonts w:cs="Simplified Arabic" w:hint="cs"/>
          <w:color w:val="000000"/>
          <w:rtl/>
        </w:rPr>
        <w:t xml:space="preserve"> وأسعار المنتجات الحيوانية بمقدار </w:t>
      </w:r>
      <w:proofErr w:type="spellStart"/>
      <w:r>
        <w:rPr>
          <w:rFonts w:cs="Simplified Arabic" w:hint="cs"/>
          <w:color w:val="000000"/>
          <w:rtl/>
        </w:rPr>
        <w:t>1.39%.</w:t>
      </w:r>
      <w:proofErr w:type="spellEnd"/>
      <w:r>
        <w:rPr>
          <w:rFonts w:cs="Simplified Arabic" w:hint="cs"/>
          <w:color w:val="000000"/>
          <w:rtl/>
        </w:rPr>
        <w:t xml:space="preserve"> بينما سجلت أسعار السلع ضمن نشاط </w:t>
      </w:r>
      <w:r w:rsidRPr="004E5062">
        <w:rPr>
          <w:rFonts w:cs="Simplified Arabic" w:hint="cs"/>
          <w:b/>
          <w:bCs/>
          <w:color w:val="000000"/>
          <w:rtl/>
        </w:rPr>
        <w:t>زراعة المحاصيل</w:t>
      </w:r>
      <w:r>
        <w:rPr>
          <w:rFonts w:cs="Simplified Arabic" w:hint="cs"/>
          <w:b/>
          <w:bCs/>
          <w:color w:val="000000"/>
          <w:rtl/>
        </w:rPr>
        <w:t xml:space="preserve"> ارتفاعاً </w:t>
      </w:r>
      <w:r w:rsidRPr="00774121">
        <w:rPr>
          <w:rFonts w:cs="Simplified Arabic" w:hint="cs"/>
          <w:color w:val="000000"/>
          <w:rtl/>
        </w:rPr>
        <w:t xml:space="preserve">بنسبة </w:t>
      </w:r>
      <w:proofErr w:type="spellStart"/>
      <w:r>
        <w:rPr>
          <w:rFonts w:cs="Simplified Arabic" w:hint="cs"/>
          <w:color w:val="000000"/>
          <w:rtl/>
        </w:rPr>
        <w:t>0.37</w:t>
      </w:r>
      <w:r w:rsidRPr="00774121">
        <w:rPr>
          <w:rFonts w:cs="Simplified Arabic" w:hint="cs"/>
          <w:color w:val="000000"/>
          <w:rtl/>
        </w:rPr>
        <w:t>%</w:t>
      </w:r>
      <w:r>
        <w:rPr>
          <w:rFonts w:cs="Simplified Arabic" w:hint="cs"/>
          <w:b/>
          <w:bCs/>
          <w:color w:val="000000"/>
          <w:rtl/>
        </w:rPr>
        <w:t>،</w:t>
      </w:r>
      <w:proofErr w:type="spellEnd"/>
      <w:r w:rsidRPr="00B31A14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>بسبب ارتفاع</w:t>
      </w:r>
      <w:r w:rsidRPr="004F7BE0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أسعار الخضروات الطازجة والمجففة بنسبة </w:t>
      </w:r>
      <w:proofErr w:type="spellStart"/>
      <w:r>
        <w:rPr>
          <w:rFonts w:cs="Simplified Arabic" w:hint="cs"/>
          <w:color w:val="000000"/>
          <w:rtl/>
        </w:rPr>
        <w:t>2.07%،</w:t>
      </w:r>
      <w:proofErr w:type="spellEnd"/>
      <w:r>
        <w:rPr>
          <w:rFonts w:cs="Simplified Arabic" w:hint="cs"/>
          <w:color w:val="000000"/>
          <w:rtl/>
        </w:rPr>
        <w:t xml:space="preserve"> بينما سجلت أسعار الفواكه الطازجة انخفاضاً مقداره </w:t>
      </w:r>
      <w:proofErr w:type="spellStart"/>
      <w:r>
        <w:rPr>
          <w:rFonts w:cs="Simplified Arabic" w:hint="cs"/>
          <w:color w:val="000000"/>
          <w:rtl/>
        </w:rPr>
        <w:t>4.76%.</w:t>
      </w:r>
      <w:proofErr w:type="spellEnd"/>
    </w:p>
    <w:p w:rsidR="002F6AAA" w:rsidRPr="002F6AAA" w:rsidRDefault="002F6AAA" w:rsidP="002F6AAA">
      <w:pPr>
        <w:jc w:val="lowKashida"/>
        <w:rPr>
          <w:rFonts w:cs="Simplified Arabic"/>
          <w:color w:val="000000"/>
          <w:sz w:val="22"/>
          <w:szCs w:val="22"/>
          <w:rtl/>
        </w:rPr>
      </w:pPr>
    </w:p>
    <w:p w:rsidR="002F6AAA" w:rsidRDefault="002F6AAA" w:rsidP="002F6AAA">
      <w:pPr>
        <w:pStyle w:val="BodyText2"/>
        <w:spacing w:after="0" w:line="240" w:lineRule="auto"/>
        <w:jc w:val="lowKashida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>كما سجلت</w:t>
      </w:r>
      <w:r w:rsidRPr="00613187">
        <w:rPr>
          <w:rFonts w:cs="Simplified Arabic" w:hint="cs"/>
          <w:color w:val="000000"/>
          <w:rtl/>
        </w:rPr>
        <w:t xml:space="preserve"> </w:t>
      </w:r>
      <w:r w:rsidRPr="001E5391">
        <w:rPr>
          <w:rFonts w:cs="Simplified Arabic" w:hint="cs"/>
          <w:color w:val="000000"/>
          <w:rtl/>
        </w:rPr>
        <w:t>أسعار السلع المنتجة من</w:t>
      </w:r>
      <w:r>
        <w:rPr>
          <w:rFonts w:cs="Simplified Arabic" w:hint="cs"/>
          <w:b/>
          <w:bCs/>
          <w:color w:val="000000"/>
          <w:rtl/>
        </w:rPr>
        <w:t xml:space="preserve"> الصناعات التحويلية</w:t>
      </w:r>
      <w:r>
        <w:rPr>
          <w:rFonts w:cs="Simplified Arabic" w:hint="cs"/>
          <w:color w:val="000000"/>
          <w:rtl/>
        </w:rPr>
        <w:t xml:space="preserve"> انخفاضاً مقداره </w:t>
      </w:r>
      <w:proofErr w:type="spellStart"/>
      <w:r>
        <w:rPr>
          <w:rFonts w:cs="Simplified Arabic" w:hint="cs"/>
          <w:color w:val="000000"/>
          <w:rtl/>
        </w:rPr>
        <w:t>0.35%،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61.66%</w:t>
      </w:r>
      <w:proofErr w:type="spellEnd"/>
      <w:r>
        <w:rPr>
          <w:rFonts w:cs="Simplified Arabic" w:hint="cs"/>
          <w:color w:val="000000"/>
          <w:rtl/>
        </w:rPr>
        <w:t xml:space="preserve"> من سلة </w:t>
      </w:r>
      <w:proofErr w:type="spellStart"/>
      <w:r>
        <w:rPr>
          <w:rFonts w:cs="Simplified Arabic" w:hint="cs"/>
          <w:color w:val="000000"/>
          <w:rtl/>
        </w:rPr>
        <w:t>المنتج،</w:t>
      </w:r>
      <w:proofErr w:type="spellEnd"/>
      <w:r>
        <w:rPr>
          <w:rFonts w:cs="Simplified Arabic" w:hint="cs"/>
          <w:color w:val="000000"/>
          <w:rtl/>
        </w:rPr>
        <w:t xml:space="preserve"> بسبب انخفاض أسعار السلع ضمن نشاط إعادة التصنيع بمقدار </w:t>
      </w:r>
      <w:proofErr w:type="spellStart"/>
      <w:r>
        <w:rPr>
          <w:rFonts w:cs="Simplified Arabic" w:hint="cs"/>
          <w:color w:val="000000"/>
          <w:rtl/>
        </w:rPr>
        <w:t>7.02%،</w:t>
      </w:r>
      <w:proofErr w:type="spellEnd"/>
      <w:r>
        <w:rPr>
          <w:rFonts w:cs="Simplified Arabic" w:hint="cs"/>
          <w:color w:val="000000"/>
          <w:rtl/>
        </w:rPr>
        <w:t xml:space="preserve"> وأسعار صنع الفلزات الثمينة وغير الحديدية القاعدية بمقدار </w:t>
      </w:r>
      <w:proofErr w:type="spellStart"/>
      <w:r>
        <w:rPr>
          <w:rFonts w:cs="Simplified Arabic" w:hint="cs"/>
          <w:color w:val="000000"/>
          <w:rtl/>
        </w:rPr>
        <w:t>3.71%،</w:t>
      </w:r>
      <w:proofErr w:type="spellEnd"/>
      <w:r>
        <w:rPr>
          <w:rFonts w:cs="Simplified Arabic" w:hint="cs"/>
          <w:color w:val="000000"/>
          <w:rtl/>
        </w:rPr>
        <w:t xml:space="preserve"> وأسعار صنع منتجات المعادن المشكلة عدا الماكينات والمعدات بمقدار </w:t>
      </w:r>
      <w:proofErr w:type="spellStart"/>
      <w:r>
        <w:rPr>
          <w:rFonts w:cs="Simplified Arabic" w:hint="cs"/>
          <w:color w:val="000000"/>
          <w:rtl/>
        </w:rPr>
        <w:t>1.81%،</w:t>
      </w:r>
      <w:proofErr w:type="spellEnd"/>
      <w:r>
        <w:rPr>
          <w:rFonts w:cs="Simplified Arabic" w:hint="cs"/>
          <w:color w:val="000000"/>
          <w:rtl/>
        </w:rPr>
        <w:t xml:space="preserve"> وأسعار صنع المنتجات النفطية المكررة بمقدار </w:t>
      </w:r>
      <w:proofErr w:type="spellStart"/>
      <w:r>
        <w:rPr>
          <w:rFonts w:cs="Simplified Arabic" w:hint="cs"/>
          <w:color w:val="000000"/>
          <w:rtl/>
        </w:rPr>
        <w:t>1.81%،</w:t>
      </w:r>
      <w:proofErr w:type="spellEnd"/>
      <w:r>
        <w:rPr>
          <w:rFonts w:cs="Simplified Arabic" w:hint="cs"/>
          <w:color w:val="000000"/>
          <w:rtl/>
        </w:rPr>
        <w:t xml:space="preserve"> وأسعار صنع منتجات طواحين الحبوب بمقدار </w:t>
      </w:r>
      <w:proofErr w:type="spellStart"/>
      <w:r>
        <w:rPr>
          <w:rFonts w:cs="Simplified Arabic" w:hint="cs"/>
          <w:color w:val="000000"/>
          <w:rtl/>
        </w:rPr>
        <w:t>1.39%،</w:t>
      </w:r>
      <w:proofErr w:type="spellEnd"/>
      <w:r w:rsidRPr="003E03D3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وأسعار صنع منتجات المطاط والبلاستيك بمقدار </w:t>
      </w:r>
      <w:proofErr w:type="spellStart"/>
      <w:r>
        <w:rPr>
          <w:rFonts w:cs="Simplified Arabic" w:hint="cs"/>
          <w:color w:val="000000"/>
          <w:rtl/>
        </w:rPr>
        <w:t>0.81%،</w:t>
      </w:r>
      <w:proofErr w:type="spellEnd"/>
      <w:r>
        <w:rPr>
          <w:rFonts w:cs="Simplified Arabic" w:hint="cs"/>
          <w:color w:val="000000"/>
          <w:rtl/>
        </w:rPr>
        <w:t xml:space="preserve"> وأسعار إنتاج وجمع وتوزيع الكهرباء بمقدار </w:t>
      </w:r>
      <w:proofErr w:type="spellStart"/>
      <w:r>
        <w:rPr>
          <w:rFonts w:cs="Simplified Arabic" w:hint="cs"/>
          <w:color w:val="000000"/>
          <w:rtl/>
        </w:rPr>
        <w:t>0.61%،</w:t>
      </w:r>
      <w:proofErr w:type="spellEnd"/>
      <w:r>
        <w:rPr>
          <w:rFonts w:cs="Simplified Arabic" w:hint="cs"/>
          <w:color w:val="000000"/>
          <w:rtl/>
        </w:rPr>
        <w:t xml:space="preserve"> على الرغم من ارتفاع</w:t>
      </w:r>
      <w:r w:rsidRPr="008F02D9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أسعار صنع الأصناف المنتجة من الخرسانة والأسمنت والجبس بنسبة </w:t>
      </w:r>
      <w:proofErr w:type="spellStart"/>
      <w:r>
        <w:rPr>
          <w:rFonts w:cs="Simplified Arabic" w:hint="cs"/>
          <w:color w:val="000000"/>
          <w:rtl/>
        </w:rPr>
        <w:t>0.74%،</w:t>
      </w:r>
      <w:proofErr w:type="spellEnd"/>
      <w:r>
        <w:rPr>
          <w:rFonts w:cs="Simplified Arabic" w:hint="cs"/>
          <w:color w:val="000000"/>
          <w:rtl/>
        </w:rPr>
        <w:t xml:space="preserve"> وأسعار صنع الآلات والمعدات غير المصنفة في موضع آخر بنسبة </w:t>
      </w:r>
      <w:proofErr w:type="spellStart"/>
      <w:r>
        <w:rPr>
          <w:rFonts w:cs="Simplified Arabic" w:hint="cs"/>
          <w:color w:val="000000"/>
          <w:rtl/>
        </w:rPr>
        <w:t>0.36%،</w:t>
      </w:r>
      <w:proofErr w:type="spellEnd"/>
      <w:r>
        <w:rPr>
          <w:rFonts w:cs="Simplified Arabic" w:hint="cs"/>
          <w:color w:val="000000"/>
          <w:rtl/>
        </w:rPr>
        <w:t xml:space="preserve"> وأسعار جمع وتنقية وتوزيع المياه بنسبة </w:t>
      </w:r>
      <w:proofErr w:type="spellStart"/>
      <w:r>
        <w:rPr>
          <w:rFonts w:cs="Simplified Arabic" w:hint="cs"/>
          <w:color w:val="000000"/>
          <w:rtl/>
        </w:rPr>
        <w:t>0.30%.</w:t>
      </w:r>
      <w:proofErr w:type="spellEnd"/>
    </w:p>
    <w:p w:rsidR="002F6AAA" w:rsidRDefault="002F6AAA" w:rsidP="002F6AAA">
      <w:pPr>
        <w:pStyle w:val="BodyText2"/>
        <w:spacing w:after="0" w:line="240" w:lineRule="auto"/>
        <w:jc w:val="lowKashida"/>
        <w:rPr>
          <w:rFonts w:cs="Simplified Arabic"/>
          <w:color w:val="000000"/>
          <w:rtl/>
        </w:rPr>
      </w:pPr>
    </w:p>
    <w:p w:rsidR="002F6AAA" w:rsidRDefault="002F6AAA" w:rsidP="002F6AAA">
      <w:pPr>
        <w:pStyle w:val="BodyText2"/>
        <w:spacing w:after="0" w:line="240" w:lineRule="auto"/>
        <w:jc w:val="lowKashida"/>
        <w:rPr>
          <w:rFonts w:cs="Simplified Arabic"/>
          <w:b/>
          <w:bCs/>
          <w:color w:val="000000"/>
          <w:rtl/>
        </w:rPr>
      </w:pPr>
      <w:r>
        <w:rPr>
          <w:rFonts w:cs="Simplified Arabic" w:hint="cs"/>
          <w:color w:val="000000"/>
          <w:rtl/>
        </w:rPr>
        <w:lastRenderedPageBreak/>
        <w:t xml:space="preserve">سجلت أسعار منتجات </w:t>
      </w:r>
      <w:r w:rsidRPr="001710AE">
        <w:rPr>
          <w:rFonts w:cs="Simplified Arabic" w:hint="cs"/>
          <w:b/>
          <w:bCs/>
          <w:color w:val="000000"/>
          <w:rtl/>
        </w:rPr>
        <w:t>صيد الأسماك</w:t>
      </w:r>
      <w:r>
        <w:rPr>
          <w:rFonts w:cs="Simplified Arabic" w:hint="cs"/>
          <w:color w:val="000000"/>
          <w:rtl/>
        </w:rPr>
        <w:t xml:space="preserve"> انخفاضاً مقداره </w:t>
      </w:r>
      <w:proofErr w:type="spellStart"/>
      <w:r>
        <w:rPr>
          <w:rFonts w:cs="Simplified Arabic" w:hint="cs"/>
          <w:color w:val="000000"/>
          <w:rtl/>
        </w:rPr>
        <w:t>8.25%،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0.20%</w:t>
      </w:r>
      <w:proofErr w:type="spellEnd"/>
      <w:r>
        <w:rPr>
          <w:rFonts w:cs="Simplified Arabic" w:hint="cs"/>
          <w:color w:val="000000"/>
          <w:rtl/>
        </w:rPr>
        <w:t xml:space="preserve"> من سلة المنتج.</w:t>
      </w:r>
    </w:p>
    <w:p w:rsidR="002F6AAA" w:rsidRPr="00577878" w:rsidRDefault="002F6AAA" w:rsidP="002F6AAA">
      <w:pPr>
        <w:pStyle w:val="BodyText2"/>
        <w:spacing w:after="0" w:line="240" w:lineRule="auto"/>
        <w:jc w:val="lowKashida"/>
        <w:rPr>
          <w:rFonts w:cs="Simplified Arabic"/>
          <w:b/>
          <w:bCs/>
          <w:color w:val="000000"/>
          <w:rtl/>
        </w:rPr>
      </w:pPr>
    </w:p>
    <w:p w:rsidR="002F6AAA" w:rsidRPr="00577878" w:rsidRDefault="002F6AAA" w:rsidP="002F6AAA">
      <w:pPr>
        <w:pStyle w:val="BodyText2"/>
        <w:spacing w:after="0" w:line="240" w:lineRule="auto"/>
        <w:jc w:val="lowKashida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سجلت أسعار منتجات </w:t>
      </w:r>
      <w:r w:rsidRPr="00BE3254">
        <w:rPr>
          <w:rFonts w:cs="Simplified Arabic" w:hint="cs"/>
          <w:b/>
          <w:bCs/>
          <w:color w:val="000000"/>
          <w:rtl/>
        </w:rPr>
        <w:t xml:space="preserve">الصناعات التعدينية </w:t>
      </w:r>
      <w:proofErr w:type="spellStart"/>
      <w:r w:rsidRPr="00BE3254">
        <w:rPr>
          <w:rFonts w:cs="Simplified Arabic" w:hint="cs"/>
          <w:b/>
          <w:bCs/>
          <w:color w:val="000000"/>
          <w:rtl/>
        </w:rPr>
        <w:t>والاستخراجية</w:t>
      </w:r>
      <w:proofErr w:type="spellEnd"/>
      <w:r>
        <w:rPr>
          <w:rFonts w:cs="Simplified Arabic" w:hint="cs"/>
          <w:color w:val="000000"/>
          <w:rtl/>
        </w:rPr>
        <w:t xml:space="preserve"> استقراراً خلال شهر تشرين ثاني 2015 مقارنة مع شهر تشرين أول </w:t>
      </w:r>
      <w:proofErr w:type="spellStart"/>
      <w:r>
        <w:rPr>
          <w:rFonts w:cs="Simplified Arabic" w:hint="cs"/>
          <w:color w:val="000000"/>
          <w:rtl/>
        </w:rPr>
        <w:t>2015،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2.13%</w:t>
      </w:r>
      <w:proofErr w:type="spellEnd"/>
      <w:r>
        <w:rPr>
          <w:rFonts w:cs="Simplified Arabic" w:hint="cs"/>
          <w:color w:val="000000"/>
          <w:rtl/>
        </w:rPr>
        <w:t xml:space="preserve"> من سلة المنتج.</w:t>
      </w:r>
    </w:p>
    <w:p w:rsidR="002F6AAA" w:rsidRDefault="002F6AAA" w:rsidP="002F6AAA">
      <w:pPr>
        <w:tabs>
          <w:tab w:val="left" w:pos="282"/>
        </w:tabs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 xml:space="preserve">  </w:t>
      </w:r>
    </w:p>
    <w:p w:rsidR="002F6AAA" w:rsidRDefault="002F6AAA" w:rsidP="00E66C85">
      <w:pPr>
        <w:tabs>
          <w:tab w:val="left" w:pos="282"/>
        </w:tabs>
        <w:jc w:val="center"/>
        <w:rPr>
          <w:rFonts w:cs="Simplified Arabic"/>
          <w:b/>
          <w:bCs/>
          <w:sz w:val="22"/>
          <w:szCs w:val="22"/>
          <w:rtl/>
        </w:rPr>
      </w:pPr>
      <w:r w:rsidRPr="001B73D4">
        <w:rPr>
          <w:rFonts w:cs="Simplified Arabic" w:hint="cs"/>
          <w:b/>
          <w:bCs/>
          <w:sz w:val="22"/>
          <w:szCs w:val="22"/>
          <w:rtl/>
        </w:rPr>
        <w:t xml:space="preserve">الاتجاه العام لحركة الأرقام القياسية لأسعار المنتج في </w:t>
      </w:r>
      <w:r>
        <w:rPr>
          <w:rFonts w:cs="Simplified Arabic" w:hint="cs"/>
          <w:b/>
          <w:bCs/>
          <w:sz w:val="22"/>
          <w:szCs w:val="22"/>
          <w:rtl/>
        </w:rPr>
        <w:t>فلسطين</w:t>
      </w:r>
      <w:r w:rsidRPr="001B73D4">
        <w:rPr>
          <w:rFonts w:cs="Simplified Arabic" w:hint="cs"/>
          <w:b/>
          <w:bCs/>
          <w:sz w:val="22"/>
          <w:szCs w:val="22"/>
          <w:rtl/>
        </w:rPr>
        <w:t>:</w:t>
      </w:r>
    </w:p>
    <w:p w:rsidR="00E66C85" w:rsidRDefault="002F6AAA" w:rsidP="00E66C85">
      <w:pPr>
        <w:tabs>
          <w:tab w:val="left" w:pos="282"/>
        </w:tabs>
        <w:jc w:val="center"/>
        <w:rPr>
          <w:rFonts w:cs="Simplified Arabic" w:hint="cs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تشرين ثاني</w:t>
      </w:r>
      <w:r w:rsidRPr="001B73D4">
        <w:rPr>
          <w:rFonts w:cs="Simplified Arabic" w:hint="cs"/>
          <w:b/>
          <w:bCs/>
          <w:sz w:val="22"/>
          <w:szCs w:val="22"/>
          <w:rtl/>
        </w:rPr>
        <w:t xml:space="preserve"> </w:t>
      </w:r>
      <w:r>
        <w:rPr>
          <w:rFonts w:cs="Simplified Arabic" w:hint="cs"/>
          <w:b/>
          <w:bCs/>
          <w:sz w:val="22"/>
          <w:szCs w:val="22"/>
          <w:rtl/>
        </w:rPr>
        <w:t>2014</w:t>
      </w:r>
      <w:r w:rsidRPr="001B73D4">
        <w:rPr>
          <w:rFonts w:cs="Simplified Arabic" w:hint="cs"/>
          <w:b/>
          <w:bCs/>
          <w:sz w:val="22"/>
          <w:szCs w:val="22"/>
          <w:rtl/>
        </w:rPr>
        <w:t xml:space="preserve"> </w:t>
      </w:r>
      <w:proofErr w:type="spellStart"/>
      <w:r w:rsidRPr="001B73D4">
        <w:rPr>
          <w:rFonts w:cs="Simplified Arabic"/>
          <w:b/>
          <w:bCs/>
          <w:sz w:val="22"/>
          <w:szCs w:val="22"/>
          <w:rtl/>
        </w:rPr>
        <w:t>–</w:t>
      </w:r>
      <w:proofErr w:type="spellEnd"/>
      <w:r w:rsidRPr="001B73D4">
        <w:rPr>
          <w:rFonts w:cs="Simplified Arabic" w:hint="cs"/>
          <w:b/>
          <w:bCs/>
          <w:sz w:val="22"/>
          <w:szCs w:val="22"/>
          <w:rtl/>
        </w:rPr>
        <w:t xml:space="preserve"> </w:t>
      </w:r>
      <w:r>
        <w:rPr>
          <w:rFonts w:cs="Simplified Arabic" w:hint="cs"/>
          <w:b/>
          <w:bCs/>
          <w:sz w:val="22"/>
          <w:szCs w:val="22"/>
          <w:rtl/>
        </w:rPr>
        <w:t>تشرين ثاني</w:t>
      </w:r>
      <w:r w:rsidRPr="001B73D4">
        <w:rPr>
          <w:rFonts w:cs="Simplified Arabic" w:hint="cs"/>
          <w:b/>
          <w:bCs/>
          <w:sz w:val="22"/>
          <w:szCs w:val="22"/>
          <w:rtl/>
        </w:rPr>
        <w:t xml:space="preserve"> </w:t>
      </w:r>
      <w:r>
        <w:rPr>
          <w:rFonts w:cs="Simplified Arabic" w:hint="cs"/>
          <w:b/>
          <w:bCs/>
          <w:sz w:val="22"/>
          <w:szCs w:val="22"/>
          <w:rtl/>
        </w:rPr>
        <w:t>2015</w:t>
      </w:r>
      <w:r w:rsidR="00E66C85">
        <w:rPr>
          <w:rFonts w:cs="Simplified Arabic" w:hint="cs"/>
          <w:b/>
          <w:bCs/>
          <w:sz w:val="22"/>
          <w:szCs w:val="22"/>
          <w:rtl/>
        </w:rPr>
        <w:t xml:space="preserve"> </w:t>
      </w:r>
    </w:p>
    <w:p w:rsidR="002F6AAA" w:rsidRPr="00E66C85" w:rsidRDefault="002F6AAA" w:rsidP="00E66C85">
      <w:pPr>
        <w:tabs>
          <w:tab w:val="left" w:pos="282"/>
        </w:tabs>
        <w:jc w:val="center"/>
        <w:rPr>
          <w:rFonts w:cs="Simplified Arabic"/>
          <w:color w:val="000000"/>
          <w:sz w:val="20"/>
          <w:szCs w:val="20"/>
          <w:rtl/>
        </w:rPr>
      </w:pPr>
      <w:r w:rsidRPr="001B73D4">
        <w:rPr>
          <w:rFonts w:cs="Simplified Arabic" w:hint="cs"/>
          <w:b/>
          <w:bCs/>
          <w:sz w:val="22"/>
          <w:szCs w:val="22"/>
          <w:rtl/>
        </w:rPr>
        <w:t>(</w:t>
      </w:r>
      <w:r>
        <w:rPr>
          <w:rFonts w:cs="Simplified Arabic" w:hint="cs"/>
          <w:b/>
          <w:bCs/>
          <w:sz w:val="22"/>
          <w:szCs w:val="22"/>
          <w:rtl/>
        </w:rPr>
        <w:t>سنة الأساس</w:t>
      </w:r>
      <w:r w:rsidRPr="001B73D4">
        <w:rPr>
          <w:rFonts w:cs="Simplified Arabic" w:hint="cs"/>
          <w:b/>
          <w:bCs/>
          <w:sz w:val="22"/>
          <w:szCs w:val="22"/>
          <w:rtl/>
        </w:rPr>
        <w:t xml:space="preserve"> 2011 </w:t>
      </w:r>
      <w:proofErr w:type="spellStart"/>
      <w:r w:rsidRPr="001B73D4">
        <w:rPr>
          <w:rFonts w:cs="Simplified Arabic" w:hint="cs"/>
          <w:b/>
          <w:bCs/>
          <w:sz w:val="22"/>
          <w:szCs w:val="22"/>
          <w:rtl/>
        </w:rPr>
        <w:t>=</w:t>
      </w:r>
      <w:proofErr w:type="spellEnd"/>
      <w:r w:rsidRPr="001B73D4">
        <w:rPr>
          <w:rFonts w:cs="Simplified Arabic" w:hint="cs"/>
          <w:b/>
          <w:bCs/>
          <w:sz w:val="22"/>
          <w:szCs w:val="22"/>
          <w:rtl/>
        </w:rPr>
        <w:t xml:space="preserve"> 100</w:t>
      </w:r>
      <w:proofErr w:type="spellStart"/>
      <w:r w:rsidRPr="001B73D4">
        <w:rPr>
          <w:rFonts w:cs="Simplified Arabic" w:hint="cs"/>
          <w:b/>
          <w:bCs/>
          <w:sz w:val="22"/>
          <w:szCs w:val="22"/>
          <w:rtl/>
        </w:rPr>
        <w:t>)</w:t>
      </w:r>
      <w:proofErr w:type="spellEnd"/>
    </w:p>
    <w:p w:rsidR="002F6AAA" w:rsidRPr="00C23334" w:rsidRDefault="002F6AAA" w:rsidP="002F6AAA">
      <w:pPr>
        <w:pStyle w:val="BodyText2"/>
        <w:spacing w:after="0" w:line="240" w:lineRule="auto"/>
        <w:jc w:val="center"/>
        <w:rPr>
          <w:rFonts w:cs="Simplified Arabic"/>
          <w:b/>
          <w:bCs/>
          <w:sz w:val="12"/>
          <w:szCs w:val="12"/>
          <w:rtl/>
        </w:rPr>
      </w:pPr>
    </w:p>
    <w:p w:rsidR="002F6AAA" w:rsidRDefault="002F6AAA" w:rsidP="002F6AAA">
      <w:pPr>
        <w:ind w:left="-1"/>
        <w:jc w:val="center"/>
        <w:rPr>
          <w:rFonts w:cs="Simplified Arabic"/>
          <w:color w:val="000000"/>
          <w:sz w:val="8"/>
          <w:szCs w:val="8"/>
          <w:rtl/>
        </w:rPr>
      </w:pPr>
      <w:r>
        <w:rPr>
          <w:noProof/>
          <w:lang w:eastAsia="en-US"/>
        </w:rPr>
        <w:drawing>
          <wp:inline distT="0" distB="0" distL="0" distR="0">
            <wp:extent cx="2872596" cy="2277373"/>
            <wp:effectExtent l="19050" t="0" r="23004" b="8627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  <w:bookmarkEnd w:id="1"/>
    </w:p>
    <w:p w:rsidR="002F6AAA" w:rsidRDefault="002F6AAA" w:rsidP="002F6AAA">
      <w:pPr>
        <w:jc w:val="both"/>
        <w:rPr>
          <w:rFonts w:cs="Simplified Arabic"/>
          <w:color w:val="000000"/>
          <w:sz w:val="20"/>
          <w:szCs w:val="20"/>
          <w:rtl/>
        </w:rPr>
      </w:pPr>
    </w:p>
    <w:p w:rsidR="002F6AAA" w:rsidRDefault="002F6AAA" w:rsidP="002F6AAA">
      <w:pPr>
        <w:jc w:val="both"/>
        <w:rPr>
          <w:rFonts w:cs="Simplified Arabic"/>
          <w:color w:val="000000"/>
          <w:sz w:val="20"/>
          <w:szCs w:val="20"/>
          <w:rtl/>
        </w:rPr>
      </w:pPr>
    </w:p>
    <w:p w:rsidR="002F6AAA" w:rsidRDefault="002F6AAA" w:rsidP="002F6AAA">
      <w:pPr>
        <w:jc w:val="both"/>
        <w:rPr>
          <w:rFonts w:cs="Simplified Arabic"/>
          <w:color w:val="000000"/>
          <w:sz w:val="20"/>
          <w:szCs w:val="20"/>
          <w:rtl/>
        </w:rPr>
      </w:pPr>
    </w:p>
    <w:p w:rsidR="002F6AAA" w:rsidRDefault="002F6AAA" w:rsidP="002F6AAA">
      <w:pPr>
        <w:jc w:val="both"/>
        <w:rPr>
          <w:rFonts w:cs="Simplified Arabic"/>
          <w:color w:val="000000"/>
          <w:sz w:val="20"/>
          <w:szCs w:val="20"/>
          <w:rtl/>
        </w:rPr>
      </w:pPr>
    </w:p>
    <w:p w:rsidR="002F6AAA" w:rsidRDefault="002F6AAA" w:rsidP="002F6AAA">
      <w:pPr>
        <w:jc w:val="both"/>
        <w:rPr>
          <w:rFonts w:cs="Simplified Arabic"/>
          <w:color w:val="000000"/>
          <w:sz w:val="20"/>
          <w:szCs w:val="20"/>
          <w:rtl/>
        </w:rPr>
      </w:pPr>
    </w:p>
    <w:p w:rsidR="002F6AAA" w:rsidRDefault="002F6AAA" w:rsidP="002F6AAA">
      <w:pPr>
        <w:jc w:val="both"/>
        <w:rPr>
          <w:rFonts w:cs="Simplified Arabic"/>
          <w:color w:val="000000"/>
          <w:sz w:val="20"/>
          <w:szCs w:val="20"/>
          <w:rtl/>
        </w:rPr>
      </w:pPr>
    </w:p>
    <w:p w:rsidR="002F6AAA" w:rsidRDefault="002F6AAA" w:rsidP="002F6AAA">
      <w:pPr>
        <w:jc w:val="both"/>
        <w:rPr>
          <w:rFonts w:cs="Simplified Arabic"/>
          <w:color w:val="000000"/>
          <w:sz w:val="20"/>
          <w:szCs w:val="20"/>
          <w:rtl/>
        </w:rPr>
      </w:pPr>
    </w:p>
    <w:p w:rsidR="002F6AAA" w:rsidRDefault="002F6AAA" w:rsidP="002F6AAA">
      <w:pPr>
        <w:jc w:val="both"/>
        <w:rPr>
          <w:rFonts w:cs="Simplified Arabic"/>
          <w:color w:val="000000"/>
          <w:sz w:val="20"/>
          <w:szCs w:val="20"/>
          <w:rtl/>
        </w:rPr>
      </w:pPr>
    </w:p>
    <w:p w:rsidR="002F6AAA" w:rsidRDefault="002F6AAA" w:rsidP="002F6AAA">
      <w:pPr>
        <w:jc w:val="both"/>
        <w:rPr>
          <w:rFonts w:cs="Simplified Arabic"/>
          <w:color w:val="000000"/>
          <w:sz w:val="20"/>
          <w:szCs w:val="20"/>
          <w:rtl/>
        </w:rPr>
      </w:pPr>
    </w:p>
    <w:p w:rsidR="002F6AAA" w:rsidRDefault="002F6AAA" w:rsidP="002F6AAA">
      <w:pPr>
        <w:jc w:val="both"/>
        <w:rPr>
          <w:rFonts w:cs="Simplified Arabic"/>
          <w:color w:val="000000"/>
          <w:sz w:val="20"/>
          <w:szCs w:val="20"/>
          <w:rtl/>
        </w:rPr>
      </w:pPr>
    </w:p>
    <w:p w:rsidR="002F6AAA" w:rsidRDefault="002F6AAA" w:rsidP="002F6AAA">
      <w:pPr>
        <w:jc w:val="both"/>
        <w:rPr>
          <w:rFonts w:cs="Simplified Arabic"/>
          <w:color w:val="000000"/>
          <w:sz w:val="20"/>
          <w:szCs w:val="20"/>
          <w:rtl/>
        </w:rPr>
      </w:pPr>
    </w:p>
    <w:p w:rsidR="002F6AAA" w:rsidRDefault="002F6AAA" w:rsidP="002F6AAA">
      <w:pPr>
        <w:jc w:val="both"/>
        <w:rPr>
          <w:rFonts w:cs="Simplified Arabic"/>
          <w:color w:val="000000"/>
          <w:sz w:val="20"/>
          <w:szCs w:val="20"/>
          <w:rtl/>
        </w:rPr>
      </w:pPr>
    </w:p>
    <w:p w:rsidR="002F6AAA" w:rsidRDefault="002F6AAA" w:rsidP="002F6AAA">
      <w:pPr>
        <w:jc w:val="both"/>
        <w:rPr>
          <w:rFonts w:cs="Simplified Arabic"/>
          <w:color w:val="000000"/>
          <w:sz w:val="20"/>
          <w:szCs w:val="20"/>
          <w:rtl/>
        </w:rPr>
      </w:pPr>
    </w:p>
    <w:p w:rsidR="002F6AAA" w:rsidRDefault="002F6AAA" w:rsidP="002F6AAA">
      <w:pPr>
        <w:jc w:val="both"/>
        <w:rPr>
          <w:rFonts w:cs="Simplified Arabic"/>
          <w:color w:val="000000"/>
          <w:sz w:val="20"/>
          <w:szCs w:val="20"/>
          <w:rtl/>
        </w:rPr>
      </w:pPr>
    </w:p>
    <w:p w:rsidR="002F6AAA" w:rsidRDefault="002F6AAA" w:rsidP="002F6AAA">
      <w:pPr>
        <w:jc w:val="both"/>
        <w:rPr>
          <w:rFonts w:cs="Simplified Arabic"/>
          <w:color w:val="000000"/>
          <w:sz w:val="20"/>
          <w:szCs w:val="20"/>
          <w:rtl/>
        </w:rPr>
      </w:pPr>
    </w:p>
    <w:p w:rsidR="002F6AAA" w:rsidRDefault="002F6AAA" w:rsidP="002F6AAA">
      <w:pPr>
        <w:jc w:val="both"/>
        <w:rPr>
          <w:rFonts w:cs="Simplified Arabic"/>
          <w:color w:val="000000"/>
          <w:sz w:val="20"/>
          <w:szCs w:val="20"/>
          <w:rtl/>
        </w:rPr>
      </w:pPr>
    </w:p>
    <w:p w:rsidR="002F6AAA" w:rsidRPr="003918AB" w:rsidRDefault="002F6AAA" w:rsidP="002F6AAA">
      <w:pPr>
        <w:jc w:val="center"/>
        <w:rPr>
          <w:rFonts w:cs="Simplified Arabic"/>
          <w:sz w:val="20"/>
          <w:szCs w:val="20"/>
        </w:rPr>
      </w:pPr>
    </w:p>
    <w:p w:rsidR="004F74A3" w:rsidRDefault="002F6AAA" w:rsidP="002F6AAA">
      <w:pPr>
        <w:jc w:val="center"/>
        <w:rPr>
          <w:rtl/>
        </w:rPr>
      </w:pPr>
      <w:r>
        <w:rPr>
          <w:rFonts w:hint="cs"/>
          <w:rtl/>
        </w:rPr>
        <w:t>2</w:t>
      </w:r>
    </w:p>
    <w:p w:rsidR="002F6AAA" w:rsidRDefault="002F6AAA">
      <w:pPr>
        <w:rPr>
          <w:rtl/>
        </w:rPr>
      </w:pPr>
    </w:p>
    <w:p w:rsidR="002F6AAA" w:rsidRDefault="002F6AAA">
      <w:pPr>
        <w:rPr>
          <w:rtl/>
        </w:rPr>
      </w:pPr>
    </w:p>
    <w:p w:rsidR="002F6AAA" w:rsidRPr="002F6AAA" w:rsidRDefault="002F6AAA"/>
    <w:sectPr w:rsidR="002F6AAA" w:rsidRPr="002F6AAA" w:rsidSect="00E82F46">
      <w:footerReference w:type="even" r:id="rId8"/>
      <w:pgSz w:w="11907" w:h="16840" w:code="9"/>
      <w:pgMar w:top="851" w:right="850" w:bottom="851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D73" w:rsidRDefault="000C6D73" w:rsidP="002F6AAA">
      <w:r>
        <w:separator/>
      </w:r>
    </w:p>
  </w:endnote>
  <w:endnote w:type="continuationSeparator" w:id="0">
    <w:p w:rsidR="000C6D73" w:rsidRDefault="000C6D73" w:rsidP="002F6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04F" w:rsidRDefault="000A167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752A2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704F" w:rsidRDefault="000C6D73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D73" w:rsidRDefault="000C6D73" w:rsidP="002F6AAA">
      <w:r>
        <w:separator/>
      </w:r>
    </w:p>
  </w:footnote>
  <w:footnote w:type="continuationSeparator" w:id="0">
    <w:p w:rsidR="000C6D73" w:rsidRDefault="000C6D73" w:rsidP="002F6AAA">
      <w:r>
        <w:continuationSeparator/>
      </w:r>
    </w:p>
  </w:footnote>
  <w:footnote w:id="1">
    <w:p w:rsidR="002F6AAA" w:rsidRDefault="002F6AAA" w:rsidP="002F6AAA">
      <w:pPr>
        <w:pStyle w:val="FootnoteText"/>
        <w:jc w:val="both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proofErr w:type="spellStart"/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</w:t>
      </w:r>
      <w:proofErr w:type="spellEnd"/>
      <w:r>
        <w:rPr>
          <w:rFonts w:cs="Simplified Arabic"/>
          <w:color w:val="000000"/>
          <w:rtl/>
        </w:rPr>
        <w:t xml:space="preserve"> مخصوماً منها ضريبة القيمة </w:t>
      </w:r>
      <w:proofErr w:type="spellStart"/>
      <w:r>
        <w:rPr>
          <w:rFonts w:cs="Simplified Arabic"/>
          <w:color w:val="000000"/>
          <w:rtl/>
        </w:rPr>
        <w:t>المضافة،</w:t>
      </w:r>
      <w:proofErr w:type="spellEnd"/>
      <w:r>
        <w:rPr>
          <w:rFonts w:cs="Simplified Arabic"/>
          <w:color w:val="000000"/>
          <w:rtl/>
        </w:rPr>
        <w:t xml:space="preserve"> أو أية ضرائب مقتطعة أخرى توضع على فاتورة </w:t>
      </w:r>
      <w:proofErr w:type="spellStart"/>
      <w:r>
        <w:rPr>
          <w:rFonts w:cs="Simplified Arabic"/>
          <w:color w:val="000000"/>
          <w:rtl/>
        </w:rPr>
        <w:t>المشتري،</w:t>
      </w:r>
      <w:proofErr w:type="spellEnd"/>
      <w:r>
        <w:rPr>
          <w:rFonts w:cs="Simplified Arabic"/>
          <w:color w:val="000000"/>
          <w:rtl/>
        </w:rPr>
        <w:t xml:space="preserve"> وغير شاملة أية تكاليف نقل</w:t>
      </w:r>
      <w:r>
        <w:rPr>
          <w:rFonts w:cs="Simplified Arabic" w:hint="cs"/>
          <w:color w:val="000000"/>
          <w:rtl/>
        </w:rPr>
        <w:t>.</w:t>
      </w:r>
    </w:p>
    <w:p w:rsidR="002F6AAA" w:rsidRDefault="002F6AAA" w:rsidP="002F6AAA">
      <w:pPr>
        <w:pStyle w:val="FootnoteText"/>
        <w:jc w:val="center"/>
        <w:rPr>
          <w:rtl/>
        </w:rPr>
      </w:pPr>
      <w:r>
        <w:rPr>
          <w:rFonts w:hint="cs"/>
          <w:rtl/>
        </w:rPr>
        <w:t>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AAA"/>
    <w:rsid w:val="000A1679"/>
    <w:rsid w:val="000C6D73"/>
    <w:rsid w:val="002F6AAA"/>
    <w:rsid w:val="004F74A3"/>
    <w:rsid w:val="005E7849"/>
    <w:rsid w:val="00752A25"/>
    <w:rsid w:val="00E6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6AAA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6AAA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F6AAA"/>
    <w:rPr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6AAA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F6AAA"/>
    <w:rPr>
      <w:vertAlign w:val="superscript"/>
    </w:rPr>
  </w:style>
  <w:style w:type="paragraph" w:styleId="BodyText">
    <w:name w:val="Body Text"/>
    <w:basedOn w:val="Normal"/>
    <w:link w:val="BodyTextChar"/>
    <w:semiHidden/>
    <w:rsid w:val="002F6AAA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2F6AAA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6A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A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2F6AAA"/>
  </w:style>
  <w:style w:type="paragraph" w:styleId="BodyText2">
    <w:name w:val="Body Text 2"/>
    <w:basedOn w:val="Normal"/>
    <w:link w:val="BodyText2Char"/>
    <w:uiPriority w:val="99"/>
    <w:unhideWhenUsed/>
    <w:rsid w:val="002F6A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6A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2F6A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A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5773195876288635"/>
          <c:y val="3.8135593220338986E-2"/>
          <c:w val="0.74570446735395235"/>
          <c:h val="0.7669491525423739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72">
              <a:solidFill>
                <a:srgbClr val="00008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7.0777031791696615E-2"/>
                  <c:y val="-6.2871321580387898E-2"/>
                </c:manualLayout>
              </c:layout>
              <c:spPr>
                <a:noFill/>
                <a:ln w="25345">
                  <a:noFill/>
                </a:ln>
              </c:spPr>
              <c:txPr>
                <a:bodyPr/>
                <a:lstStyle/>
                <a:p>
                  <a:pPr>
                    <a:defRPr sz="84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3.7012223467965013E-3"/>
                  <c:y val="3.6664518968382832E-2"/>
                </c:manualLayout>
              </c:layout>
              <c:spPr>
                <a:noFill/>
                <a:ln w="25345">
                  <a:noFill/>
                </a:ln>
              </c:spPr>
              <c:txPr>
                <a:bodyPr/>
                <a:lstStyle/>
                <a:p>
                  <a:pPr>
                    <a:defRPr sz="84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تشرين ثاني 2014</c:v>
                </c:pt>
                <c:pt idx="1">
                  <c:v>كانون أول 2014</c:v>
                </c:pt>
                <c:pt idx="2">
                  <c:v>كانون ثاني 2015</c:v>
                </c:pt>
                <c:pt idx="3">
                  <c:v>شباط 2015</c:v>
                </c:pt>
                <c:pt idx="4">
                  <c:v>آذار 2015</c:v>
                </c:pt>
                <c:pt idx="5">
                  <c:v>نيسان 2015</c:v>
                </c:pt>
                <c:pt idx="6">
                  <c:v>أيار 2015</c:v>
                </c:pt>
                <c:pt idx="7">
                  <c:v>حزيران 2015</c:v>
                </c:pt>
                <c:pt idx="8">
                  <c:v>تموز 2015</c:v>
                </c:pt>
                <c:pt idx="9">
                  <c:v>آب 2015</c:v>
                </c:pt>
                <c:pt idx="10">
                  <c:v>أيلول 2015</c:v>
                </c:pt>
                <c:pt idx="11">
                  <c:v>تشرين أول 2015</c:v>
                </c:pt>
                <c:pt idx="12">
                  <c:v>تشرين ثاني 2015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106.33</c:v>
                </c:pt>
                <c:pt idx="1">
                  <c:v>105.48</c:v>
                </c:pt>
                <c:pt idx="2">
                  <c:v>105.34</c:v>
                </c:pt>
                <c:pt idx="3">
                  <c:v>106.01</c:v>
                </c:pt>
                <c:pt idx="4">
                  <c:v>106.19</c:v>
                </c:pt>
                <c:pt idx="5">
                  <c:v>105.02</c:v>
                </c:pt>
                <c:pt idx="6">
                  <c:v>103.81</c:v>
                </c:pt>
                <c:pt idx="7">
                  <c:v>104.01</c:v>
                </c:pt>
                <c:pt idx="8">
                  <c:v>104.03</c:v>
                </c:pt>
                <c:pt idx="9">
                  <c:v>106.19</c:v>
                </c:pt>
                <c:pt idx="10">
                  <c:v>108.17999999999998</c:v>
                </c:pt>
                <c:pt idx="11">
                  <c:v>108.57</c:v>
                </c:pt>
                <c:pt idx="12">
                  <c:v>107.83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72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تشرين ثاني 2014</c:v>
                </c:pt>
                <c:pt idx="1">
                  <c:v>كانون أول 2014</c:v>
                </c:pt>
                <c:pt idx="2">
                  <c:v>كانون ثاني 2015</c:v>
                </c:pt>
                <c:pt idx="3">
                  <c:v>شباط 2015</c:v>
                </c:pt>
                <c:pt idx="4">
                  <c:v>آذار 2015</c:v>
                </c:pt>
                <c:pt idx="5">
                  <c:v>نيسان 2015</c:v>
                </c:pt>
                <c:pt idx="6">
                  <c:v>أيار 2015</c:v>
                </c:pt>
                <c:pt idx="7">
                  <c:v>حزيران 2015</c:v>
                </c:pt>
                <c:pt idx="8">
                  <c:v>تموز 2015</c:v>
                </c:pt>
                <c:pt idx="9">
                  <c:v>آب 2015</c:v>
                </c:pt>
                <c:pt idx="10">
                  <c:v>أيلول 2015</c:v>
                </c:pt>
                <c:pt idx="11">
                  <c:v>تشرين أول 2015</c:v>
                </c:pt>
                <c:pt idx="12">
                  <c:v>تشرين ثاني 2015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72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تشرين ثاني 2014</c:v>
                </c:pt>
                <c:pt idx="1">
                  <c:v>كانون أول 2014</c:v>
                </c:pt>
                <c:pt idx="2">
                  <c:v>كانون ثاني 2015</c:v>
                </c:pt>
                <c:pt idx="3">
                  <c:v>شباط 2015</c:v>
                </c:pt>
                <c:pt idx="4">
                  <c:v>آذار 2015</c:v>
                </c:pt>
                <c:pt idx="5">
                  <c:v>نيسان 2015</c:v>
                </c:pt>
                <c:pt idx="6">
                  <c:v>أيار 2015</c:v>
                </c:pt>
                <c:pt idx="7">
                  <c:v>حزيران 2015</c:v>
                </c:pt>
                <c:pt idx="8">
                  <c:v>تموز 2015</c:v>
                </c:pt>
                <c:pt idx="9">
                  <c:v>آب 2015</c:v>
                </c:pt>
                <c:pt idx="10">
                  <c:v>أيلول 2015</c:v>
                </c:pt>
                <c:pt idx="11">
                  <c:v>تشرين أول 2015</c:v>
                </c:pt>
                <c:pt idx="12">
                  <c:v>تشرين ثاني 2015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</c:numCache>
            </c:numRef>
          </c:val>
        </c:ser>
        <c:marker val="1"/>
        <c:axId val="82679680"/>
        <c:axId val="82681216"/>
      </c:lineChart>
      <c:catAx>
        <c:axId val="82679680"/>
        <c:scaling>
          <c:orientation val="minMax"/>
        </c:scaling>
        <c:axPos val="b"/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-1920000" vert="horz"/>
          <a:lstStyle/>
          <a:p>
            <a:pPr>
              <a:defRPr sz="624" b="1" i="0" u="none" strike="noStrike" baseline="0">
                <a:solidFill>
                  <a:srgbClr val="000000"/>
                </a:solidFill>
                <a:latin typeface="Simplified Arabic"/>
                <a:ea typeface="Simplified Arabic"/>
                <a:cs typeface="Simplified Arabic"/>
              </a:defRPr>
            </a:pPr>
            <a:endParaRPr lang="ar-SA"/>
          </a:p>
        </c:txPr>
        <c:crossAx val="82681216"/>
        <c:crosses val="autoZero"/>
        <c:auto val="1"/>
        <c:lblAlgn val="ctr"/>
        <c:lblOffset val="100"/>
        <c:tickLblSkip val="2"/>
        <c:tickMarkSkip val="1"/>
      </c:catAx>
      <c:valAx>
        <c:axId val="82681216"/>
        <c:scaling>
          <c:orientation val="minMax"/>
          <c:max val="110"/>
          <c:min val="90"/>
        </c:scaling>
        <c:axPos val="l"/>
        <c:title>
          <c:tx>
            <c:rich>
              <a:bodyPr/>
              <a:lstStyle/>
              <a:p>
                <a:pPr>
                  <a:defRPr sz="624" b="1" i="0" u="none" strike="noStrike" baseline="0">
                    <a:solidFill>
                      <a:srgbClr val="000000"/>
                    </a:solidFill>
                    <a:latin typeface="Simplified Arabic"/>
                    <a:ea typeface="Simplified Arabic"/>
                    <a:cs typeface="Simplified Arabic"/>
                  </a:defRPr>
                </a:pPr>
                <a:r>
                  <a:rPr lang="ar-SA"/>
                  <a:t>الرقم القياسي لأسعار المنتج </a:t>
                </a:r>
                <a:r>
                  <a:rPr lang="en-US"/>
                  <a:t>PPI</a:t>
                </a:r>
              </a:p>
            </c:rich>
          </c:tx>
          <c:layout>
            <c:manualLayout>
              <c:xMode val="edge"/>
              <c:yMode val="edge"/>
              <c:x val="8.2474226804123682E-2"/>
              <c:y val="0.25"/>
            </c:manualLayout>
          </c:layout>
          <c:spPr>
            <a:noFill/>
            <a:ln w="25345">
              <a:noFill/>
            </a:ln>
          </c:spPr>
        </c:title>
        <c:numFmt formatCode="0" sourceLinked="0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82679680"/>
        <c:crosses val="autoZero"/>
        <c:crossBetween val="between"/>
        <c:majorUnit val="5"/>
      </c:valAx>
      <c:spPr>
        <a:noFill/>
        <a:ln w="25345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D1F9C-F464-4635-93E6-D21A0574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2</cp:revision>
  <cp:lastPrinted>2015-12-27T12:45:00Z</cp:lastPrinted>
  <dcterms:created xsi:type="dcterms:W3CDTF">2015-12-27T12:38:00Z</dcterms:created>
  <dcterms:modified xsi:type="dcterms:W3CDTF">2015-12-27T12:58:00Z</dcterms:modified>
</cp:coreProperties>
</file>