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Default="00CC5637" w:rsidP="00B13CAB">
      <w:pPr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  <w:bookmarkStart w:id="0" w:name="OLE_LINK5"/>
      <w:bookmarkStart w:id="1" w:name="OLE_LINK6"/>
      <w:bookmarkEnd w:id="0"/>
    </w:p>
    <w:p w:rsidR="00CC5637" w:rsidRDefault="00CC5637" w:rsidP="00B13CAB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</w:p>
    <w:p w:rsidR="00B13CAB" w:rsidRDefault="00B13CAB" w:rsidP="00B13CAB">
      <w:pPr>
        <w:jc w:val="center"/>
        <w:rPr>
          <w:b/>
          <w:bCs/>
          <w:color w:val="000000"/>
          <w:sz w:val="32"/>
          <w:szCs w:val="32"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الإحصاء الفلسطيني يعلن الرقم القياسي لأسعار المنتج في فلسطين لشهر نيسان، 04/2016</w:t>
      </w:r>
      <w:bookmarkEnd w:id="1"/>
    </w:p>
    <w:p w:rsidR="00CC5637" w:rsidRPr="00CC5637" w:rsidRDefault="00CC5637" w:rsidP="00CC5637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>ارتفاع</w:t>
      </w:r>
      <w:r w:rsidRPr="00CC5637">
        <w:rPr>
          <w:rFonts w:cs="Simplified Arabic"/>
          <w:b/>
          <w:bCs/>
          <w:color w:val="000000"/>
          <w:sz w:val="25"/>
          <w:szCs w:val="25"/>
          <w:rtl/>
        </w:rPr>
        <w:t xml:space="preserve"> أسعار ا</w:t>
      </w: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>لمنتج</w:t>
      </w:r>
      <w:r w:rsidRPr="00CC5637">
        <w:rPr>
          <w:rStyle w:val="FootnoteReference"/>
          <w:rFonts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Pr="00CC5637">
        <w:rPr>
          <w:rFonts w:cs="Simplified Arabic"/>
          <w:b/>
          <w:bCs/>
          <w:color w:val="000000"/>
          <w:sz w:val="25"/>
          <w:szCs w:val="25"/>
          <w:rtl/>
        </w:rPr>
        <w:t xml:space="preserve">خلال </w:t>
      </w: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>شهر نيسان 2016</w:t>
      </w:r>
    </w:p>
    <w:p w:rsidR="00CC5637" w:rsidRP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المنتج يسجل ارتفاعاً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0.47%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خلال شهر نيسان 2016 مقارنة مع شهر آذار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2016</w:t>
      </w:r>
      <w:r w:rsidRPr="00CC5637">
        <w:rPr>
          <w:rFonts w:cs="Simplified Arabic" w:hint="cs"/>
          <w:vanish/>
          <w:color w:val="000000"/>
          <w:sz w:val="24"/>
          <w:szCs w:val="24"/>
          <w:rtl/>
        </w:rPr>
        <w:t>أ</w:t>
      </w:r>
      <w:r w:rsidRPr="00CC5637"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العام 98.80 خلال شهر نيسان 2016 مقارنة </w:t>
      </w:r>
      <w:r w:rsidRPr="00CC5637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98.34 خلال شهر آذار 2016 (شهر الأساس كانون أول 2015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CC5637" w:rsidRP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pStyle w:val="Header"/>
        <w:tabs>
          <w:tab w:val="left" w:pos="5925"/>
        </w:tabs>
        <w:rPr>
          <w:rFonts w:cs="Simplified Arabic"/>
          <w:b/>
          <w:bCs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0.51%،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98.71 خلال شهر نيسان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98.21 خلال شهر آذار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CC5637" w:rsidRP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0.35%،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99.74 خلال شهر نيسان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99.39 خلال شهر آذار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CC5637" w:rsidRPr="00CC5637" w:rsidRDefault="00CC5637" w:rsidP="00CC563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CC5637" w:rsidRPr="00CC5637" w:rsidRDefault="00CC5637" w:rsidP="00CC5637">
      <w:pPr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t>شهدت أسعار السلع المنتجة من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 xml:space="preserve"> الصناعات التحويلية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ارتفاعاً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0.62%،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والتي تشكل أهميتها النسبية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60.61%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من سلة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المنتج،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وذلك بسبب ارتفاع أسعار السلع ضمن نشاط استرجاع المواد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6.59%،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منتجات الألبان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3.48%،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صنع المنتجات النفطية المكررة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2.35%،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صنع أصناف من الخرسانة والاسمنت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والجص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2.67%،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الأثاث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1.56%،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الورق ومنتجاته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1.18%،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منتجات المعادن المشكلة عدا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الماكنات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والآلات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0.70%،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منتجات المطاط واللدائن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0.51%،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الملابس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0.39%،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على الرغم من انخفاض أسعار صناعة الكيماويات والمنتجات الكيميائية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1.29%،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تجهيز وحفظ الفواكه والخضراوات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1.17%،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الأحذية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0.90%،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الأعلاف الحيوانية المحضرة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0.80%،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المنسوجات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0.61%،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صناعة المشروبات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0.53%.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CC5637" w:rsidRPr="00CC5637" w:rsidRDefault="00CC5637" w:rsidP="00CC5637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CC5637" w:rsidRDefault="00CC5637" w:rsidP="00CC5637">
      <w:pPr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t xml:space="preserve">كما شهدت أسعار السلع المنتجة من 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>نشاط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 xml:space="preserve">الزراعة </w:t>
      </w:r>
      <w:proofErr w:type="spellStart"/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>والحراجة</w:t>
      </w:r>
      <w:proofErr w:type="spellEnd"/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 xml:space="preserve"> وصيد الأسماك 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ارتفاعاً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0.46%،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والتي تشكل أهميتها النسبية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25.20%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من سلة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المنتج،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وذلك لارتفاع أسعار السلع  ضمن نشاط صيد الأسماك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14.68%،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وأسعار زراعة المحاصيل الدائمة المعمرة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3.34%،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بسبب ارتفاع أسعار زراعة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التفاحيات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والثمار ذات النواة الصلبة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12.43%،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في حين سجل نشاط زراعة المحاصيل غير الدائمة انخفاضاً  مقداره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3.22%،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بسبب انخفاض أسعار زراعة الخضراوات والبطيخيات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والجذريات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والدرنيات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3.84%،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كما سجل نشاط الإنتاج الحيواني انخفاضاً مقداره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0.98%،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بسبب انخفاض أسعار تربية الدواجن بمقدار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1.61%.</w:t>
      </w:r>
      <w:proofErr w:type="spellEnd"/>
    </w:p>
    <w:p w:rsidR="00CC5637" w:rsidRPr="00CC5637" w:rsidRDefault="00CC5637" w:rsidP="00CC5637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t xml:space="preserve">سجلت أسعار 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>إمدادات المياه وأنشطة الصرف الصحي وإدارة النفايات ومعالجتها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ارتفاعاً بنسبة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1.00%،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والتي تشكل أهميتها النسبية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0.78%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من سلة المنتج.</w:t>
      </w:r>
    </w:p>
    <w:p w:rsidR="00CC5637" w:rsidRDefault="00CC5637" w:rsidP="004464BE">
      <w:pPr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lastRenderedPageBreak/>
        <w:t xml:space="preserve"> </w:t>
      </w:r>
    </w:p>
    <w:p w:rsidR="00CC5637" w:rsidRDefault="00CC5637" w:rsidP="00CC5637">
      <w:pPr>
        <w:jc w:val="lowKashida"/>
        <w:rPr>
          <w:rFonts w:cs="Simplified Arabic"/>
          <w:color w:val="000000"/>
          <w:sz w:val="24"/>
          <w:szCs w:val="24"/>
          <w:rtl/>
        </w:rPr>
      </w:pPr>
      <w:r w:rsidRPr="00CC5637">
        <w:rPr>
          <w:rFonts w:cs="Simplified Arabic" w:hint="cs"/>
          <w:color w:val="000000"/>
          <w:sz w:val="24"/>
          <w:szCs w:val="24"/>
          <w:rtl/>
        </w:rPr>
        <w:t xml:space="preserve">بينما سجلت أسعار 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>إمدادات الكهرباء والغاز والبخار وتكييف الهواء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استقراراً خلال شهر نيسان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2016،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والتي تشكل أهميتها النسبية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11.17%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من سلة المنتج.</w:t>
      </w:r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في حين سجلت أسعار منتجات صناعة </w:t>
      </w:r>
      <w:r w:rsidRPr="00CC5637">
        <w:rPr>
          <w:rFonts w:cs="Simplified Arabic" w:hint="cs"/>
          <w:b/>
          <w:bCs/>
          <w:color w:val="000000"/>
          <w:sz w:val="24"/>
          <w:szCs w:val="24"/>
          <w:rtl/>
        </w:rPr>
        <w:t>التعدين واستغلال المحاجر</w:t>
      </w:r>
      <w:r w:rsidRPr="00CC5637">
        <w:rPr>
          <w:rFonts w:cs="Simplified Arabic" w:hint="cs"/>
          <w:color w:val="000000"/>
          <w:sz w:val="24"/>
          <w:szCs w:val="24"/>
          <w:rtl/>
        </w:rPr>
        <w:t xml:space="preserve"> انخفاضاً مقداره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1.08%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والتي تشكل أهميتها النسبية </w:t>
      </w:r>
      <w:proofErr w:type="spellStart"/>
      <w:r w:rsidRPr="00CC5637">
        <w:rPr>
          <w:rFonts w:cs="Simplified Arabic" w:hint="cs"/>
          <w:color w:val="000000"/>
          <w:sz w:val="24"/>
          <w:szCs w:val="24"/>
          <w:rtl/>
        </w:rPr>
        <w:t>2.24%</w:t>
      </w:r>
      <w:proofErr w:type="spellEnd"/>
      <w:r w:rsidRPr="00CC5637">
        <w:rPr>
          <w:rFonts w:cs="Simplified Arabic" w:hint="cs"/>
          <w:color w:val="000000"/>
          <w:sz w:val="24"/>
          <w:szCs w:val="24"/>
          <w:rtl/>
        </w:rPr>
        <w:t xml:space="preserve"> من سلة المنتج.</w:t>
      </w:r>
    </w:p>
    <w:p w:rsidR="00CC5637" w:rsidRDefault="00CC5637" w:rsidP="00CC5637">
      <w:pPr>
        <w:jc w:val="lowKashida"/>
        <w:rPr>
          <w:rFonts w:cs="Simplified Arabic"/>
          <w:color w:val="000000"/>
          <w:sz w:val="24"/>
          <w:szCs w:val="24"/>
          <w:rtl/>
        </w:rPr>
      </w:pPr>
    </w:p>
    <w:p w:rsidR="00CC5637" w:rsidRPr="00CC5637" w:rsidRDefault="00CC5637" w:rsidP="00CC5637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CC5637" w:rsidRPr="00CC5637" w:rsidRDefault="00CC5637" w:rsidP="00CC5637">
      <w:pPr>
        <w:jc w:val="center"/>
        <w:rPr>
          <w:rFonts w:cs="Simplified Arabic"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sz w:val="25"/>
          <w:szCs w:val="25"/>
          <w:rtl/>
        </w:rPr>
        <w:t>الاتجاه العام لحركة الأرقام القياسية لأسعار المنتج في فلسطين:</w:t>
      </w:r>
    </w:p>
    <w:p w:rsidR="00CC5637" w:rsidRPr="004464BE" w:rsidRDefault="00CC5637" w:rsidP="004464BE">
      <w:pPr>
        <w:jc w:val="center"/>
        <w:rPr>
          <w:rFonts w:cs="Simplified Arabic"/>
          <w:color w:val="000000"/>
          <w:sz w:val="25"/>
          <w:szCs w:val="25"/>
          <w:rtl/>
        </w:rPr>
      </w:pPr>
      <w:r w:rsidRPr="00CC5637">
        <w:rPr>
          <w:rFonts w:cs="Simplified Arabic" w:hint="cs"/>
          <w:b/>
          <w:bCs/>
          <w:sz w:val="25"/>
          <w:szCs w:val="25"/>
          <w:rtl/>
        </w:rPr>
        <w:t xml:space="preserve">نيسان 2015 </w:t>
      </w:r>
      <w:proofErr w:type="spellStart"/>
      <w:r w:rsidRPr="00CC5637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CC5637">
        <w:rPr>
          <w:rFonts w:cs="Simplified Arabic" w:hint="cs"/>
          <w:b/>
          <w:bCs/>
          <w:sz w:val="25"/>
          <w:szCs w:val="25"/>
          <w:rtl/>
        </w:rPr>
        <w:t xml:space="preserve"> نيسان 2016</w:t>
      </w:r>
      <w:r w:rsidR="004464BE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Pr="00CC5637">
        <w:rPr>
          <w:rFonts w:cs="Simplified Arabic" w:hint="cs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CC5637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CC5637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CC5637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CC5637" w:rsidRPr="007A0560" w:rsidRDefault="00CC5637" w:rsidP="00CC5637">
      <w:pPr>
        <w:pStyle w:val="BodyText2"/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CC5637" w:rsidRPr="007C5F9D" w:rsidRDefault="00CC5637" w:rsidP="00CC5637">
      <w:pPr>
        <w:ind w:left="-1"/>
        <w:jc w:val="center"/>
        <w:rPr>
          <w:rFonts w:cs="Simplified Arabic"/>
          <w:color w:val="000000"/>
          <w:sz w:val="8"/>
          <w:szCs w:val="8"/>
          <w:rtl/>
        </w:rPr>
      </w:pPr>
      <w:r>
        <w:rPr>
          <w:noProof/>
        </w:rPr>
        <w:drawing>
          <wp:inline distT="0" distB="0" distL="0" distR="0">
            <wp:extent cx="2876550" cy="2114550"/>
            <wp:effectExtent l="19050" t="0" r="1905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C5637" w:rsidRDefault="00CC5637" w:rsidP="00CC5637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CC5637" w:rsidRDefault="00CC5637" w:rsidP="00CC5637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CC5637" w:rsidRPr="00CC5637" w:rsidRDefault="00CC5637" w:rsidP="00CC5637">
      <w:pPr>
        <w:pStyle w:val="Header"/>
        <w:tabs>
          <w:tab w:val="left" w:pos="5925"/>
        </w:tabs>
        <w:jc w:val="both"/>
        <w:rPr>
          <w:rFonts w:cs="Simplified Arabic"/>
          <w:color w:val="000000"/>
          <w:sz w:val="22"/>
          <w:szCs w:val="22"/>
          <w:rtl/>
        </w:rPr>
      </w:pPr>
      <w:proofErr w:type="spellStart"/>
      <w:r w:rsidRPr="00CC5637">
        <w:rPr>
          <w:rFonts w:cs="Simplified Arabic" w:hint="cs"/>
          <w:b/>
          <w:bCs/>
          <w:color w:val="000000"/>
          <w:sz w:val="22"/>
          <w:szCs w:val="22"/>
          <w:rtl/>
        </w:rPr>
        <w:t>تنويه</w:t>
      </w:r>
      <w:r w:rsidRPr="00CC5637">
        <w:rPr>
          <w:rFonts w:cs="Simplified Arabic" w:hint="cs"/>
          <w:color w:val="000000"/>
          <w:sz w:val="22"/>
          <w:szCs w:val="22"/>
          <w:rtl/>
        </w:rPr>
        <w:t>:</w:t>
      </w:r>
      <w:proofErr w:type="spellEnd"/>
      <w:r w:rsidRPr="00CD51CE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CC5637">
        <w:rPr>
          <w:rFonts w:cs="Simplified Arabic" w:hint="cs"/>
          <w:color w:val="000000"/>
          <w:sz w:val="22"/>
          <w:szCs w:val="22"/>
          <w:rtl/>
        </w:rPr>
        <w:t xml:space="preserve">مع بداية العام 2016 تم تحديث شهر الأساس للرقم القياسي لأسعار المنتج ليصبح كانون أول 2015 بدلاً من العام </w:t>
      </w:r>
      <w:proofErr w:type="spellStart"/>
      <w:r w:rsidRPr="00CC5637">
        <w:rPr>
          <w:rFonts w:cs="Simplified Arabic" w:hint="cs"/>
          <w:color w:val="000000"/>
          <w:sz w:val="22"/>
          <w:szCs w:val="22"/>
          <w:rtl/>
        </w:rPr>
        <w:t>2011،</w:t>
      </w:r>
      <w:proofErr w:type="spellEnd"/>
      <w:r w:rsidRPr="00CC5637">
        <w:rPr>
          <w:rFonts w:cs="Simplified Arabic" w:hint="cs"/>
          <w:color w:val="000000"/>
          <w:sz w:val="22"/>
          <w:szCs w:val="22"/>
          <w:rtl/>
        </w:rPr>
        <w:t xml:space="preserve"> كما تم استخدام التصنيف الصناعي الدولي الموحد لجميع الأنشطة الاقتصادية (التنقيح الرابع</w:t>
      </w:r>
      <w:proofErr w:type="spellStart"/>
      <w:r w:rsidRPr="00CC5637">
        <w:rPr>
          <w:rFonts w:cs="Simplified Arabic" w:hint="cs"/>
          <w:color w:val="000000"/>
          <w:sz w:val="22"/>
          <w:szCs w:val="22"/>
          <w:rtl/>
        </w:rPr>
        <w:t>)</w:t>
      </w:r>
      <w:proofErr w:type="spellEnd"/>
      <w:r w:rsidRPr="00CC5637">
        <w:rPr>
          <w:rFonts w:cs="Simplified Arabic" w:hint="cs"/>
          <w:color w:val="000000"/>
          <w:sz w:val="22"/>
          <w:szCs w:val="22"/>
          <w:rtl/>
        </w:rPr>
        <w:t xml:space="preserve"> بدلاً من التنقيح الثالث.</w:t>
      </w:r>
    </w:p>
    <w:p w:rsidR="00CC5637" w:rsidRDefault="00CC5637" w:rsidP="00CC5637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526BF4" w:rsidRPr="00B13CAB" w:rsidRDefault="00526BF4"/>
    <w:sectPr w:rsidR="00526BF4" w:rsidRPr="00B13CAB" w:rsidSect="00CC5637">
      <w:footerReference w:type="default" r:id="rId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0B" w:rsidRDefault="008B120B" w:rsidP="00CC5637">
      <w:r>
        <w:separator/>
      </w:r>
    </w:p>
  </w:endnote>
  <w:endnote w:type="continuationSeparator" w:id="0">
    <w:p w:rsidR="008B120B" w:rsidRDefault="008B120B" w:rsidP="00CC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043954"/>
      <w:docPartObj>
        <w:docPartGallery w:val="Page Numbers (Bottom of Page)"/>
        <w:docPartUnique/>
      </w:docPartObj>
    </w:sdtPr>
    <w:sdtContent>
      <w:p w:rsidR="00CC5637" w:rsidRDefault="000B713A">
        <w:pPr>
          <w:pStyle w:val="Footer"/>
          <w:jc w:val="center"/>
        </w:pPr>
        <w:fldSimple w:instr=" PAGE   \* MERGEFORMAT ">
          <w:r w:rsidR="004464BE">
            <w:rPr>
              <w:noProof/>
              <w:rtl/>
            </w:rPr>
            <w:t>1</w:t>
          </w:r>
        </w:fldSimple>
      </w:p>
    </w:sdtContent>
  </w:sdt>
  <w:p w:rsidR="00CC5637" w:rsidRDefault="00CC5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0B" w:rsidRDefault="008B120B" w:rsidP="00CC5637">
      <w:r>
        <w:separator/>
      </w:r>
    </w:p>
  </w:footnote>
  <w:footnote w:type="continuationSeparator" w:id="0">
    <w:p w:rsidR="008B120B" w:rsidRDefault="008B120B" w:rsidP="00CC5637">
      <w:r>
        <w:continuationSeparator/>
      </w:r>
    </w:p>
  </w:footnote>
  <w:footnote w:id="1">
    <w:p w:rsidR="00CC5637" w:rsidRDefault="00CC5637" w:rsidP="00CC5637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</w:t>
      </w:r>
      <w:proofErr w:type="spellStart"/>
      <w:r>
        <w:rPr>
          <w:rFonts w:cs="Simplified Arabic"/>
          <w:color w:val="000000"/>
          <w:rtl/>
        </w:rPr>
        <w:t>المشتري،</w:t>
      </w:r>
      <w:proofErr w:type="spellEnd"/>
      <w:r>
        <w:rPr>
          <w:rFonts w:cs="Simplified Arabic"/>
          <w:color w:val="000000"/>
          <w:rtl/>
        </w:rPr>
        <w:t xml:space="preserve">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CAB"/>
    <w:rsid w:val="000B713A"/>
    <w:rsid w:val="003919EB"/>
    <w:rsid w:val="004464BE"/>
    <w:rsid w:val="00526BF4"/>
    <w:rsid w:val="005E7849"/>
    <w:rsid w:val="008B120B"/>
    <w:rsid w:val="00B13CAB"/>
    <w:rsid w:val="00CC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AB"/>
    <w:pPr>
      <w:bidi/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637"/>
    <w:pPr>
      <w:tabs>
        <w:tab w:val="center" w:pos="4320"/>
        <w:tab w:val="right" w:pos="8640"/>
      </w:tabs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563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C5637"/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3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CC5637"/>
    <w:rPr>
      <w:vertAlign w:val="superscript"/>
    </w:rPr>
  </w:style>
  <w:style w:type="paragraph" w:styleId="BodyText">
    <w:name w:val="Body Text"/>
    <w:basedOn w:val="Normal"/>
    <w:link w:val="BodyTextChar"/>
    <w:semiHidden/>
    <w:rsid w:val="00CC5637"/>
    <w:pPr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C5637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C563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CC5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C56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56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3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93127147766324"/>
          <c:y val="4.8387096774193561E-2"/>
          <c:w val="0.80412371134020622"/>
          <c:h val="0.7526881720430115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7338134330805405E-2"/>
                  <c:y val="-9.2829513822292917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3.514766669049969E-3"/>
                  <c:y val="9.206229405656069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نيسان 2015</c:v>
                </c:pt>
                <c:pt idx="1">
                  <c:v>أيار 2015</c:v>
                </c:pt>
                <c:pt idx="2">
                  <c:v>حزيران 2015</c:v>
                </c:pt>
                <c:pt idx="3">
                  <c:v>تموز 2015</c:v>
                </c:pt>
                <c:pt idx="4">
                  <c:v>آب 2015</c:v>
                </c:pt>
                <c:pt idx="5">
                  <c:v>أيلول 2015</c:v>
                </c:pt>
                <c:pt idx="6">
                  <c:v>تشرين أول 2015</c:v>
                </c:pt>
                <c:pt idx="7">
                  <c:v>تشرين ثاني 2015</c:v>
                </c:pt>
                <c:pt idx="8">
                  <c:v>كانون أول 2015</c:v>
                </c:pt>
                <c:pt idx="9">
                  <c:v>كانون ثاني 2016</c:v>
                </c:pt>
                <c:pt idx="10">
                  <c:v>شباط 2016</c:v>
                </c:pt>
                <c:pt idx="11">
                  <c:v>آذار 2016</c:v>
                </c:pt>
                <c:pt idx="12">
                  <c:v>نيسان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97.565960610000005</c:v>
                </c:pt>
                <c:pt idx="1">
                  <c:v>96.441843180000077</c:v>
                </c:pt>
                <c:pt idx="2">
                  <c:v>96.627647709999948</c:v>
                </c:pt>
                <c:pt idx="3">
                  <c:v>96.646228170000001</c:v>
                </c:pt>
                <c:pt idx="4">
                  <c:v>98.652917129999906</c:v>
                </c:pt>
                <c:pt idx="5">
                  <c:v>100.5016722</c:v>
                </c:pt>
                <c:pt idx="6">
                  <c:v>100.86399110000001</c:v>
                </c:pt>
                <c:pt idx="7">
                  <c:v>100.17651429999998</c:v>
                </c:pt>
                <c:pt idx="8">
                  <c:v>100</c:v>
                </c:pt>
                <c:pt idx="9">
                  <c:v>99.86999999999999</c:v>
                </c:pt>
                <c:pt idx="10">
                  <c:v>99.25</c:v>
                </c:pt>
                <c:pt idx="11">
                  <c:v>98.34</c:v>
                </c:pt>
                <c:pt idx="12">
                  <c:v>98.8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نيسان 2015</c:v>
                </c:pt>
                <c:pt idx="1">
                  <c:v>أيار 2015</c:v>
                </c:pt>
                <c:pt idx="2">
                  <c:v>حزيران 2015</c:v>
                </c:pt>
                <c:pt idx="3">
                  <c:v>تموز 2015</c:v>
                </c:pt>
                <c:pt idx="4">
                  <c:v>آب 2015</c:v>
                </c:pt>
                <c:pt idx="5">
                  <c:v>أيلول 2015</c:v>
                </c:pt>
                <c:pt idx="6">
                  <c:v>تشرين أول 2015</c:v>
                </c:pt>
                <c:pt idx="7">
                  <c:v>تشرين ثاني 2015</c:v>
                </c:pt>
                <c:pt idx="8">
                  <c:v>كانون أول 2015</c:v>
                </c:pt>
                <c:pt idx="9">
                  <c:v>كانون ثاني 2016</c:v>
                </c:pt>
                <c:pt idx="10">
                  <c:v>شباط 2016</c:v>
                </c:pt>
                <c:pt idx="11">
                  <c:v>آذار 2016</c:v>
                </c:pt>
                <c:pt idx="12">
                  <c:v>نيسان 2016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9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نيسان 2015</c:v>
                </c:pt>
                <c:pt idx="1">
                  <c:v>أيار 2015</c:v>
                </c:pt>
                <c:pt idx="2">
                  <c:v>حزيران 2015</c:v>
                </c:pt>
                <c:pt idx="3">
                  <c:v>تموز 2015</c:v>
                </c:pt>
                <c:pt idx="4">
                  <c:v>آب 2015</c:v>
                </c:pt>
                <c:pt idx="5">
                  <c:v>أيلول 2015</c:v>
                </c:pt>
                <c:pt idx="6">
                  <c:v>تشرين أول 2015</c:v>
                </c:pt>
                <c:pt idx="7">
                  <c:v>تشرين ثاني 2015</c:v>
                </c:pt>
                <c:pt idx="8">
                  <c:v>كانون أول 2015</c:v>
                </c:pt>
                <c:pt idx="9">
                  <c:v>كانون ثاني 2016</c:v>
                </c:pt>
                <c:pt idx="10">
                  <c:v>شباط 2016</c:v>
                </c:pt>
                <c:pt idx="11">
                  <c:v>آذار 2016</c:v>
                </c:pt>
                <c:pt idx="12">
                  <c:v>نيسان 2016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125841408"/>
        <c:axId val="125842944"/>
      </c:lineChart>
      <c:catAx>
        <c:axId val="1258414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125842944"/>
        <c:crosses val="autoZero"/>
        <c:auto val="1"/>
        <c:lblAlgn val="ctr"/>
        <c:lblOffset val="100"/>
        <c:tickLblSkip val="2"/>
        <c:tickMarkSkip val="1"/>
      </c:catAx>
      <c:valAx>
        <c:axId val="125842944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9.6219931271477654E-2"/>
              <c:y val="0.23118279569892472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5841408"/>
        <c:crosses val="autoZero"/>
        <c:crossBetween val="between"/>
        <c:majorUnit val="5"/>
      </c:valAx>
      <c:spPr>
        <a:noFill/>
        <a:ln w="25398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3</cp:revision>
  <cp:lastPrinted>2016-05-26T06:21:00Z</cp:lastPrinted>
  <dcterms:created xsi:type="dcterms:W3CDTF">2016-05-26T05:47:00Z</dcterms:created>
  <dcterms:modified xsi:type="dcterms:W3CDTF">2016-05-26T06:21:00Z</dcterms:modified>
</cp:coreProperties>
</file>