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8DC" w:rsidRPr="008778DC" w:rsidRDefault="008778DC" w:rsidP="001537EB">
      <w:pPr>
        <w:ind w:left="95" w:right="95"/>
        <w:jc w:val="both"/>
        <w:rPr>
          <w:color w:val="000000"/>
          <w:sz w:val="30"/>
          <w:szCs w:val="30"/>
          <w:rtl/>
        </w:rPr>
      </w:pPr>
      <w:r w:rsidRPr="008778DC">
        <w:rPr>
          <w:rFonts w:ascii="Simplified Arabic" w:hAnsi="Simplified Arabic" w:cs="Simplified Arabic" w:hint="cs"/>
          <w:b/>
          <w:bCs/>
          <w:color w:val="000000"/>
          <w:sz w:val="30"/>
          <w:szCs w:val="30"/>
          <w:rtl/>
        </w:rPr>
        <w:t>د.</w:t>
      </w:r>
      <w:r w:rsidRPr="008778DC">
        <w:rPr>
          <w:rFonts w:ascii="Simplified Arabic" w:hAnsi="Simplified Arabic" w:cs="Simplified Arabic"/>
          <w:b/>
          <w:bCs/>
          <w:color w:val="000000"/>
          <w:sz w:val="30"/>
          <w:szCs w:val="30"/>
          <w:rtl/>
        </w:rPr>
        <w:t xml:space="preserve"> عـوض، رئيس</w:t>
      </w:r>
      <w:r w:rsidRPr="008778DC">
        <w:rPr>
          <w:rFonts w:ascii="Simplified Arabic" w:hAnsi="Simplified Arabic" w:cs="Simplified Arabic" w:hint="cs"/>
          <w:b/>
          <w:bCs/>
          <w:color w:val="000000"/>
          <w:sz w:val="30"/>
          <w:szCs w:val="30"/>
          <w:rtl/>
        </w:rPr>
        <w:t>ة</w:t>
      </w:r>
      <w:r w:rsidRPr="008778DC">
        <w:rPr>
          <w:rFonts w:ascii="Simplified Arabic" w:hAnsi="Simplified Arabic" w:cs="Simplified Arabic"/>
          <w:b/>
          <w:bCs/>
          <w:color w:val="000000"/>
          <w:sz w:val="30"/>
          <w:szCs w:val="30"/>
          <w:rtl/>
        </w:rPr>
        <w:t xml:space="preserve"> الإحصاء الفلسطيني، تستعرض أوضاع  الشعب الفلسطيني من خلال الأرقام والحقائق الإحصائية </w:t>
      </w:r>
      <w:r w:rsidR="001537EB">
        <w:rPr>
          <w:rFonts w:ascii="Simplified Arabic" w:hAnsi="Simplified Arabic" w:cs="Simplified Arabic" w:hint="cs"/>
          <w:b/>
          <w:bCs/>
          <w:color w:val="000000"/>
          <w:sz w:val="30"/>
          <w:szCs w:val="30"/>
          <w:rtl/>
        </w:rPr>
        <w:t>عشية</w:t>
      </w:r>
      <w:r w:rsidRPr="008778DC">
        <w:rPr>
          <w:rFonts w:ascii="Simplified Arabic" w:hAnsi="Simplified Arabic" w:cs="Simplified Arabic" w:hint="cs"/>
          <w:b/>
          <w:bCs/>
          <w:color w:val="000000"/>
          <w:sz w:val="30"/>
          <w:szCs w:val="30"/>
          <w:rtl/>
        </w:rPr>
        <w:t xml:space="preserve"> </w:t>
      </w:r>
      <w:r w:rsidRPr="008778DC">
        <w:rPr>
          <w:rFonts w:ascii="Simplified Arabic" w:hAnsi="Simplified Arabic" w:cs="Simplified Arabic"/>
          <w:b/>
          <w:bCs/>
          <w:color w:val="000000"/>
          <w:sz w:val="30"/>
          <w:szCs w:val="30"/>
          <w:rtl/>
        </w:rPr>
        <w:t xml:space="preserve">الذكرى </w:t>
      </w:r>
      <w:r w:rsidRPr="008778DC">
        <w:rPr>
          <w:rFonts w:ascii="Simplified Arabic" w:hAnsi="Simplified Arabic" w:cs="Simplified Arabic" w:hint="cs"/>
          <w:b/>
          <w:bCs/>
          <w:color w:val="000000"/>
          <w:sz w:val="30"/>
          <w:szCs w:val="30"/>
          <w:rtl/>
        </w:rPr>
        <w:t>75</w:t>
      </w:r>
      <w:r w:rsidRPr="008778DC">
        <w:rPr>
          <w:rFonts w:ascii="Simplified Arabic" w:hAnsi="Simplified Arabic" w:cs="Simplified Arabic"/>
          <w:b/>
          <w:bCs/>
          <w:color w:val="000000"/>
          <w:sz w:val="30"/>
          <w:szCs w:val="30"/>
          <w:rtl/>
        </w:rPr>
        <w:t xml:space="preserve"> لنكبة فلسطين</w:t>
      </w:r>
    </w:p>
    <w:p w:rsidR="008778DC" w:rsidRPr="00B74A30" w:rsidRDefault="008778DC" w:rsidP="008778DC">
      <w:pPr>
        <w:ind w:left="95" w:right="95"/>
        <w:jc w:val="both"/>
        <w:rPr>
          <w:color w:val="000000"/>
          <w:sz w:val="32"/>
          <w:szCs w:val="32"/>
          <w:rtl/>
        </w:rPr>
      </w:pPr>
    </w:p>
    <w:p w:rsidR="008778DC" w:rsidRPr="00EF1459" w:rsidRDefault="008778DC" w:rsidP="008778DC">
      <w:pPr>
        <w:jc w:val="center"/>
        <w:rPr>
          <w:rFonts w:ascii="Simplified Arabic" w:hAnsi="Simplified Arabic" w:cs="Simplified Arabic"/>
          <w:b/>
          <w:bCs/>
          <w:sz w:val="32"/>
          <w:szCs w:val="32"/>
          <w:rtl/>
        </w:rPr>
      </w:pPr>
      <w:r w:rsidRPr="00EF1459">
        <w:rPr>
          <w:rFonts w:ascii="Simplified Arabic" w:hAnsi="Simplified Arabic" w:cs="Simplified Arabic"/>
          <w:b/>
          <w:bCs/>
          <w:sz w:val="32"/>
          <w:szCs w:val="32"/>
          <w:rtl/>
        </w:rPr>
        <w:t xml:space="preserve">في الذكرى الـ </w:t>
      </w:r>
      <w:r w:rsidRPr="00EF1459">
        <w:rPr>
          <w:rFonts w:ascii="Simplified Arabic" w:hAnsi="Simplified Arabic" w:cs="Simplified Arabic"/>
          <w:b/>
          <w:bCs/>
          <w:sz w:val="32"/>
          <w:szCs w:val="32"/>
        </w:rPr>
        <w:t>75</w:t>
      </w:r>
      <w:r w:rsidRPr="00EF1459">
        <w:rPr>
          <w:rFonts w:ascii="Simplified Arabic" w:hAnsi="Simplified Arabic" w:cs="Simplified Arabic"/>
          <w:b/>
          <w:bCs/>
          <w:sz w:val="32"/>
          <w:szCs w:val="32"/>
          <w:rtl/>
        </w:rPr>
        <w:t xml:space="preserve"> للنكبة يتضاعف عدد الفلسطينيين أكثر من 10 مرات</w:t>
      </w:r>
    </w:p>
    <w:p w:rsidR="008778DC" w:rsidRPr="00851D9B" w:rsidRDefault="008778DC" w:rsidP="008778DC">
      <w:pPr>
        <w:jc w:val="center"/>
        <w:rPr>
          <w:rFonts w:cs="Simplified Arabic"/>
          <w:b/>
          <w:bCs/>
          <w:sz w:val="24"/>
          <w:szCs w:val="24"/>
          <w:rtl/>
        </w:rPr>
      </w:pPr>
    </w:p>
    <w:p w:rsidR="008778DC" w:rsidRPr="00851D9B" w:rsidRDefault="008778DC" w:rsidP="008778DC">
      <w:pPr>
        <w:jc w:val="center"/>
        <w:rPr>
          <w:rFonts w:cs="Simplified Arabic"/>
          <w:b/>
          <w:bCs/>
          <w:sz w:val="6"/>
          <w:szCs w:val="6"/>
          <w:rtl/>
        </w:rPr>
      </w:pPr>
    </w:p>
    <w:p w:rsidR="008778DC" w:rsidRPr="00851D9B" w:rsidRDefault="008778DC" w:rsidP="008778DC">
      <w:pPr>
        <w:jc w:val="lowKashida"/>
        <w:rPr>
          <w:rFonts w:cs="Simplified Arabic"/>
          <w:b/>
          <w:bCs/>
          <w:sz w:val="28"/>
          <w:szCs w:val="28"/>
          <w:rtl/>
        </w:rPr>
      </w:pPr>
      <w:r w:rsidRPr="00851D9B">
        <w:rPr>
          <w:rFonts w:ascii="Simplified Arabic" w:hAnsi="Simplified Arabic" w:cs="Simplified Arabic"/>
          <w:b/>
          <w:bCs/>
          <w:color w:val="000000"/>
          <w:sz w:val="28"/>
          <w:szCs w:val="28"/>
          <w:rtl/>
        </w:rPr>
        <w:t xml:space="preserve">استعرضت </w:t>
      </w:r>
      <w:r w:rsidRPr="00851D9B">
        <w:rPr>
          <w:rFonts w:ascii="Simplified Arabic" w:hAnsi="Simplified Arabic" w:cs="Simplified Arabic" w:hint="cs"/>
          <w:b/>
          <w:bCs/>
          <w:color w:val="000000"/>
          <w:sz w:val="28"/>
          <w:szCs w:val="28"/>
          <w:rtl/>
        </w:rPr>
        <w:t>معالي د.</w:t>
      </w:r>
      <w:r w:rsidRPr="00851D9B">
        <w:rPr>
          <w:rFonts w:ascii="Simplified Arabic" w:hAnsi="Simplified Arabic" w:cs="Simplified Arabic"/>
          <w:b/>
          <w:bCs/>
          <w:color w:val="000000"/>
          <w:sz w:val="28"/>
          <w:szCs w:val="28"/>
          <w:rtl/>
        </w:rPr>
        <w:t xml:space="preserve"> علا عوض، رئيس</w:t>
      </w:r>
      <w:r w:rsidRPr="00851D9B">
        <w:rPr>
          <w:rFonts w:ascii="Simplified Arabic" w:hAnsi="Simplified Arabic" w:cs="Simplified Arabic" w:hint="cs"/>
          <w:b/>
          <w:bCs/>
          <w:color w:val="000000"/>
          <w:sz w:val="28"/>
          <w:szCs w:val="28"/>
          <w:rtl/>
        </w:rPr>
        <w:t>ة</w:t>
      </w:r>
      <w:r w:rsidRPr="00851D9B">
        <w:rPr>
          <w:rFonts w:ascii="Simplified Arabic" w:hAnsi="Simplified Arabic" w:cs="Simplified Arabic"/>
          <w:b/>
          <w:bCs/>
          <w:color w:val="000000"/>
          <w:sz w:val="28"/>
          <w:szCs w:val="28"/>
          <w:rtl/>
        </w:rPr>
        <w:t xml:space="preserve"> الإحصاء الفلسطيني، </w:t>
      </w:r>
      <w:r w:rsidRPr="00851D9B">
        <w:rPr>
          <w:rFonts w:cs="Simplified Arabic" w:hint="cs"/>
          <w:b/>
          <w:bCs/>
          <w:color w:val="000000"/>
          <w:sz w:val="28"/>
          <w:szCs w:val="28"/>
          <w:rtl/>
        </w:rPr>
        <w:t xml:space="preserve">من خلال الأرقام والحقائق والمعطيات التاريخية والحالية أوضاع  الشعب الفلسطيني في </w:t>
      </w:r>
      <w:r w:rsidRPr="00851D9B">
        <w:rPr>
          <w:rFonts w:cs="Simplified Arabic"/>
          <w:b/>
          <w:bCs/>
          <w:sz w:val="28"/>
          <w:szCs w:val="28"/>
          <w:rtl/>
        </w:rPr>
        <w:t xml:space="preserve">الذكرى </w:t>
      </w:r>
      <w:r>
        <w:rPr>
          <w:rFonts w:cs="Simplified Arabic" w:hint="cs"/>
          <w:b/>
          <w:bCs/>
          <w:sz w:val="28"/>
          <w:szCs w:val="28"/>
          <w:rtl/>
        </w:rPr>
        <w:t>75</w:t>
      </w:r>
      <w:r w:rsidRPr="00851D9B">
        <w:rPr>
          <w:rFonts w:cs="Simplified Arabic"/>
          <w:b/>
          <w:bCs/>
          <w:sz w:val="28"/>
          <w:szCs w:val="28"/>
          <w:rtl/>
        </w:rPr>
        <w:t xml:space="preserve"> لنكبة فلسطين</w:t>
      </w:r>
      <w:r w:rsidRPr="00851D9B">
        <w:rPr>
          <w:rFonts w:cs="Simplified Arabic" w:hint="eastAsia"/>
          <w:b/>
          <w:bCs/>
          <w:sz w:val="28"/>
          <w:szCs w:val="28"/>
          <w:rtl/>
        </w:rPr>
        <w:t xml:space="preserve"> </w:t>
      </w:r>
      <w:r w:rsidRPr="00851D9B">
        <w:rPr>
          <w:rFonts w:cs="Simplified Arabic" w:hint="cs"/>
          <w:b/>
          <w:bCs/>
          <w:sz w:val="28"/>
          <w:szCs w:val="28"/>
          <w:rtl/>
        </w:rPr>
        <w:t xml:space="preserve">والذي </w:t>
      </w:r>
      <w:r w:rsidRPr="00851D9B">
        <w:rPr>
          <w:rFonts w:cs="Simplified Arabic" w:hint="eastAsia"/>
          <w:b/>
          <w:bCs/>
          <w:sz w:val="28"/>
          <w:szCs w:val="28"/>
          <w:rtl/>
        </w:rPr>
        <w:t>يصادف</w:t>
      </w:r>
      <w:r w:rsidRPr="00851D9B">
        <w:rPr>
          <w:rFonts w:cs="Simplified Arabic"/>
          <w:b/>
          <w:bCs/>
          <w:sz w:val="28"/>
          <w:szCs w:val="28"/>
        </w:rPr>
        <w:t xml:space="preserve"> </w:t>
      </w:r>
      <w:r w:rsidRPr="00851D9B">
        <w:rPr>
          <w:rFonts w:cs="Simplified Arabic"/>
          <w:b/>
          <w:bCs/>
          <w:sz w:val="28"/>
          <w:szCs w:val="28"/>
          <w:rtl/>
        </w:rPr>
        <w:t>الخامس عشر من أيار</w:t>
      </w:r>
      <w:r w:rsidRPr="00851D9B">
        <w:rPr>
          <w:rFonts w:cs="Simplified Arabic" w:hint="cs"/>
          <w:b/>
          <w:bCs/>
          <w:sz w:val="28"/>
          <w:szCs w:val="28"/>
          <w:rtl/>
        </w:rPr>
        <w:t>، وذلك على النحو الآتي:</w:t>
      </w:r>
      <w:r w:rsidRPr="00851D9B">
        <w:rPr>
          <w:rFonts w:cs="Simplified Arabic"/>
          <w:b/>
          <w:bCs/>
          <w:sz w:val="28"/>
          <w:szCs w:val="28"/>
          <w:rtl/>
        </w:rPr>
        <w:t xml:space="preserve"> </w:t>
      </w:r>
    </w:p>
    <w:p w:rsidR="00F42DBC" w:rsidRPr="00A54E85" w:rsidRDefault="00F42DBC" w:rsidP="00F42DBC">
      <w:pPr>
        <w:rPr>
          <w:rFonts w:cs="Simplified Arabic"/>
          <w:b/>
          <w:bCs/>
          <w:sz w:val="24"/>
          <w:szCs w:val="24"/>
          <w:rtl/>
        </w:rPr>
      </w:pPr>
    </w:p>
    <w:p w:rsidR="005F3330" w:rsidRPr="00EF1459" w:rsidRDefault="005F3330" w:rsidP="005F3330">
      <w:pPr>
        <w:rPr>
          <w:rFonts w:ascii="Simplified Arabic" w:hAnsi="Simplified Arabic" w:cs="Simplified Arabic"/>
          <w:b/>
          <w:bCs/>
          <w:sz w:val="28"/>
          <w:szCs w:val="28"/>
          <w:rtl/>
        </w:rPr>
      </w:pPr>
      <w:r w:rsidRPr="00EF1459">
        <w:rPr>
          <w:rFonts w:ascii="Simplified Arabic" w:hAnsi="Simplified Arabic" w:cs="Simplified Arabic"/>
          <w:b/>
          <w:bCs/>
          <w:sz w:val="28"/>
          <w:szCs w:val="28"/>
          <w:rtl/>
        </w:rPr>
        <w:t>النكبة: تطهير عرقي وإحلال سكاني وسيطرة على الأرض</w:t>
      </w:r>
    </w:p>
    <w:p w:rsidR="005F3330" w:rsidRPr="00EF1459" w:rsidRDefault="005F3330" w:rsidP="001C155D">
      <w:pPr>
        <w:jc w:val="lowKashida"/>
        <w:rPr>
          <w:rFonts w:ascii="Simplified Arabic" w:hAnsi="Simplified Arabic" w:cs="Simplified Arabic"/>
          <w:sz w:val="26"/>
          <w:szCs w:val="26"/>
          <w:rtl/>
        </w:rPr>
      </w:pPr>
      <w:r w:rsidRPr="00EF1459">
        <w:rPr>
          <w:rFonts w:ascii="Simplified Arabic" w:hAnsi="Simplified Arabic" w:cs="Simplified Arabic"/>
          <w:sz w:val="26"/>
          <w:szCs w:val="26"/>
          <w:rtl/>
        </w:rPr>
        <w:t xml:space="preserve"> شكلت أحداث نكبة فلسطين وما تلاها من تهجير مأساة كبرى للشعب الفلسطيني، لما مثلته وما زالت هذه النكبة من عملية تطهير عرقي حيث تم تدمير وطرد شعب بكامله وإحلال جماعات وأفراد من شتى بقاع العالم مكانه، وتشريد </w:t>
      </w:r>
      <w:r w:rsidR="001C155D">
        <w:rPr>
          <w:rFonts w:ascii="Simplified Arabic" w:hAnsi="Simplified Arabic" w:cs="Simplified Arabic" w:hint="cs"/>
          <w:sz w:val="26"/>
          <w:szCs w:val="26"/>
          <w:rtl/>
        </w:rPr>
        <w:t>957 الف</w:t>
      </w:r>
      <w:r w:rsidRPr="00EF1459">
        <w:rPr>
          <w:rFonts w:ascii="Simplified Arabic" w:hAnsi="Simplified Arabic" w:cs="Simplified Arabic"/>
          <w:sz w:val="26"/>
          <w:szCs w:val="26"/>
          <w:rtl/>
        </w:rPr>
        <w:t xml:space="preserve"> فلسطيني من قراهم ومدنهم من أصل 1.4 مليون فلسطيني كانوا يقيمون في فلسطين التاريخية عام 1948 في 1,300 قرية ومدينة فلسطينية، حيث انتهى التهجير بغالبيتهم إلى عدد من الدول العربية المجاورة إضافة إلى الضفة الغربية وقطاع غزة، فضلاً عن التهجير الداخلي للآلاف منهم </w:t>
      </w:r>
      <w:r w:rsidRPr="00EF1459">
        <w:rPr>
          <w:rFonts w:ascii="Simplified Arabic" w:hAnsi="Simplified Arabic" w:cs="Simplified Arabic"/>
          <w:sz w:val="26"/>
          <w:szCs w:val="26"/>
          <w:rtl/>
          <w:lang w:bidi="ar-JO"/>
        </w:rPr>
        <w:t xml:space="preserve"> </w:t>
      </w:r>
      <w:r w:rsidRPr="00EF1459">
        <w:rPr>
          <w:rFonts w:ascii="Simplified Arabic" w:hAnsi="Simplified Arabic" w:cs="Simplified Arabic"/>
          <w:sz w:val="26"/>
          <w:szCs w:val="26"/>
          <w:rtl/>
        </w:rPr>
        <w:t xml:space="preserve">داخل الأراضي التي أخضعت لسيطرة الاحتلال الإسرائيلي عام النكبة وما تلاها بعد طردهم من منازلهم والاستيلاء على أراضيهم. </w:t>
      </w:r>
    </w:p>
    <w:p w:rsidR="005F3330" w:rsidRPr="00EF1459" w:rsidRDefault="005F3330" w:rsidP="005F3330">
      <w:pPr>
        <w:jc w:val="lowKashida"/>
        <w:rPr>
          <w:rFonts w:ascii="Simplified Arabic" w:hAnsi="Simplified Arabic" w:cs="Simplified Arabic"/>
          <w:sz w:val="10"/>
          <w:szCs w:val="10"/>
          <w:rtl/>
        </w:rPr>
      </w:pPr>
    </w:p>
    <w:p w:rsidR="005F3330" w:rsidRPr="00EF1459" w:rsidRDefault="005F3330" w:rsidP="001C155D">
      <w:pPr>
        <w:jc w:val="lowKashida"/>
        <w:rPr>
          <w:rFonts w:ascii="Simplified Arabic" w:hAnsi="Simplified Arabic" w:cs="Simplified Arabic"/>
          <w:sz w:val="26"/>
          <w:szCs w:val="26"/>
          <w:rtl/>
        </w:rPr>
      </w:pPr>
      <w:r w:rsidRPr="00EF1459">
        <w:rPr>
          <w:rFonts w:ascii="Simplified Arabic" w:hAnsi="Simplified Arabic" w:cs="Simplified Arabic"/>
          <w:sz w:val="26"/>
          <w:szCs w:val="26"/>
          <w:rtl/>
        </w:rPr>
        <w:t xml:space="preserve">سيطر الاحتلال الإسرائيلي خلال مرحلة النكبة على 774 قرية ومدينة فلسطينية، حيث تم تدمير 531 منها بالكامل وما تبقى تم اخضاعه الى كيان الاحتلال وقوانينه، وقد رافق عملية التطهير هذه </w:t>
      </w:r>
      <w:r w:rsidRPr="00EF1459">
        <w:rPr>
          <w:rFonts w:ascii="Simplified Arabic" w:hAnsi="Simplified Arabic" w:cs="Simplified Arabic"/>
          <w:sz w:val="26"/>
          <w:szCs w:val="26"/>
          <w:rtl/>
          <w:lang w:bidi="ar-JO"/>
        </w:rPr>
        <w:t xml:space="preserve">إقتراف </w:t>
      </w:r>
      <w:r w:rsidRPr="00EF1459">
        <w:rPr>
          <w:rFonts w:ascii="Simplified Arabic" w:hAnsi="Simplified Arabic" w:cs="Simplified Arabic"/>
          <w:sz w:val="26"/>
          <w:szCs w:val="26"/>
          <w:rtl/>
        </w:rPr>
        <w:t>العصابات الصهيونية أكثر من</w:t>
      </w:r>
      <w:r w:rsidR="005A4B1A">
        <w:rPr>
          <w:rFonts w:ascii="Simplified Arabic" w:hAnsi="Simplified Arabic" w:cs="Simplified Arabic" w:hint="cs"/>
          <w:sz w:val="26"/>
          <w:szCs w:val="26"/>
          <w:rtl/>
        </w:rPr>
        <w:t xml:space="preserve">           </w:t>
      </w:r>
      <w:r w:rsidRPr="00EF1459">
        <w:rPr>
          <w:rFonts w:ascii="Simplified Arabic" w:hAnsi="Simplified Arabic" w:cs="Simplified Arabic"/>
          <w:sz w:val="26"/>
          <w:szCs w:val="26"/>
          <w:rtl/>
        </w:rPr>
        <w:t xml:space="preserve"> </w:t>
      </w:r>
      <w:r w:rsidR="001C155D">
        <w:rPr>
          <w:rFonts w:ascii="Simplified Arabic" w:hAnsi="Simplified Arabic" w:cs="Simplified Arabic" w:hint="cs"/>
          <w:sz w:val="26"/>
          <w:szCs w:val="26"/>
          <w:rtl/>
        </w:rPr>
        <w:t>51</w:t>
      </w:r>
      <w:r w:rsidRPr="00EF1459">
        <w:rPr>
          <w:rFonts w:ascii="Simplified Arabic" w:hAnsi="Simplified Arabic" w:cs="Simplified Arabic"/>
          <w:sz w:val="26"/>
          <w:szCs w:val="26"/>
          <w:rtl/>
        </w:rPr>
        <w:t xml:space="preserve"> مجزرة بحق الفلسطينيين أدت إلى استشهاد ما يزيد عن 15 ألف فلسطيني</w:t>
      </w:r>
      <w:r w:rsidR="001C155D">
        <w:rPr>
          <w:rFonts w:ascii="Simplified Arabic" w:hAnsi="Simplified Arabic" w:cs="Simplified Arabic" w:hint="cs"/>
          <w:sz w:val="26"/>
          <w:szCs w:val="26"/>
          <w:rtl/>
        </w:rPr>
        <w:t>، ولا زالت المجازر مستمرة حتى يومنا هذا</w:t>
      </w:r>
      <w:r w:rsidRPr="00EF1459">
        <w:rPr>
          <w:rFonts w:ascii="Simplified Arabic" w:hAnsi="Simplified Arabic" w:cs="Simplified Arabic"/>
          <w:sz w:val="26"/>
          <w:szCs w:val="26"/>
          <w:rtl/>
        </w:rPr>
        <w:t>.</w:t>
      </w:r>
    </w:p>
    <w:p w:rsidR="005F3330" w:rsidRPr="00EF1459" w:rsidRDefault="005F3330" w:rsidP="005F3330">
      <w:pPr>
        <w:jc w:val="lowKashida"/>
        <w:rPr>
          <w:rFonts w:ascii="Simplified Arabic" w:hAnsi="Simplified Arabic" w:cs="Simplified Arabic"/>
          <w:sz w:val="10"/>
          <w:szCs w:val="10"/>
          <w:rtl/>
          <w:lang w:bidi="ar-JO"/>
        </w:rPr>
      </w:pPr>
    </w:p>
    <w:p w:rsidR="005F3330" w:rsidRPr="00EF1459" w:rsidRDefault="005F3330" w:rsidP="005F755B">
      <w:pPr>
        <w:rPr>
          <w:rFonts w:ascii="Simplified Arabic" w:hAnsi="Simplified Arabic" w:cs="Simplified Arabic"/>
          <w:sz w:val="28"/>
          <w:szCs w:val="28"/>
          <w:rtl/>
        </w:rPr>
      </w:pPr>
      <w:r w:rsidRPr="00EF1459">
        <w:rPr>
          <w:rFonts w:ascii="Simplified Arabic" w:hAnsi="Simplified Arabic" w:cs="Simplified Arabic"/>
          <w:b/>
          <w:bCs/>
          <w:sz w:val="28"/>
          <w:szCs w:val="28"/>
          <w:rtl/>
        </w:rPr>
        <w:t xml:space="preserve">الواقع الديمغرافي: بعد </w:t>
      </w:r>
      <w:r w:rsidR="005F755B" w:rsidRPr="00EF1459">
        <w:rPr>
          <w:rFonts w:ascii="Simplified Arabic" w:hAnsi="Simplified Arabic" w:cs="Simplified Arabic"/>
          <w:b/>
          <w:bCs/>
          <w:sz w:val="28"/>
          <w:szCs w:val="28"/>
        </w:rPr>
        <w:t>75</w:t>
      </w:r>
      <w:r w:rsidRPr="00EF1459">
        <w:rPr>
          <w:rFonts w:ascii="Simplified Arabic" w:hAnsi="Simplified Arabic" w:cs="Simplified Arabic"/>
          <w:b/>
          <w:bCs/>
          <w:sz w:val="28"/>
          <w:szCs w:val="28"/>
          <w:rtl/>
        </w:rPr>
        <w:t xml:space="preserve"> عام على النكبة تضاعف الفلسطينيون نحو 10 مرات</w:t>
      </w:r>
    </w:p>
    <w:p w:rsidR="005F3330" w:rsidRPr="00EF1459" w:rsidRDefault="005F3330" w:rsidP="00A36C58">
      <w:pPr>
        <w:pStyle w:val="NormalWeb"/>
        <w:bidi/>
        <w:spacing w:before="0" w:beforeAutospacing="0" w:after="0" w:afterAutospacing="0"/>
        <w:jc w:val="both"/>
        <w:rPr>
          <w:rFonts w:ascii="Simplified Arabic" w:hAnsi="Simplified Arabic" w:cs="Simplified Arabic"/>
          <w:sz w:val="26"/>
          <w:szCs w:val="26"/>
          <w:rtl/>
        </w:rPr>
      </w:pPr>
      <w:r w:rsidRPr="00EF1459">
        <w:rPr>
          <w:rFonts w:ascii="Simplified Arabic" w:hAnsi="Simplified Arabic" w:cs="Simplified Arabic"/>
          <w:sz w:val="26"/>
          <w:szCs w:val="26"/>
          <w:rtl/>
        </w:rPr>
        <w:t xml:space="preserve">بلغ عدد السكان في فلسطين التاريخية عام 1914 نحو 690 ألف نسمة، شكلت نسبة اليهود 8% فقط منهم، وفي العام 1948 بلغ عدد السكان أكثر من 2 مليون حوالي 31.5% منهم من اليهود، حيث تدفق بين عامي 1932 و1939 أكبر عدد من المهاجرين اليهود، وبلغ عددهم 225 ألف يهودي، وتدفق على فلسطين بين عامي 1940 و1947 أكثر من 93 ألف يهودي، وبهذا تكون فلسطين قد استقبلت بين عامي 1932 و1947 ما يقرب من 318 ألف يهودي، ومنذ العام 1948 وحتى العام </w:t>
      </w:r>
      <w:r w:rsidR="00A36C58" w:rsidRPr="00EF1459">
        <w:rPr>
          <w:rFonts w:ascii="Simplified Arabic" w:hAnsi="Simplified Arabic" w:cs="Simplified Arabic"/>
          <w:sz w:val="26"/>
          <w:szCs w:val="26"/>
        </w:rPr>
        <w:t>2022</w:t>
      </w:r>
      <w:r w:rsidRPr="00EF1459">
        <w:rPr>
          <w:rFonts w:ascii="Simplified Arabic" w:hAnsi="Simplified Arabic" w:cs="Simplified Arabic"/>
          <w:sz w:val="26"/>
          <w:szCs w:val="26"/>
          <w:rtl/>
        </w:rPr>
        <w:t xml:space="preserve"> تدفق أكثر من </w:t>
      </w:r>
      <w:r w:rsidR="00A36C58" w:rsidRPr="00EF1459">
        <w:rPr>
          <w:rFonts w:ascii="Simplified Arabic" w:hAnsi="Simplified Arabic" w:cs="Simplified Arabic"/>
          <w:sz w:val="26"/>
          <w:szCs w:val="26"/>
        </w:rPr>
        <w:t>3.3</w:t>
      </w:r>
      <w:r w:rsidR="00A36C58" w:rsidRPr="00EF1459">
        <w:rPr>
          <w:rFonts w:ascii="Simplified Arabic" w:hAnsi="Simplified Arabic" w:cs="Simplified Arabic"/>
          <w:sz w:val="26"/>
          <w:szCs w:val="26"/>
          <w:rtl/>
        </w:rPr>
        <w:t xml:space="preserve"> مليون</w:t>
      </w:r>
      <w:r w:rsidRPr="00EF1459">
        <w:rPr>
          <w:rFonts w:ascii="Simplified Arabic" w:hAnsi="Simplified Arabic" w:cs="Simplified Arabic"/>
          <w:sz w:val="26"/>
          <w:szCs w:val="26"/>
          <w:rtl/>
        </w:rPr>
        <w:t xml:space="preserve"> يهودي.</w:t>
      </w:r>
    </w:p>
    <w:p w:rsidR="005F3330" w:rsidRPr="00EF1459" w:rsidRDefault="005F3330" w:rsidP="005F3330">
      <w:pPr>
        <w:pStyle w:val="NormalWeb"/>
        <w:bidi/>
        <w:spacing w:before="0" w:beforeAutospacing="0" w:after="0" w:afterAutospacing="0"/>
        <w:jc w:val="both"/>
        <w:rPr>
          <w:rFonts w:ascii="Simplified Arabic" w:hAnsi="Simplified Arabic" w:cs="Simplified Arabic"/>
          <w:sz w:val="10"/>
          <w:szCs w:val="10"/>
          <w:rtl/>
        </w:rPr>
      </w:pPr>
    </w:p>
    <w:p w:rsidR="005F3330" w:rsidRPr="00EF1459" w:rsidRDefault="005F3330" w:rsidP="00FC60AF">
      <w:pPr>
        <w:pStyle w:val="NormalWeb"/>
        <w:bidi/>
        <w:spacing w:before="0" w:beforeAutospacing="0" w:after="0" w:afterAutospacing="0"/>
        <w:jc w:val="both"/>
        <w:rPr>
          <w:rFonts w:ascii="Simplified Arabic" w:hAnsi="Simplified Arabic" w:cs="Simplified Arabic"/>
          <w:sz w:val="26"/>
          <w:szCs w:val="26"/>
          <w:rtl/>
        </w:rPr>
      </w:pPr>
      <w:r w:rsidRPr="00EF1459">
        <w:rPr>
          <w:rFonts w:ascii="Simplified Arabic" w:hAnsi="Simplified Arabic" w:cs="Simplified Arabic"/>
          <w:sz w:val="26"/>
          <w:szCs w:val="26"/>
          <w:rtl/>
        </w:rPr>
        <w:t xml:space="preserve">وعلى الرغم من </w:t>
      </w:r>
      <w:r w:rsidR="003328CE" w:rsidRPr="00EF1459">
        <w:rPr>
          <w:rFonts w:ascii="Simplified Arabic" w:hAnsi="Simplified Arabic" w:cs="Simplified Arabic"/>
          <w:sz w:val="26"/>
          <w:szCs w:val="26"/>
          <w:rtl/>
        </w:rPr>
        <w:t>تهجير</w:t>
      </w:r>
      <w:r w:rsidRPr="00EF1459">
        <w:rPr>
          <w:rFonts w:ascii="Simplified Arabic" w:hAnsi="Simplified Arabic" w:cs="Simplified Arabic"/>
          <w:sz w:val="26"/>
          <w:szCs w:val="26"/>
          <w:rtl/>
        </w:rPr>
        <w:t xml:space="preserve"> </w:t>
      </w:r>
      <w:r w:rsidR="00FC60AF" w:rsidRPr="00EF1459">
        <w:rPr>
          <w:rFonts w:ascii="Simplified Arabic" w:hAnsi="Simplified Arabic" w:cs="Simplified Arabic"/>
          <w:sz w:val="26"/>
          <w:szCs w:val="26"/>
          <w:rtl/>
        </w:rPr>
        <w:t>نحو</w:t>
      </w:r>
      <w:r w:rsidRPr="00EF1459">
        <w:rPr>
          <w:rFonts w:ascii="Simplified Arabic" w:hAnsi="Simplified Arabic" w:cs="Simplified Arabic"/>
          <w:sz w:val="26"/>
          <w:szCs w:val="26"/>
          <w:rtl/>
        </w:rPr>
        <w:t xml:space="preserve"> </w:t>
      </w:r>
      <w:r w:rsidR="003328CE" w:rsidRPr="00EF1459">
        <w:rPr>
          <w:rFonts w:ascii="Simplified Arabic" w:hAnsi="Simplified Arabic" w:cs="Simplified Arabic"/>
          <w:sz w:val="26"/>
          <w:szCs w:val="26"/>
          <w:rtl/>
        </w:rPr>
        <w:t>مليون</w:t>
      </w:r>
      <w:r w:rsidRPr="00EF1459">
        <w:rPr>
          <w:rFonts w:ascii="Simplified Arabic" w:hAnsi="Simplified Arabic" w:cs="Simplified Arabic"/>
          <w:sz w:val="26"/>
          <w:szCs w:val="26"/>
          <w:rtl/>
        </w:rPr>
        <w:t xml:space="preserve"> فلسطيني </w:t>
      </w:r>
      <w:r w:rsidR="003328CE" w:rsidRPr="00EF1459">
        <w:rPr>
          <w:rFonts w:ascii="Simplified Arabic" w:hAnsi="Simplified Arabic" w:cs="Simplified Arabic"/>
          <w:sz w:val="26"/>
          <w:szCs w:val="26"/>
          <w:rtl/>
        </w:rPr>
        <w:t>في</w:t>
      </w:r>
      <w:r w:rsidRPr="00EF1459">
        <w:rPr>
          <w:rFonts w:ascii="Simplified Arabic" w:hAnsi="Simplified Arabic" w:cs="Simplified Arabic"/>
          <w:sz w:val="26"/>
          <w:szCs w:val="26"/>
          <w:rtl/>
        </w:rPr>
        <w:t xml:space="preserve"> العام 1948 </w:t>
      </w:r>
      <w:r w:rsidR="003328CE" w:rsidRPr="00EF1459">
        <w:rPr>
          <w:rFonts w:ascii="Simplified Arabic" w:hAnsi="Simplified Arabic" w:cs="Simplified Arabic"/>
          <w:sz w:val="26"/>
          <w:szCs w:val="26"/>
          <w:rtl/>
        </w:rPr>
        <w:t>و</w:t>
      </w:r>
      <w:r w:rsidRPr="00EF1459">
        <w:rPr>
          <w:rFonts w:ascii="Simplified Arabic" w:hAnsi="Simplified Arabic" w:cs="Simplified Arabic"/>
          <w:sz w:val="26"/>
          <w:szCs w:val="26"/>
          <w:rtl/>
        </w:rPr>
        <w:t xml:space="preserve">أكثر من 200 ألف فلسطيني بعد حرب حزيران 1967، فقد بلغ عدد الفلسطينيين الاجمالي في العالم </w:t>
      </w:r>
      <w:r w:rsidR="00D743AA" w:rsidRPr="00EF1459">
        <w:rPr>
          <w:rFonts w:ascii="Simplified Arabic" w:hAnsi="Simplified Arabic" w:cs="Simplified Arabic"/>
          <w:sz w:val="26"/>
          <w:szCs w:val="26"/>
        </w:rPr>
        <w:t>14.3</w:t>
      </w:r>
      <w:r w:rsidRPr="00EF1459">
        <w:rPr>
          <w:rFonts w:ascii="Simplified Arabic" w:hAnsi="Simplified Arabic" w:cs="Simplified Arabic"/>
          <w:sz w:val="26"/>
          <w:szCs w:val="26"/>
          <w:rtl/>
        </w:rPr>
        <w:t xml:space="preserve"> مليون نسمة</w:t>
      </w:r>
      <w:r w:rsidR="003328CE" w:rsidRPr="00EF1459">
        <w:rPr>
          <w:rFonts w:ascii="Simplified Arabic" w:hAnsi="Simplified Arabic" w:cs="Simplified Arabic"/>
          <w:sz w:val="26"/>
          <w:szCs w:val="26"/>
          <w:rtl/>
        </w:rPr>
        <w:t xml:space="preserve"> في نهاية العام 2022</w:t>
      </w:r>
      <w:r w:rsidRPr="00EF1459">
        <w:rPr>
          <w:rFonts w:ascii="Simplified Arabic" w:hAnsi="Simplified Arabic" w:cs="Simplified Arabic"/>
          <w:sz w:val="26"/>
          <w:szCs w:val="26"/>
          <w:rtl/>
        </w:rPr>
        <w:t xml:space="preserve">، ما يشير الى تضاعف عدد الفلسطينيين نحو 10 مرات منذ أحداث نكبة 1948، </w:t>
      </w:r>
      <w:r w:rsidR="00935569" w:rsidRPr="00EF1459">
        <w:rPr>
          <w:rFonts w:ascii="Simplified Arabic" w:hAnsi="Simplified Arabic" w:cs="Simplified Arabic"/>
          <w:sz w:val="26"/>
          <w:szCs w:val="26"/>
          <w:rtl/>
        </w:rPr>
        <w:t>حوالي</w:t>
      </w:r>
      <w:r w:rsidRPr="00EF1459">
        <w:rPr>
          <w:rFonts w:ascii="Simplified Arabic" w:hAnsi="Simplified Arabic" w:cs="Simplified Arabic"/>
          <w:sz w:val="26"/>
          <w:szCs w:val="26"/>
          <w:rtl/>
        </w:rPr>
        <w:t xml:space="preserve"> نصفهم (</w:t>
      </w:r>
      <w:r w:rsidR="00D743AA" w:rsidRPr="00EF1459">
        <w:rPr>
          <w:rFonts w:ascii="Simplified Arabic" w:hAnsi="Simplified Arabic" w:cs="Simplified Arabic"/>
          <w:sz w:val="26"/>
          <w:szCs w:val="26"/>
        </w:rPr>
        <w:t>7.1</w:t>
      </w:r>
      <w:r w:rsidRPr="00EF1459">
        <w:rPr>
          <w:rFonts w:ascii="Simplified Arabic" w:hAnsi="Simplified Arabic" w:cs="Simplified Arabic"/>
          <w:sz w:val="26"/>
          <w:szCs w:val="26"/>
          <w:rtl/>
        </w:rPr>
        <w:t xml:space="preserve"> مليون) نسمة في فلسطين التاريخية</w:t>
      </w:r>
      <w:r w:rsidR="005A4B1A">
        <w:rPr>
          <w:rFonts w:ascii="Simplified Arabic" w:hAnsi="Simplified Arabic" w:cs="Simplified Arabic" w:hint="cs"/>
          <w:sz w:val="26"/>
          <w:szCs w:val="26"/>
          <w:rtl/>
        </w:rPr>
        <w:t xml:space="preserve">             </w:t>
      </w:r>
      <w:r w:rsidRPr="00EF1459">
        <w:rPr>
          <w:rFonts w:ascii="Simplified Arabic" w:hAnsi="Simplified Arabic" w:cs="Simplified Arabic"/>
          <w:sz w:val="26"/>
          <w:szCs w:val="26"/>
          <w:rtl/>
        </w:rPr>
        <w:t xml:space="preserve"> </w:t>
      </w:r>
      <w:r w:rsidRPr="00EF1459">
        <w:rPr>
          <w:rFonts w:ascii="Simplified Arabic" w:hAnsi="Simplified Arabic" w:cs="Simplified Arabic"/>
          <w:sz w:val="26"/>
          <w:szCs w:val="26"/>
          <w:rtl/>
        </w:rPr>
        <w:lastRenderedPageBreak/>
        <w:t>(</w:t>
      </w:r>
      <w:r w:rsidRPr="00EF1459">
        <w:rPr>
          <w:rFonts w:ascii="Simplified Arabic" w:hAnsi="Simplified Arabic" w:cs="Simplified Arabic"/>
          <w:sz w:val="26"/>
          <w:szCs w:val="26"/>
        </w:rPr>
        <w:t>1.7</w:t>
      </w:r>
      <w:r w:rsidRPr="00EF1459">
        <w:rPr>
          <w:rFonts w:ascii="Simplified Arabic" w:hAnsi="Simplified Arabic" w:cs="Simplified Arabic"/>
          <w:sz w:val="26"/>
          <w:szCs w:val="26"/>
          <w:rtl/>
        </w:rPr>
        <w:t xml:space="preserve"> مليون في المناطق المحتلة عام 1948)، وتشير التقديرات السكانية أن عدد السكان </w:t>
      </w:r>
      <w:r w:rsidR="00F8431B" w:rsidRPr="00EF1459">
        <w:rPr>
          <w:rFonts w:ascii="Simplified Arabic" w:hAnsi="Simplified Arabic" w:cs="Simplified Arabic"/>
          <w:sz w:val="26"/>
          <w:szCs w:val="26"/>
          <w:rtl/>
        </w:rPr>
        <w:t xml:space="preserve">بلغ </w:t>
      </w:r>
      <w:r w:rsidRPr="00EF1459">
        <w:rPr>
          <w:rFonts w:ascii="Simplified Arabic" w:hAnsi="Simplified Arabic" w:cs="Simplified Arabic"/>
          <w:sz w:val="26"/>
          <w:szCs w:val="26"/>
          <w:rtl/>
        </w:rPr>
        <w:t xml:space="preserve">نهاية </w:t>
      </w:r>
      <w:r w:rsidR="00ED44A2" w:rsidRPr="00EF1459">
        <w:rPr>
          <w:rFonts w:ascii="Simplified Arabic" w:hAnsi="Simplified Arabic" w:cs="Simplified Arabic"/>
          <w:sz w:val="26"/>
          <w:szCs w:val="26"/>
        </w:rPr>
        <w:t>2022</w:t>
      </w:r>
      <w:r w:rsidRPr="00EF1459">
        <w:rPr>
          <w:rFonts w:ascii="Simplified Arabic" w:hAnsi="Simplified Arabic" w:cs="Simplified Arabic"/>
          <w:sz w:val="26"/>
          <w:szCs w:val="26"/>
          <w:rtl/>
        </w:rPr>
        <w:t xml:space="preserve"> في الضفة الغربية "بما فيها القدس" </w:t>
      </w:r>
      <w:r w:rsidRPr="00EF1459">
        <w:rPr>
          <w:rFonts w:ascii="Simplified Arabic" w:hAnsi="Simplified Arabic" w:cs="Simplified Arabic"/>
          <w:sz w:val="26"/>
          <w:szCs w:val="26"/>
        </w:rPr>
        <w:t xml:space="preserve"> 3.2</w:t>
      </w:r>
      <w:r w:rsidRPr="00EF1459">
        <w:rPr>
          <w:rFonts w:ascii="Simplified Arabic" w:hAnsi="Simplified Arabic" w:cs="Simplified Arabic"/>
          <w:sz w:val="26"/>
          <w:szCs w:val="26"/>
          <w:rtl/>
        </w:rPr>
        <w:t xml:space="preserve">مليون نسمة، وحوالي </w:t>
      </w:r>
      <w:r w:rsidRPr="00EF1459">
        <w:rPr>
          <w:rFonts w:ascii="Simplified Arabic" w:hAnsi="Simplified Arabic" w:cs="Simplified Arabic"/>
          <w:sz w:val="26"/>
          <w:szCs w:val="26"/>
        </w:rPr>
        <w:t>2.</w:t>
      </w:r>
      <w:r w:rsidR="00ED44A2" w:rsidRPr="00EF1459">
        <w:rPr>
          <w:rFonts w:ascii="Simplified Arabic" w:hAnsi="Simplified Arabic" w:cs="Simplified Arabic"/>
          <w:sz w:val="26"/>
          <w:szCs w:val="26"/>
        </w:rPr>
        <w:t>2</w:t>
      </w:r>
      <w:r w:rsidRPr="00EF1459">
        <w:rPr>
          <w:rFonts w:ascii="Simplified Arabic" w:hAnsi="Simplified Arabic" w:cs="Simplified Arabic"/>
          <w:sz w:val="26"/>
          <w:szCs w:val="26"/>
          <w:rtl/>
        </w:rPr>
        <w:t xml:space="preserve"> مليون نسمة في قطاع غزة، وفيما يتعلق بمحافظة القدس فقد بلغ عدد السكان حوالي </w:t>
      </w:r>
      <w:r w:rsidR="00ED44A2" w:rsidRPr="00EF1459">
        <w:rPr>
          <w:rFonts w:ascii="Simplified Arabic" w:hAnsi="Simplified Arabic" w:cs="Simplified Arabic"/>
          <w:sz w:val="26"/>
          <w:szCs w:val="26"/>
          <w:rtl/>
        </w:rPr>
        <w:t>487</w:t>
      </w:r>
      <w:r w:rsidRPr="00EF1459">
        <w:rPr>
          <w:rFonts w:ascii="Simplified Arabic" w:hAnsi="Simplified Arabic" w:cs="Simplified Arabic"/>
          <w:sz w:val="26"/>
          <w:szCs w:val="26"/>
          <w:rtl/>
        </w:rPr>
        <w:t xml:space="preserve"> ألف نسمة في نهاية العام </w:t>
      </w:r>
      <w:r w:rsidR="00ED44A2" w:rsidRPr="00EF1459">
        <w:rPr>
          <w:rFonts w:ascii="Simplified Arabic" w:hAnsi="Simplified Arabic" w:cs="Simplified Arabic"/>
          <w:sz w:val="26"/>
          <w:szCs w:val="26"/>
        </w:rPr>
        <w:t>2022</w:t>
      </w:r>
      <w:r w:rsidRPr="00EF1459">
        <w:rPr>
          <w:rFonts w:ascii="Simplified Arabic" w:hAnsi="Simplified Arabic" w:cs="Simplified Arabic"/>
          <w:sz w:val="26"/>
          <w:szCs w:val="26"/>
          <w:rtl/>
        </w:rPr>
        <w:t xml:space="preserve">، منهم حوالي 65% (حوالي </w:t>
      </w:r>
      <w:r w:rsidR="00ED44A2" w:rsidRPr="00EF1459">
        <w:rPr>
          <w:rFonts w:ascii="Simplified Arabic" w:hAnsi="Simplified Arabic" w:cs="Simplified Arabic"/>
          <w:sz w:val="26"/>
          <w:szCs w:val="26"/>
        </w:rPr>
        <w:t>314</w:t>
      </w:r>
      <w:r w:rsidRPr="00EF1459">
        <w:rPr>
          <w:rFonts w:ascii="Simplified Arabic" w:hAnsi="Simplified Arabic" w:cs="Simplified Arabic"/>
          <w:sz w:val="26"/>
          <w:szCs w:val="26"/>
          <w:rtl/>
        </w:rPr>
        <w:t xml:space="preserve"> </w:t>
      </w:r>
      <w:r w:rsidR="0093410C" w:rsidRPr="00EF1459">
        <w:rPr>
          <w:rFonts w:ascii="Simplified Arabic" w:hAnsi="Simplified Arabic" w:cs="Simplified Arabic"/>
          <w:sz w:val="26"/>
          <w:szCs w:val="26"/>
          <w:rtl/>
        </w:rPr>
        <w:t>آلاف</w:t>
      </w:r>
      <w:r w:rsidRPr="00EF1459">
        <w:rPr>
          <w:rFonts w:ascii="Simplified Arabic" w:hAnsi="Simplified Arabic" w:cs="Simplified Arabic"/>
          <w:sz w:val="26"/>
          <w:szCs w:val="26"/>
          <w:rtl/>
        </w:rPr>
        <w:t xml:space="preserve"> نسمة) يقيمون في مناطق القدس (</w:t>
      </w:r>
      <w:r w:rsidRPr="00EF1459">
        <w:rPr>
          <w:rFonts w:ascii="Simplified Arabic" w:hAnsi="Simplified Arabic" w:cs="Simplified Arabic"/>
          <w:sz w:val="26"/>
          <w:szCs w:val="26"/>
        </w:rPr>
        <w:t>(J1</w:t>
      </w:r>
      <w:r w:rsidRPr="00EF1459">
        <w:rPr>
          <w:rFonts w:ascii="Simplified Arabic" w:hAnsi="Simplified Arabic" w:cs="Simplified Arabic"/>
          <w:sz w:val="26"/>
          <w:szCs w:val="26"/>
          <w:rtl/>
        </w:rPr>
        <w:t xml:space="preserve">، والتي ضمها الاحتلال الإسرائيلي إليه عنوة بعيد احتلاله للضفة الغربية عام 1967.  وبناء على هذه المعطيات فإن الفلسطينيين يشكلون </w:t>
      </w:r>
      <w:r w:rsidR="00D743AA" w:rsidRPr="00EF1459">
        <w:rPr>
          <w:rFonts w:ascii="Simplified Arabic" w:hAnsi="Simplified Arabic" w:cs="Simplified Arabic"/>
          <w:sz w:val="26"/>
          <w:szCs w:val="26"/>
        </w:rPr>
        <w:t>50.1</w:t>
      </w:r>
      <w:r w:rsidRPr="00EF1459">
        <w:rPr>
          <w:rFonts w:ascii="Simplified Arabic" w:hAnsi="Simplified Arabic" w:cs="Simplified Arabic"/>
          <w:sz w:val="26"/>
          <w:szCs w:val="26"/>
          <w:rtl/>
        </w:rPr>
        <w:t xml:space="preserve">% من السكان المقيمين في فلسطين التاريخية، فيما يشكل اليهود ما نسبته </w:t>
      </w:r>
      <w:r w:rsidR="00ED44A2" w:rsidRPr="00EF1459">
        <w:rPr>
          <w:rFonts w:ascii="Simplified Arabic" w:hAnsi="Simplified Arabic" w:cs="Simplified Arabic"/>
          <w:sz w:val="26"/>
          <w:szCs w:val="26"/>
          <w:rtl/>
        </w:rPr>
        <w:t>49.</w:t>
      </w:r>
      <w:r w:rsidR="00D743AA" w:rsidRPr="00EF1459">
        <w:rPr>
          <w:rFonts w:ascii="Simplified Arabic" w:hAnsi="Simplified Arabic" w:cs="Simplified Arabic"/>
          <w:sz w:val="26"/>
          <w:szCs w:val="26"/>
          <w:rtl/>
        </w:rPr>
        <w:t>9</w:t>
      </w:r>
      <w:r w:rsidRPr="00EF1459">
        <w:rPr>
          <w:rFonts w:ascii="Simplified Arabic" w:hAnsi="Simplified Arabic" w:cs="Simplified Arabic"/>
          <w:sz w:val="26"/>
          <w:szCs w:val="26"/>
          <w:rtl/>
        </w:rPr>
        <w:t xml:space="preserve">% من مجموع السكان ويستغلون أكثر من 85% من المساحة الكلية لفلسطين </w:t>
      </w:r>
      <w:r w:rsidR="00CA5358" w:rsidRPr="00EF1459">
        <w:rPr>
          <w:rFonts w:ascii="Simplified Arabic" w:hAnsi="Simplified Arabic" w:cs="Simplified Arabic"/>
          <w:sz w:val="26"/>
          <w:szCs w:val="26"/>
          <w:rtl/>
        </w:rPr>
        <w:t>التاريخية (البالغة 27,000 كم</w:t>
      </w:r>
      <w:r w:rsidR="00CA5358" w:rsidRPr="00EF1459">
        <w:rPr>
          <w:rFonts w:ascii="Simplified Arabic" w:hAnsi="Simplified Arabic" w:cs="Simplified Arabic"/>
          <w:sz w:val="26"/>
          <w:szCs w:val="26"/>
          <w:vertAlign w:val="superscript"/>
          <w:rtl/>
        </w:rPr>
        <w:t>2</w:t>
      </w:r>
      <w:r w:rsidR="00703A2F" w:rsidRPr="00EF1459">
        <w:rPr>
          <w:rFonts w:ascii="Simplified Arabic" w:hAnsi="Simplified Arabic" w:cs="Simplified Arabic"/>
          <w:sz w:val="26"/>
          <w:szCs w:val="26"/>
          <w:rtl/>
        </w:rPr>
        <w:t>).</w:t>
      </w:r>
    </w:p>
    <w:p w:rsidR="00AD1EBA" w:rsidRPr="00A54E85" w:rsidRDefault="00AD1EBA" w:rsidP="00AD1EBA">
      <w:pPr>
        <w:pStyle w:val="NormalWeb"/>
        <w:bidi/>
        <w:spacing w:before="0" w:beforeAutospacing="0" w:after="0" w:afterAutospacing="0"/>
        <w:jc w:val="center"/>
        <w:rPr>
          <w:rFonts w:ascii="Times New Roman" w:hAnsi="Times New Roman" w:cs="Simplified Arabic"/>
          <w:b/>
          <w:bCs/>
          <w:rtl/>
        </w:rPr>
      </w:pPr>
    </w:p>
    <w:p w:rsidR="00AD1EBA" w:rsidRPr="00EF1459" w:rsidRDefault="00AD1EBA" w:rsidP="00FA6ABD">
      <w:pPr>
        <w:pStyle w:val="NormalWeb"/>
        <w:bidi/>
        <w:spacing w:before="0" w:beforeAutospacing="0" w:after="0" w:afterAutospacing="0"/>
        <w:jc w:val="center"/>
        <w:rPr>
          <w:rFonts w:ascii="Times New Roman" w:hAnsi="Times New Roman" w:cs="Simplified Arabic"/>
          <w:b/>
          <w:bCs/>
          <w:strike/>
          <w:sz w:val="28"/>
          <w:szCs w:val="28"/>
          <w:rtl/>
        </w:rPr>
      </w:pPr>
      <w:r w:rsidRPr="00EF1459">
        <w:rPr>
          <w:rFonts w:ascii="Times New Roman" w:hAnsi="Times New Roman" w:cs="Simplified Arabic" w:hint="cs"/>
          <w:b/>
          <w:bCs/>
          <w:sz w:val="28"/>
          <w:szCs w:val="28"/>
          <w:rtl/>
        </w:rPr>
        <w:t>نسبة الفلسطينيين واليهود في فلسطين التاريخية، سنوات مختارة</w:t>
      </w:r>
    </w:p>
    <w:p w:rsidR="00AD1EBA" w:rsidRPr="00A54E85" w:rsidRDefault="00AD1EBA" w:rsidP="00AD1EBA">
      <w:pPr>
        <w:pStyle w:val="NormalWeb"/>
        <w:bidi/>
        <w:jc w:val="center"/>
        <w:rPr>
          <w:rFonts w:ascii="Times New Roman" w:hAnsi="Times New Roman" w:cs="Simplified Arabic"/>
          <w:strike/>
          <w:rtl/>
        </w:rPr>
      </w:pPr>
      <w:r w:rsidRPr="00A54E85">
        <w:rPr>
          <w:rFonts w:ascii="Times New Roman" w:hAnsi="Times New Roman" w:cs="Simplified Arabic" w:hint="cs"/>
          <w:strike/>
          <w:noProof/>
          <w:rtl/>
          <w:lang w:eastAsia="en-US"/>
        </w:rPr>
        <w:drawing>
          <wp:inline distT="0" distB="0" distL="0" distR="0" wp14:anchorId="1CA7A461" wp14:editId="6659F0EE">
            <wp:extent cx="5495676" cy="2361537"/>
            <wp:effectExtent l="19050" t="0" r="9774" b="663"/>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F3330" w:rsidRPr="00EF1459" w:rsidRDefault="005F3330" w:rsidP="005F3330">
      <w:pPr>
        <w:rPr>
          <w:rFonts w:ascii="Simplified Arabic" w:hAnsi="Simplified Arabic" w:cs="Simplified Arabic"/>
          <w:b/>
          <w:bCs/>
          <w:sz w:val="28"/>
          <w:szCs w:val="28"/>
          <w:rtl/>
        </w:rPr>
      </w:pPr>
      <w:r w:rsidRPr="00EF1459">
        <w:rPr>
          <w:rFonts w:ascii="Simplified Arabic" w:hAnsi="Simplified Arabic" w:cs="Simplified Arabic"/>
          <w:b/>
          <w:bCs/>
          <w:sz w:val="28"/>
          <w:szCs w:val="28"/>
          <w:rtl/>
        </w:rPr>
        <w:t>واقع اللاجئين الفلسطينيين</w:t>
      </w:r>
    </w:p>
    <w:p w:rsidR="005F3330" w:rsidRPr="00EF1459" w:rsidRDefault="005F3330" w:rsidP="009D2562">
      <w:pPr>
        <w:jc w:val="lowKashida"/>
        <w:rPr>
          <w:rFonts w:ascii="Simplified Arabic" w:hAnsi="Simplified Arabic" w:cs="Simplified Arabic"/>
          <w:sz w:val="26"/>
          <w:szCs w:val="26"/>
        </w:rPr>
      </w:pPr>
      <w:r w:rsidRPr="00EF1459">
        <w:rPr>
          <w:rFonts w:ascii="Simplified Arabic" w:hAnsi="Simplified Arabic" w:cs="Simplified Arabic"/>
          <w:sz w:val="26"/>
          <w:szCs w:val="26"/>
          <w:rtl/>
        </w:rPr>
        <w:t xml:space="preserve">أشارت سجلات وكالة غوث وتشغيل اللاجئين الفلسطينيين (الأونروا) الى أن عدد اللاجئين المسجلين وذلك في كانون اول 2020، حوالي </w:t>
      </w:r>
      <w:r w:rsidRPr="00EF1459">
        <w:rPr>
          <w:rFonts w:ascii="Simplified Arabic" w:hAnsi="Simplified Arabic" w:cs="Simplified Arabic"/>
          <w:sz w:val="26"/>
          <w:szCs w:val="26"/>
        </w:rPr>
        <w:t>6.4</w:t>
      </w:r>
      <w:r w:rsidRPr="00EF1459">
        <w:rPr>
          <w:rFonts w:ascii="Simplified Arabic" w:hAnsi="Simplified Arabic" w:cs="Simplified Arabic"/>
          <w:sz w:val="26"/>
          <w:szCs w:val="26"/>
          <w:rtl/>
        </w:rPr>
        <w:t xml:space="preserve"> مليون لاجئ فلسطيني</w:t>
      </w:r>
      <w:r w:rsidR="00B825A7" w:rsidRPr="00EF1459">
        <w:rPr>
          <w:rFonts w:ascii="Simplified Arabic" w:hAnsi="Simplified Arabic" w:cs="Simplified Arabic"/>
          <w:sz w:val="26"/>
          <w:szCs w:val="26"/>
          <w:rtl/>
        </w:rPr>
        <w:t xml:space="preserve"> منهم نحو 2 مليون في الضفة</w:t>
      </w:r>
      <w:r w:rsidR="001C0621" w:rsidRPr="00EF1459">
        <w:rPr>
          <w:rFonts w:ascii="Simplified Arabic" w:hAnsi="Simplified Arabic" w:cs="Simplified Arabic"/>
          <w:sz w:val="26"/>
          <w:szCs w:val="26"/>
          <w:rtl/>
        </w:rPr>
        <w:t xml:space="preserve"> الغربية وقطاع</w:t>
      </w:r>
      <w:r w:rsidR="00B825A7" w:rsidRPr="00EF1459">
        <w:rPr>
          <w:rFonts w:ascii="Simplified Arabic" w:hAnsi="Simplified Arabic" w:cs="Simplified Arabic"/>
          <w:sz w:val="26"/>
          <w:szCs w:val="26"/>
          <w:rtl/>
        </w:rPr>
        <w:t xml:space="preserve"> غزة</w:t>
      </w:r>
      <w:r w:rsidR="009D2562" w:rsidRPr="00EF1459">
        <w:rPr>
          <w:rFonts w:ascii="Simplified Arabic" w:hAnsi="Simplified Arabic" w:cs="Simplified Arabic"/>
          <w:sz w:val="26"/>
          <w:szCs w:val="26"/>
        </w:rPr>
        <w:t>.</w:t>
      </w:r>
      <w:r w:rsidR="009D2562" w:rsidRPr="00EF1459">
        <w:rPr>
          <w:rFonts w:ascii="Simplified Arabic" w:hAnsi="Simplified Arabic" w:cs="Simplified Arabic"/>
          <w:sz w:val="26"/>
          <w:szCs w:val="26"/>
          <w:rtl/>
        </w:rPr>
        <w:t xml:space="preserve">  حوالي 28.4% من اللاجئين المسجلين لدى الوكالة (الأونروا) ي</w:t>
      </w:r>
      <w:r w:rsidRPr="00EF1459">
        <w:rPr>
          <w:rFonts w:ascii="Simplified Arabic" w:hAnsi="Simplified Arabic" w:cs="Simplified Arabic"/>
          <w:sz w:val="26"/>
          <w:szCs w:val="26"/>
          <w:rtl/>
        </w:rPr>
        <w:t>عيش</w:t>
      </w:r>
      <w:r w:rsidR="009D2562" w:rsidRPr="00EF1459">
        <w:rPr>
          <w:rFonts w:ascii="Simplified Arabic" w:hAnsi="Simplified Arabic" w:cs="Simplified Arabic"/>
          <w:sz w:val="26"/>
          <w:szCs w:val="26"/>
          <w:rtl/>
        </w:rPr>
        <w:t>ون</w:t>
      </w:r>
      <w:r w:rsidRPr="00EF1459">
        <w:rPr>
          <w:rFonts w:ascii="Simplified Arabic" w:hAnsi="Simplified Arabic" w:cs="Simplified Arabic"/>
          <w:sz w:val="26"/>
          <w:szCs w:val="26"/>
          <w:rtl/>
        </w:rPr>
        <w:t xml:space="preserve"> في 58 مخيماً رسمياً تابعاً لوكالة الغوث الدولية تتوزع بواقع</w:t>
      </w:r>
      <w:r w:rsidR="005A4B1A">
        <w:rPr>
          <w:rFonts w:ascii="Simplified Arabic" w:hAnsi="Simplified Arabic" w:cs="Simplified Arabic" w:hint="cs"/>
          <w:sz w:val="26"/>
          <w:szCs w:val="26"/>
          <w:rtl/>
        </w:rPr>
        <w:t xml:space="preserve">           </w:t>
      </w:r>
      <w:r w:rsidRPr="00EF1459">
        <w:rPr>
          <w:rFonts w:ascii="Simplified Arabic" w:hAnsi="Simplified Arabic" w:cs="Simplified Arabic"/>
          <w:sz w:val="26"/>
          <w:szCs w:val="26"/>
          <w:rtl/>
        </w:rPr>
        <w:t xml:space="preserve"> 10 مخيمات في الأردن، و9 مخيمات في سوريا، و12 مخيماً في لبنان، و19 مخيماً في الضفة الغربية، و8 مخيمات في قطاع غزة.  وتمثل هذه التقديرات الحد الأدنى لعدد اللاجئين الفلسطينيين باعتبار وجود لاجئين غير مسجلين، إذ لا يشمل هذا العدد من تم تشريدهم من الفلسطينيين بعد عام 1949 حتى عشية حرب حزيران 1967 "حسب تعريف الأونروا" ولا يشمل أيضا الفلسطينيين الذين رحلوا أو تم ترحيلهم عام 1967 على خلفية الحرب والذين لم يكونوا لاجئين أصلا.  </w:t>
      </w:r>
    </w:p>
    <w:p w:rsidR="005F3330" w:rsidRPr="00EF1459" w:rsidRDefault="005F3330" w:rsidP="005F3330">
      <w:pPr>
        <w:pStyle w:val="NormalWeb"/>
        <w:bidi/>
        <w:spacing w:before="0" w:beforeAutospacing="0" w:after="0" w:afterAutospacing="0"/>
        <w:jc w:val="both"/>
        <w:rPr>
          <w:rFonts w:ascii="Simplified Arabic" w:hAnsi="Simplified Arabic" w:cs="Simplified Arabic"/>
          <w:sz w:val="10"/>
          <w:szCs w:val="10"/>
          <w:rtl/>
        </w:rPr>
      </w:pPr>
    </w:p>
    <w:p w:rsidR="00CA5358" w:rsidRPr="00EF1459" w:rsidRDefault="00CA5358" w:rsidP="00CA5358">
      <w:pPr>
        <w:tabs>
          <w:tab w:val="left" w:pos="8334"/>
        </w:tabs>
        <w:rPr>
          <w:rFonts w:ascii="Simplified Arabic" w:hAnsi="Simplified Arabic" w:cs="Simplified Arabic"/>
          <w:b/>
          <w:bCs/>
          <w:sz w:val="28"/>
          <w:szCs w:val="28"/>
          <w:rtl/>
        </w:rPr>
      </w:pPr>
      <w:r w:rsidRPr="00EF1459">
        <w:rPr>
          <w:rFonts w:ascii="Simplified Arabic" w:hAnsi="Simplified Arabic" w:cs="Simplified Arabic"/>
          <w:b/>
          <w:bCs/>
          <w:sz w:val="28"/>
          <w:szCs w:val="28"/>
          <w:rtl/>
        </w:rPr>
        <w:t>نكبة فلسطين حولت قطاع غزة إلى أكثر بقاع العالم اكتظاظاً بالسكان</w:t>
      </w:r>
    </w:p>
    <w:p w:rsidR="005F3330" w:rsidRPr="00EF1459" w:rsidRDefault="005F3330" w:rsidP="00B419CF">
      <w:pPr>
        <w:jc w:val="lowKashida"/>
        <w:rPr>
          <w:rFonts w:ascii="Simplified Arabic" w:hAnsi="Simplified Arabic" w:cs="Simplified Arabic"/>
          <w:b/>
          <w:bCs/>
          <w:sz w:val="26"/>
          <w:szCs w:val="26"/>
          <w:rtl/>
        </w:rPr>
      </w:pPr>
      <w:r w:rsidRPr="00EF1459">
        <w:rPr>
          <w:rFonts w:ascii="Simplified Arabic" w:hAnsi="Simplified Arabic" w:cs="Simplified Arabic"/>
          <w:sz w:val="26"/>
          <w:szCs w:val="26"/>
          <w:rtl/>
        </w:rPr>
        <w:t xml:space="preserve">بلغت الكثافة السكانية في دولة فلسطين في نهاية العام </w:t>
      </w:r>
      <w:r w:rsidR="00B419CF" w:rsidRPr="00EF1459">
        <w:rPr>
          <w:rFonts w:ascii="Simplified Arabic" w:hAnsi="Simplified Arabic" w:cs="Simplified Arabic"/>
          <w:sz w:val="26"/>
          <w:szCs w:val="26"/>
        </w:rPr>
        <w:t>2022</w:t>
      </w:r>
      <w:r w:rsidRPr="00EF1459">
        <w:rPr>
          <w:rFonts w:ascii="Simplified Arabic" w:hAnsi="Simplified Arabic" w:cs="Simplified Arabic"/>
          <w:sz w:val="26"/>
          <w:szCs w:val="26"/>
          <w:rtl/>
        </w:rPr>
        <w:t xml:space="preserve"> حوالي </w:t>
      </w:r>
      <w:r w:rsidR="00B419CF" w:rsidRPr="00EF1459">
        <w:rPr>
          <w:rFonts w:ascii="Simplified Arabic" w:hAnsi="Simplified Arabic" w:cs="Simplified Arabic"/>
          <w:sz w:val="26"/>
          <w:szCs w:val="26"/>
          <w:rtl/>
        </w:rPr>
        <w:t>899</w:t>
      </w:r>
      <w:r w:rsidRPr="00EF1459">
        <w:rPr>
          <w:rFonts w:ascii="Simplified Arabic" w:hAnsi="Simplified Arabic" w:cs="Simplified Arabic"/>
          <w:sz w:val="26"/>
          <w:szCs w:val="26"/>
          <w:rtl/>
        </w:rPr>
        <w:t xml:space="preserve"> فرد/ كم</w:t>
      </w:r>
      <w:r w:rsidRPr="00EF1459">
        <w:rPr>
          <w:rFonts w:ascii="Simplified Arabic" w:hAnsi="Simplified Arabic" w:cs="Simplified Arabic"/>
          <w:sz w:val="26"/>
          <w:szCs w:val="26"/>
          <w:vertAlign w:val="superscript"/>
          <w:rtl/>
        </w:rPr>
        <w:t>2</w:t>
      </w:r>
      <w:r w:rsidRPr="00EF1459">
        <w:rPr>
          <w:rFonts w:ascii="Simplified Arabic" w:hAnsi="Simplified Arabic" w:cs="Simplified Arabic"/>
          <w:sz w:val="26"/>
          <w:szCs w:val="26"/>
          <w:rtl/>
        </w:rPr>
        <w:t xml:space="preserve"> بواقع </w:t>
      </w:r>
      <w:r w:rsidR="00B419CF" w:rsidRPr="00EF1459">
        <w:rPr>
          <w:rFonts w:ascii="Simplified Arabic" w:hAnsi="Simplified Arabic" w:cs="Simplified Arabic"/>
          <w:sz w:val="26"/>
          <w:szCs w:val="26"/>
          <w:rtl/>
        </w:rPr>
        <w:t>569</w:t>
      </w:r>
      <w:r w:rsidRPr="00EF1459">
        <w:rPr>
          <w:rFonts w:ascii="Simplified Arabic" w:hAnsi="Simplified Arabic" w:cs="Simplified Arabic"/>
          <w:sz w:val="26"/>
          <w:szCs w:val="26"/>
          <w:rtl/>
        </w:rPr>
        <w:t xml:space="preserve"> فرد/كم</w:t>
      </w:r>
      <w:r w:rsidRPr="00EF1459">
        <w:rPr>
          <w:rFonts w:ascii="Simplified Arabic" w:hAnsi="Simplified Arabic" w:cs="Simplified Arabic"/>
          <w:sz w:val="26"/>
          <w:szCs w:val="26"/>
          <w:vertAlign w:val="superscript"/>
          <w:rtl/>
        </w:rPr>
        <w:t>2</w:t>
      </w:r>
      <w:r w:rsidRPr="00EF1459">
        <w:rPr>
          <w:rFonts w:ascii="Simplified Arabic" w:hAnsi="Simplified Arabic" w:cs="Simplified Arabic"/>
          <w:sz w:val="26"/>
          <w:szCs w:val="26"/>
          <w:rtl/>
        </w:rPr>
        <w:t xml:space="preserve"> في الضفة الغربية </w:t>
      </w:r>
      <w:r w:rsidR="00B419CF" w:rsidRPr="00EF1459">
        <w:rPr>
          <w:rFonts w:ascii="Simplified Arabic" w:hAnsi="Simplified Arabic" w:cs="Simplified Arabic"/>
          <w:sz w:val="26"/>
          <w:szCs w:val="26"/>
          <w:rtl/>
        </w:rPr>
        <w:t xml:space="preserve">و </w:t>
      </w:r>
      <w:r w:rsidR="00B419CF" w:rsidRPr="00EF1459">
        <w:rPr>
          <w:rFonts w:ascii="Simplified Arabic" w:hAnsi="Simplified Arabic" w:cs="Simplified Arabic"/>
          <w:sz w:val="26"/>
          <w:szCs w:val="26"/>
        </w:rPr>
        <w:t>6,019</w:t>
      </w:r>
      <w:r w:rsidRPr="00EF1459">
        <w:rPr>
          <w:rFonts w:ascii="Simplified Arabic" w:hAnsi="Simplified Arabic" w:cs="Simplified Arabic"/>
          <w:sz w:val="26"/>
          <w:szCs w:val="26"/>
          <w:rtl/>
        </w:rPr>
        <w:t xml:space="preserve"> فرد/كم</w:t>
      </w:r>
      <w:r w:rsidRPr="00EF1459">
        <w:rPr>
          <w:rFonts w:ascii="Simplified Arabic" w:hAnsi="Simplified Arabic" w:cs="Simplified Arabic"/>
          <w:sz w:val="26"/>
          <w:szCs w:val="26"/>
          <w:vertAlign w:val="superscript"/>
          <w:rtl/>
        </w:rPr>
        <w:t>2</w:t>
      </w:r>
      <w:r w:rsidRPr="00EF1459">
        <w:rPr>
          <w:rFonts w:ascii="Simplified Arabic" w:hAnsi="Simplified Arabic" w:cs="Simplified Arabic"/>
          <w:sz w:val="26"/>
          <w:szCs w:val="26"/>
          <w:rtl/>
        </w:rPr>
        <w:t xml:space="preserve"> في قطاع غزة، علماً بأن 66% من سكان قطاع غزة هم من اللاجئين، بحيث تسبب تدفق اللاجئين الى تحويل قطاع غزة لأكثر بقاع العالم اكتظاظاً بالسكان،  ويشار إلى أن الاحتلال الإسرائيلي اقام منطقة </w:t>
      </w:r>
      <w:r w:rsidRPr="00EF1459">
        <w:rPr>
          <w:rFonts w:ascii="Simplified Arabic" w:hAnsi="Simplified Arabic" w:cs="Simplified Arabic"/>
          <w:sz w:val="26"/>
          <w:szCs w:val="26"/>
          <w:rtl/>
        </w:rPr>
        <w:lastRenderedPageBreak/>
        <w:t xml:space="preserve">عازلة على طول الشريط الحدودي لقطاع غزة بعرض يزيد عن 1,500 م على طول الحدود الشرقية للقطاع وبهذا يسيطر الاحتلال الإسرائيلي على حوالي 24% من مساحة القطاع البالغة 365 كم²، </w:t>
      </w:r>
      <w:r w:rsidR="00935569" w:rsidRPr="00EF1459">
        <w:rPr>
          <w:rFonts w:ascii="Simplified Arabic" w:hAnsi="Simplified Arabic" w:cs="Simplified Arabic"/>
          <w:sz w:val="26"/>
          <w:szCs w:val="26"/>
          <w:rtl/>
        </w:rPr>
        <w:t xml:space="preserve">مما ساهم بارتفاع حاد بمعدل البطالة في قطاع غزة حيث بلغت 47%، ويتبين أن معدلات البطالة السائدة كانت الأعلى بين الشباب للفئة العمرية 15-24 سنة بواقع 69% </w:t>
      </w:r>
      <w:r w:rsidR="00935569" w:rsidRPr="00EF1459">
        <w:rPr>
          <w:rFonts w:ascii="Simplified Arabic" w:hAnsi="Simplified Arabic" w:cs="Simplified Arabic"/>
          <w:sz w:val="26"/>
          <w:szCs w:val="26"/>
          <w:rtl/>
          <w:lang w:bidi="ar-JO"/>
        </w:rPr>
        <w:t>للعام 2021</w:t>
      </w:r>
      <w:r w:rsidR="00935569" w:rsidRPr="00EF1459">
        <w:rPr>
          <w:rFonts w:ascii="Simplified Arabic" w:hAnsi="Simplified Arabic" w:cs="Simplified Arabic"/>
          <w:sz w:val="26"/>
          <w:szCs w:val="26"/>
          <w:rtl/>
        </w:rPr>
        <w:t xml:space="preserve">، هذا بدوره ساهم بتفاقم وضعف الواقع الاقتصادي في قطاع غزة، مما </w:t>
      </w:r>
      <w:r w:rsidRPr="00EF1459">
        <w:rPr>
          <w:rFonts w:ascii="Simplified Arabic" w:hAnsi="Simplified Arabic" w:cs="Simplified Arabic"/>
          <w:sz w:val="26"/>
          <w:szCs w:val="26"/>
          <w:rtl/>
        </w:rPr>
        <w:t>حوّل ما يزيد عن نصف السكان في قطاع غزة الى فقراء، حيث بلغت نسبة الفقر في العام 2017 في قطاع غزة 53%.</w:t>
      </w:r>
    </w:p>
    <w:p w:rsidR="00642AAB" w:rsidRPr="00EF1459" w:rsidRDefault="00642AAB" w:rsidP="00F42DBC">
      <w:pPr>
        <w:ind w:left="60"/>
        <w:rPr>
          <w:rFonts w:ascii="Simplified Arabic" w:hAnsi="Simplified Arabic" w:cs="Simplified Arabic"/>
          <w:b/>
          <w:bCs/>
          <w:sz w:val="10"/>
          <w:szCs w:val="10"/>
          <w:rtl/>
        </w:rPr>
      </w:pPr>
    </w:p>
    <w:p w:rsidR="00186773" w:rsidRPr="00EF1459" w:rsidRDefault="00186773" w:rsidP="00F42DBC">
      <w:pPr>
        <w:ind w:left="60"/>
        <w:rPr>
          <w:rFonts w:ascii="Simplified Arabic" w:hAnsi="Simplified Arabic" w:cs="Simplified Arabic"/>
          <w:b/>
          <w:bCs/>
          <w:sz w:val="28"/>
          <w:szCs w:val="28"/>
          <w:rtl/>
        </w:rPr>
      </w:pPr>
      <w:r w:rsidRPr="00EF1459">
        <w:rPr>
          <w:rFonts w:ascii="Simplified Arabic" w:hAnsi="Simplified Arabic" w:cs="Simplified Arabic"/>
          <w:b/>
          <w:bCs/>
          <w:sz w:val="28"/>
          <w:szCs w:val="28"/>
          <w:rtl/>
        </w:rPr>
        <w:t>ما يزيد عن مائة ألف استشهدوا دفاعا عن الحق الفلسطيني منذ نكبة 1948</w:t>
      </w:r>
    </w:p>
    <w:p w:rsidR="00281497" w:rsidRPr="00EF1459" w:rsidRDefault="00300847" w:rsidP="00A42ADE">
      <w:pPr>
        <w:pStyle w:val="NormalWeb"/>
        <w:shd w:val="clear" w:color="auto" w:fill="FFFFFF"/>
        <w:bidi/>
        <w:spacing w:before="0" w:beforeAutospacing="0" w:after="0" w:afterAutospacing="0"/>
        <w:jc w:val="both"/>
        <w:rPr>
          <w:rFonts w:ascii="Simplified Arabic" w:hAnsi="Simplified Arabic" w:cs="Simplified Arabic"/>
          <w:sz w:val="26"/>
          <w:szCs w:val="26"/>
          <w:rtl/>
          <w:lang w:bidi="ar-JO"/>
        </w:rPr>
      </w:pPr>
      <w:r w:rsidRPr="00EF1459">
        <w:rPr>
          <w:rFonts w:ascii="Simplified Arabic" w:hAnsi="Simplified Arabic" w:cs="Simplified Arabic"/>
          <w:sz w:val="26"/>
          <w:szCs w:val="26"/>
          <w:rtl/>
        </w:rPr>
        <w:t>بلغ عدد الشهداء الفلسطينيين والعرب منذ النكبة عام 1948 وحتى اليوم (داخل وخارج فلسطين) نحو مائة ألف شهيد، فيما بلغ عدد الشهداء منذ بداية انتفاضة الأقصى وحتى 31/12/2022 حوالي 11,540 شهيداً، ويشار إلى أن العام 2014 كان أكثر الأعوام دموية حيث سقط 2,240 شهيداً منهم 2,181 استشهدوا في قطاع غزة غالبيتهم استشهدوا خلال العدوان على قطاع غزة، أما خلال العام 2022 فقد بلغ عدد الشهداء في فلسطين 231 شهيداً منهم 56 شهيداً من الأطفال و17 سيدة، فيما بلغ عدد الجرحى نحو 10 الاف جريح</w:t>
      </w:r>
      <w:r w:rsidR="002C699C" w:rsidRPr="00EF1459">
        <w:rPr>
          <w:rFonts w:ascii="Simplified Arabic" w:hAnsi="Simplified Arabic" w:cs="Simplified Arabic"/>
          <w:sz w:val="26"/>
          <w:szCs w:val="26"/>
          <w:rtl/>
          <w:lang w:bidi="ar-JO"/>
        </w:rPr>
        <w:t>.</w:t>
      </w:r>
    </w:p>
    <w:p w:rsidR="00300847" w:rsidRPr="00EF1459" w:rsidRDefault="00300847" w:rsidP="00C85B29">
      <w:pPr>
        <w:rPr>
          <w:rFonts w:ascii="Simplified Arabic" w:hAnsi="Simplified Arabic" w:cs="Simplified Arabic"/>
          <w:b/>
          <w:bCs/>
          <w:sz w:val="10"/>
          <w:szCs w:val="10"/>
          <w:rtl/>
        </w:rPr>
      </w:pPr>
    </w:p>
    <w:p w:rsidR="00C85B29" w:rsidRPr="00EF1459" w:rsidRDefault="009718DD" w:rsidP="00C85B29">
      <w:pPr>
        <w:rPr>
          <w:rFonts w:ascii="Simplified Arabic" w:hAnsi="Simplified Arabic" w:cs="Simplified Arabic"/>
          <w:b/>
          <w:bCs/>
          <w:sz w:val="28"/>
          <w:szCs w:val="28"/>
          <w:rtl/>
        </w:rPr>
      </w:pPr>
      <w:r w:rsidRPr="00EF1459">
        <w:rPr>
          <w:rFonts w:ascii="Simplified Arabic" w:hAnsi="Simplified Arabic" w:cs="Simplified Arabic"/>
          <w:b/>
          <w:bCs/>
          <w:sz w:val="28"/>
          <w:szCs w:val="28"/>
          <w:rtl/>
        </w:rPr>
        <w:t>أكثر من</w:t>
      </w:r>
      <w:r w:rsidR="00142AC1" w:rsidRPr="00EF1459">
        <w:rPr>
          <w:rFonts w:ascii="Simplified Arabic" w:hAnsi="Simplified Arabic" w:cs="Simplified Arabic"/>
          <w:b/>
          <w:bCs/>
          <w:sz w:val="28"/>
          <w:szCs w:val="28"/>
          <w:rtl/>
        </w:rPr>
        <w:t xml:space="preserve"> مليون حالة اعتقال منذ العام 1967</w:t>
      </w:r>
      <w:r w:rsidR="00C85B29" w:rsidRPr="00EF1459">
        <w:rPr>
          <w:rFonts w:ascii="Simplified Arabic" w:hAnsi="Simplified Arabic" w:cs="Simplified Arabic"/>
          <w:b/>
          <w:bCs/>
          <w:sz w:val="28"/>
          <w:szCs w:val="28"/>
          <w:rtl/>
        </w:rPr>
        <w:t xml:space="preserve"> </w:t>
      </w:r>
    </w:p>
    <w:p w:rsidR="00142AC1" w:rsidRPr="00EF1459" w:rsidRDefault="00195964" w:rsidP="00C85B29">
      <w:pPr>
        <w:rPr>
          <w:rFonts w:ascii="Simplified Arabic" w:hAnsi="Simplified Arabic" w:cs="Simplified Arabic"/>
          <w:b/>
          <w:bCs/>
          <w:sz w:val="28"/>
          <w:szCs w:val="28"/>
          <w:rtl/>
        </w:rPr>
      </w:pPr>
      <w:r w:rsidRPr="00EF1459">
        <w:rPr>
          <w:rFonts w:ascii="Simplified Arabic" w:hAnsi="Simplified Arabic" w:cs="Simplified Arabic"/>
          <w:b/>
          <w:bCs/>
          <w:sz w:val="28"/>
          <w:szCs w:val="28"/>
          <w:rtl/>
        </w:rPr>
        <w:t>25</w:t>
      </w:r>
      <w:r w:rsidR="00C85B29" w:rsidRPr="00EF1459">
        <w:rPr>
          <w:rFonts w:ascii="Simplified Arabic" w:hAnsi="Simplified Arabic" w:cs="Simplified Arabic"/>
          <w:b/>
          <w:bCs/>
          <w:sz w:val="28"/>
          <w:szCs w:val="28"/>
          <w:rtl/>
        </w:rPr>
        <w:t xml:space="preserve"> أسيراً أمضوا في سجون </w:t>
      </w:r>
      <w:r w:rsidR="00D61E3E" w:rsidRPr="00EF1459">
        <w:rPr>
          <w:rFonts w:ascii="Simplified Arabic" w:hAnsi="Simplified Arabic" w:cs="Simplified Arabic"/>
          <w:b/>
          <w:bCs/>
          <w:sz w:val="28"/>
          <w:szCs w:val="28"/>
          <w:rtl/>
        </w:rPr>
        <w:t>الاحتلال</w:t>
      </w:r>
      <w:r w:rsidR="00C85B29" w:rsidRPr="00EF1459">
        <w:rPr>
          <w:rFonts w:ascii="Simplified Arabic" w:hAnsi="Simplified Arabic" w:cs="Simplified Arabic"/>
          <w:b/>
          <w:bCs/>
          <w:sz w:val="28"/>
          <w:szCs w:val="28"/>
          <w:rtl/>
        </w:rPr>
        <w:t xml:space="preserve"> ما يزيد على ربع قرن</w:t>
      </w:r>
    </w:p>
    <w:p w:rsidR="00FF5BDC" w:rsidRPr="00EF1459" w:rsidRDefault="00563E03" w:rsidP="00DF4D95">
      <w:pPr>
        <w:pStyle w:val="NormalWeb"/>
        <w:shd w:val="clear" w:color="auto" w:fill="FFFFFF"/>
        <w:bidi/>
        <w:spacing w:before="0" w:beforeAutospacing="0" w:after="0" w:afterAutospacing="0"/>
        <w:jc w:val="both"/>
        <w:rPr>
          <w:rFonts w:ascii="Simplified Arabic" w:hAnsi="Simplified Arabic" w:cs="Simplified Arabic"/>
          <w:sz w:val="26"/>
          <w:szCs w:val="26"/>
          <w:rtl/>
        </w:rPr>
      </w:pPr>
      <w:r w:rsidRPr="00EF1459">
        <w:rPr>
          <w:rFonts w:ascii="Simplified Arabic" w:hAnsi="Simplified Arabic" w:cs="Simplified Arabic"/>
          <w:sz w:val="26"/>
          <w:szCs w:val="26"/>
          <w:rtl/>
        </w:rPr>
        <w:t xml:space="preserve">بلغ عدد الأسرى في سجون الاحتلال الاسرائيلي </w:t>
      </w:r>
      <w:r w:rsidR="00195964" w:rsidRPr="00EF1459">
        <w:rPr>
          <w:rFonts w:ascii="Simplified Arabic" w:hAnsi="Simplified Arabic" w:cs="Simplified Arabic"/>
          <w:sz w:val="26"/>
          <w:szCs w:val="26"/>
        </w:rPr>
        <w:t>4,</w:t>
      </w:r>
      <w:r w:rsidR="003E0AB7" w:rsidRPr="00EF1459">
        <w:rPr>
          <w:rFonts w:ascii="Simplified Arabic" w:hAnsi="Simplified Arabic" w:cs="Simplified Arabic"/>
          <w:sz w:val="26"/>
          <w:szCs w:val="26"/>
        </w:rPr>
        <w:t>900</w:t>
      </w:r>
      <w:r w:rsidR="00FF5BDC" w:rsidRPr="00EF1459">
        <w:rPr>
          <w:rFonts w:ascii="Simplified Arabic" w:hAnsi="Simplified Arabic" w:cs="Simplified Arabic"/>
          <w:sz w:val="26"/>
          <w:szCs w:val="26"/>
          <w:rtl/>
        </w:rPr>
        <w:t xml:space="preserve"> أسيراً </w:t>
      </w:r>
      <w:r w:rsidR="00195964" w:rsidRPr="00EF1459">
        <w:rPr>
          <w:rFonts w:ascii="Simplified Arabic" w:hAnsi="Simplified Arabic" w:cs="Simplified Arabic"/>
          <w:sz w:val="26"/>
          <w:szCs w:val="26"/>
          <w:rtl/>
        </w:rPr>
        <w:t xml:space="preserve">حتى </w:t>
      </w:r>
      <w:r w:rsidR="00300847" w:rsidRPr="00EF1459">
        <w:rPr>
          <w:rFonts w:ascii="Simplified Arabic" w:hAnsi="Simplified Arabic" w:cs="Simplified Arabic"/>
          <w:sz w:val="26"/>
          <w:szCs w:val="26"/>
          <w:rtl/>
        </w:rPr>
        <w:t>نيسان</w:t>
      </w:r>
      <w:r w:rsidR="00195964" w:rsidRPr="00EF1459">
        <w:rPr>
          <w:rFonts w:ascii="Simplified Arabic" w:hAnsi="Simplified Arabic" w:cs="Simplified Arabic"/>
          <w:sz w:val="26"/>
          <w:szCs w:val="26"/>
          <w:rtl/>
        </w:rPr>
        <w:t xml:space="preserve"> </w:t>
      </w:r>
      <w:r w:rsidR="00FF5BDC" w:rsidRPr="00EF1459">
        <w:rPr>
          <w:rFonts w:ascii="Simplified Arabic" w:hAnsi="Simplified Arabic" w:cs="Simplified Arabic"/>
          <w:sz w:val="26"/>
          <w:szCs w:val="26"/>
          <w:rtl/>
        </w:rPr>
        <w:t xml:space="preserve">العام </w:t>
      </w:r>
      <w:r w:rsidR="00300847" w:rsidRPr="00EF1459">
        <w:rPr>
          <w:rFonts w:ascii="Simplified Arabic" w:hAnsi="Simplified Arabic" w:cs="Simplified Arabic"/>
          <w:sz w:val="26"/>
          <w:szCs w:val="26"/>
          <w:rtl/>
        </w:rPr>
        <w:t>2023</w:t>
      </w:r>
      <w:r w:rsidR="00FF5BDC" w:rsidRPr="00EF1459">
        <w:rPr>
          <w:rFonts w:ascii="Simplified Arabic" w:hAnsi="Simplified Arabic" w:cs="Simplified Arabic"/>
          <w:sz w:val="26"/>
          <w:szCs w:val="26"/>
          <w:rtl/>
        </w:rPr>
        <w:t xml:space="preserve"> (</w:t>
      </w:r>
      <w:r w:rsidR="00300847" w:rsidRPr="00EF1459">
        <w:rPr>
          <w:rFonts w:ascii="Simplified Arabic" w:hAnsi="Simplified Arabic" w:cs="Simplified Arabic"/>
          <w:sz w:val="26"/>
          <w:szCs w:val="26"/>
          <w:rtl/>
        </w:rPr>
        <w:t>منهم 160 أسيراً من الأطفال، بالإضافة إلى 31 أسيرة</w:t>
      </w:r>
      <w:r w:rsidR="00FF5BDC" w:rsidRPr="00EF1459">
        <w:rPr>
          <w:rFonts w:ascii="Simplified Arabic" w:hAnsi="Simplified Arabic" w:cs="Simplified Arabic"/>
          <w:sz w:val="26"/>
          <w:szCs w:val="26"/>
          <w:rtl/>
        </w:rPr>
        <w:t xml:space="preserve">)، أما عدد حالات الاعتقال فبلغت </w:t>
      </w:r>
      <w:r w:rsidR="001852A2" w:rsidRPr="00EF1459">
        <w:rPr>
          <w:rFonts w:ascii="Simplified Arabic" w:hAnsi="Simplified Arabic" w:cs="Simplified Arabic"/>
          <w:sz w:val="26"/>
          <w:szCs w:val="26"/>
          <w:rtl/>
          <w:lang w:bidi="ar-JO"/>
        </w:rPr>
        <w:t xml:space="preserve">خلال العام </w:t>
      </w:r>
      <w:r w:rsidR="00300847" w:rsidRPr="00EF1459">
        <w:rPr>
          <w:rFonts w:ascii="Simplified Arabic" w:hAnsi="Simplified Arabic" w:cs="Simplified Arabic"/>
          <w:sz w:val="26"/>
          <w:szCs w:val="26"/>
          <w:rtl/>
          <w:lang w:bidi="ar-JO"/>
        </w:rPr>
        <w:t>2022</w:t>
      </w:r>
      <w:r w:rsidR="001852A2" w:rsidRPr="00EF1459">
        <w:rPr>
          <w:rFonts w:ascii="Simplified Arabic" w:hAnsi="Simplified Arabic" w:cs="Simplified Arabic"/>
          <w:sz w:val="26"/>
          <w:szCs w:val="26"/>
          <w:rtl/>
          <w:lang w:bidi="ar-JO"/>
        </w:rPr>
        <w:t xml:space="preserve"> باعتقال </w:t>
      </w:r>
      <w:r w:rsidR="00EA0A25" w:rsidRPr="00EF1459">
        <w:rPr>
          <w:rFonts w:ascii="Simplified Arabic" w:hAnsi="Simplified Arabic" w:cs="Simplified Arabic"/>
          <w:sz w:val="26"/>
          <w:szCs w:val="26"/>
          <w:rtl/>
          <w:lang w:bidi="ar-JO"/>
        </w:rPr>
        <w:t>حوالي</w:t>
      </w:r>
      <w:r w:rsidR="001852A2" w:rsidRPr="00EF1459">
        <w:rPr>
          <w:rFonts w:ascii="Simplified Arabic" w:hAnsi="Simplified Arabic" w:cs="Simplified Arabic"/>
          <w:sz w:val="26"/>
          <w:szCs w:val="26"/>
          <w:rtl/>
          <w:lang w:bidi="ar-JO"/>
        </w:rPr>
        <w:t xml:space="preserve"> </w:t>
      </w:r>
      <w:r w:rsidR="00300847" w:rsidRPr="00EF1459">
        <w:rPr>
          <w:rFonts w:ascii="Simplified Arabic" w:hAnsi="Simplified Arabic" w:cs="Simplified Arabic"/>
          <w:sz w:val="26"/>
          <w:szCs w:val="26"/>
          <w:rtl/>
          <w:lang w:bidi="ar-JO"/>
        </w:rPr>
        <w:t>7</w:t>
      </w:r>
      <w:r w:rsidR="001852A2" w:rsidRPr="00EF1459">
        <w:rPr>
          <w:rFonts w:ascii="Simplified Arabic" w:hAnsi="Simplified Arabic" w:cs="Simplified Arabic"/>
          <w:sz w:val="26"/>
          <w:szCs w:val="26"/>
          <w:rtl/>
          <w:lang w:bidi="ar-JO"/>
        </w:rPr>
        <w:t xml:space="preserve">,000 مواطنا في كافة الاراضي الفلسطينية من بينهم نحو </w:t>
      </w:r>
      <w:r w:rsidR="00300847" w:rsidRPr="00EF1459">
        <w:rPr>
          <w:rFonts w:ascii="Simplified Arabic" w:hAnsi="Simplified Arabic" w:cs="Simplified Arabic"/>
          <w:sz w:val="26"/>
          <w:szCs w:val="26"/>
          <w:rtl/>
          <w:lang w:bidi="ar-JO"/>
        </w:rPr>
        <w:t>882</w:t>
      </w:r>
      <w:r w:rsidR="001852A2" w:rsidRPr="00EF1459">
        <w:rPr>
          <w:rFonts w:ascii="Simplified Arabic" w:hAnsi="Simplified Arabic" w:cs="Simplified Arabic"/>
          <w:sz w:val="26"/>
          <w:szCs w:val="26"/>
          <w:rtl/>
          <w:lang w:bidi="ar-JO"/>
        </w:rPr>
        <w:t xml:space="preserve"> طفل و1</w:t>
      </w:r>
      <w:r w:rsidR="00300847" w:rsidRPr="00EF1459">
        <w:rPr>
          <w:rFonts w:ascii="Simplified Arabic" w:hAnsi="Simplified Arabic" w:cs="Simplified Arabic"/>
          <w:sz w:val="26"/>
          <w:szCs w:val="26"/>
          <w:rtl/>
          <w:lang w:bidi="ar-JO"/>
        </w:rPr>
        <w:t>72</w:t>
      </w:r>
      <w:r w:rsidR="001852A2" w:rsidRPr="00EF1459">
        <w:rPr>
          <w:rFonts w:ascii="Simplified Arabic" w:hAnsi="Simplified Arabic" w:cs="Simplified Arabic"/>
          <w:sz w:val="26"/>
          <w:szCs w:val="26"/>
          <w:rtl/>
          <w:lang w:bidi="ar-JO"/>
        </w:rPr>
        <w:t xml:space="preserve"> سيدة، فيما بلغ عدد اوامر الاعتقال الاداري بحق مواطنين لم توجه لهم أي تهمة </w:t>
      </w:r>
      <w:r w:rsidR="00300847" w:rsidRPr="00EF1459">
        <w:rPr>
          <w:rFonts w:ascii="Simplified Arabic" w:hAnsi="Simplified Arabic" w:cs="Simplified Arabic"/>
          <w:sz w:val="26"/>
          <w:szCs w:val="26"/>
          <w:rtl/>
          <w:lang w:bidi="ar-JO"/>
        </w:rPr>
        <w:t>850</w:t>
      </w:r>
      <w:r w:rsidR="001852A2" w:rsidRPr="00EF1459">
        <w:rPr>
          <w:rFonts w:ascii="Simplified Arabic" w:hAnsi="Simplified Arabic" w:cs="Simplified Arabic"/>
          <w:sz w:val="26"/>
          <w:szCs w:val="26"/>
          <w:rtl/>
          <w:lang w:bidi="ar-JO"/>
        </w:rPr>
        <w:t xml:space="preserve"> امرا، </w:t>
      </w:r>
      <w:r w:rsidR="00FF5BDC" w:rsidRPr="00EF1459">
        <w:rPr>
          <w:rFonts w:ascii="Simplified Arabic" w:hAnsi="Simplified Arabic" w:cs="Simplified Arabic"/>
          <w:sz w:val="26"/>
          <w:szCs w:val="26"/>
        </w:rPr>
        <w:t xml:space="preserve"> </w:t>
      </w:r>
      <w:r w:rsidR="00FF5BDC" w:rsidRPr="00EF1459">
        <w:rPr>
          <w:rFonts w:ascii="Simplified Arabic" w:hAnsi="Simplified Arabic" w:cs="Simplified Arabic"/>
          <w:sz w:val="26"/>
          <w:szCs w:val="26"/>
          <w:rtl/>
        </w:rPr>
        <w:t xml:space="preserve">كما تشير البيانات الى وجود </w:t>
      </w:r>
      <w:r w:rsidR="00300847" w:rsidRPr="00EF1459">
        <w:rPr>
          <w:rFonts w:ascii="Simplified Arabic" w:hAnsi="Simplified Arabic" w:cs="Simplified Arabic"/>
          <w:sz w:val="26"/>
          <w:szCs w:val="26"/>
          <w:rtl/>
        </w:rPr>
        <w:t>554</w:t>
      </w:r>
      <w:r w:rsidR="00FF5BDC" w:rsidRPr="00EF1459">
        <w:rPr>
          <w:rFonts w:ascii="Simplified Arabic" w:hAnsi="Simplified Arabic" w:cs="Simplified Arabic"/>
          <w:sz w:val="26"/>
          <w:szCs w:val="26"/>
          <w:rtl/>
        </w:rPr>
        <w:t xml:space="preserve"> أسيراً يقضون أحكاماً بالسجن المؤبد (مدى الحياة)، </w:t>
      </w:r>
      <w:r w:rsidR="00300847" w:rsidRPr="00EF1459">
        <w:rPr>
          <w:rFonts w:ascii="Simplified Arabic" w:hAnsi="Simplified Arabic" w:cs="Simplified Arabic"/>
          <w:sz w:val="26"/>
          <w:szCs w:val="26"/>
          <w:rtl/>
        </w:rPr>
        <w:t>و1000</w:t>
      </w:r>
      <w:r w:rsidR="00FF5BDC" w:rsidRPr="00EF1459">
        <w:rPr>
          <w:rFonts w:ascii="Simplified Arabic" w:hAnsi="Simplified Arabic" w:cs="Simplified Arabic"/>
          <w:sz w:val="26"/>
          <w:szCs w:val="26"/>
          <w:rtl/>
        </w:rPr>
        <w:t xml:space="preserve"> معتقلا إداريا، كما وتشير البيانات الى أن اسرائيل تعتقل ما يزد على 700 أسير من المرضى </w:t>
      </w:r>
      <w:r w:rsidR="00042A99" w:rsidRPr="00EF1459">
        <w:rPr>
          <w:rFonts w:ascii="Simplified Arabic" w:hAnsi="Simplified Arabic" w:cs="Simplified Arabic"/>
          <w:sz w:val="26"/>
          <w:szCs w:val="26"/>
          <w:rtl/>
        </w:rPr>
        <w:t>وأربعة</w:t>
      </w:r>
      <w:r w:rsidR="00FF5BDC" w:rsidRPr="00EF1459">
        <w:rPr>
          <w:rFonts w:ascii="Simplified Arabic" w:hAnsi="Simplified Arabic" w:cs="Simplified Arabic"/>
          <w:sz w:val="26"/>
          <w:szCs w:val="26"/>
          <w:rtl/>
        </w:rPr>
        <w:t xml:space="preserve"> أسرى من النواب بالمجلس التشريعي</w:t>
      </w:r>
      <w:r w:rsidR="00FF5BDC" w:rsidRPr="00EF1459">
        <w:rPr>
          <w:rFonts w:ascii="Simplified Arabic" w:hAnsi="Simplified Arabic" w:cs="Simplified Arabic"/>
          <w:sz w:val="26"/>
          <w:szCs w:val="26"/>
          <w:rtl/>
          <w:lang w:bidi="ar-JO"/>
        </w:rPr>
        <w:t>، بالإضافة ل</w:t>
      </w:r>
      <w:r w:rsidR="00FF5BDC" w:rsidRPr="00EF1459">
        <w:rPr>
          <w:rFonts w:ascii="Simplified Arabic" w:eastAsia="Times New Roman" w:hAnsi="Simplified Arabic" w:cs="Simplified Arabic"/>
          <w:sz w:val="26"/>
          <w:szCs w:val="26"/>
          <w:rtl/>
        </w:rPr>
        <w:t xml:space="preserve">وجود </w:t>
      </w:r>
      <w:r w:rsidR="00042A99" w:rsidRPr="00EF1459">
        <w:rPr>
          <w:rFonts w:ascii="Simplified Arabic" w:eastAsia="Times New Roman" w:hAnsi="Simplified Arabic" w:cs="Simplified Arabic"/>
          <w:sz w:val="26"/>
          <w:szCs w:val="26"/>
          <w:rtl/>
        </w:rPr>
        <w:t>23</w:t>
      </w:r>
      <w:r w:rsidR="00FF5BDC" w:rsidRPr="00EF1459">
        <w:rPr>
          <w:rFonts w:ascii="Simplified Arabic" w:eastAsia="Times New Roman" w:hAnsi="Simplified Arabic" w:cs="Simplified Arabic"/>
          <w:sz w:val="26"/>
          <w:szCs w:val="26"/>
          <w:rtl/>
        </w:rPr>
        <w:t xml:space="preserve"> أسيراً اعتقلوا قبل اتفاق أوسلو عام 1993 وما زالوا يقبعون داخل السجون الإسرائيلية.</w:t>
      </w:r>
      <w:r w:rsidR="006277F7" w:rsidRPr="00EF1459">
        <w:rPr>
          <w:rFonts w:ascii="Simplified Arabic" w:eastAsia="Times New Roman" w:hAnsi="Simplified Arabic" w:cs="Simplified Arabic"/>
          <w:sz w:val="26"/>
          <w:szCs w:val="26"/>
        </w:rPr>
        <w:t xml:space="preserve">  </w:t>
      </w:r>
      <w:r w:rsidR="00FF5BDC" w:rsidRPr="00EF1459">
        <w:rPr>
          <w:rFonts w:ascii="Simplified Arabic" w:hAnsi="Simplified Arabic" w:cs="Simplified Arabic"/>
          <w:sz w:val="26"/>
          <w:szCs w:val="26"/>
          <w:rtl/>
        </w:rPr>
        <w:t xml:space="preserve">ويتضح من البيانات أن عدد الشهداء من الأسرى بلغ </w:t>
      </w:r>
      <w:r w:rsidR="008D76A8" w:rsidRPr="00EF1459">
        <w:rPr>
          <w:rFonts w:ascii="Simplified Arabic" w:hAnsi="Simplified Arabic" w:cs="Simplified Arabic"/>
          <w:sz w:val="26"/>
          <w:szCs w:val="26"/>
        </w:rPr>
        <w:t>237</w:t>
      </w:r>
      <w:r w:rsidR="00FF5BDC" w:rsidRPr="00EF1459">
        <w:rPr>
          <w:rFonts w:ascii="Simplified Arabic" w:hAnsi="Simplified Arabic" w:cs="Simplified Arabic"/>
          <w:sz w:val="26"/>
          <w:szCs w:val="26"/>
          <w:rtl/>
        </w:rPr>
        <w:t xml:space="preserve"> </w:t>
      </w:r>
      <w:r w:rsidR="00766606" w:rsidRPr="00EF1459">
        <w:rPr>
          <w:rFonts w:ascii="Simplified Arabic" w:hAnsi="Simplified Arabic" w:cs="Simplified Arabic"/>
          <w:sz w:val="26"/>
          <w:szCs w:val="26"/>
          <w:rtl/>
        </w:rPr>
        <w:t xml:space="preserve">أسيراً </w:t>
      </w:r>
      <w:r w:rsidR="00FF5BDC" w:rsidRPr="00EF1459">
        <w:rPr>
          <w:rFonts w:ascii="Simplified Arabic" w:hAnsi="Simplified Arabic" w:cs="Simplified Arabic"/>
          <w:sz w:val="26"/>
          <w:szCs w:val="26"/>
          <w:rtl/>
        </w:rPr>
        <w:t xml:space="preserve">منذ عام 1967 بسبب التعذيب أو القتل العمد بعد الاعتقال أو الإهمال الطبي بحق الأسرى، وتشير البيانات إلى استشهاد </w:t>
      </w:r>
      <w:r w:rsidR="00550505" w:rsidRPr="00EF1459">
        <w:rPr>
          <w:rFonts w:ascii="Simplified Arabic" w:hAnsi="Simplified Arabic" w:cs="Simplified Arabic"/>
          <w:sz w:val="26"/>
          <w:szCs w:val="26"/>
        </w:rPr>
        <w:t>114</w:t>
      </w:r>
      <w:r w:rsidR="00FF5BDC" w:rsidRPr="00EF1459">
        <w:rPr>
          <w:rFonts w:ascii="Simplified Arabic" w:hAnsi="Simplified Arabic" w:cs="Simplified Arabic"/>
          <w:sz w:val="26"/>
          <w:szCs w:val="26"/>
          <w:rtl/>
        </w:rPr>
        <w:t xml:space="preserve"> </w:t>
      </w:r>
      <w:r w:rsidR="00766606" w:rsidRPr="00EF1459">
        <w:rPr>
          <w:rFonts w:ascii="Simplified Arabic" w:hAnsi="Simplified Arabic" w:cs="Simplified Arabic"/>
          <w:sz w:val="26"/>
          <w:szCs w:val="26"/>
          <w:rtl/>
        </w:rPr>
        <w:t>أس</w:t>
      </w:r>
      <w:r w:rsidR="00DF4D95" w:rsidRPr="00EF1459">
        <w:rPr>
          <w:rFonts w:ascii="Simplified Arabic" w:hAnsi="Simplified Arabic" w:cs="Simplified Arabic"/>
          <w:sz w:val="26"/>
          <w:szCs w:val="26"/>
          <w:rtl/>
        </w:rPr>
        <w:t>ير</w:t>
      </w:r>
      <w:r w:rsidR="00766606" w:rsidRPr="00EF1459">
        <w:rPr>
          <w:rFonts w:ascii="Simplified Arabic" w:hAnsi="Simplified Arabic" w:cs="Simplified Arabic"/>
          <w:sz w:val="26"/>
          <w:szCs w:val="26"/>
          <w:rtl/>
        </w:rPr>
        <w:t xml:space="preserve"> </w:t>
      </w:r>
      <w:r w:rsidR="00FF5BDC" w:rsidRPr="00EF1459">
        <w:rPr>
          <w:rFonts w:ascii="Simplified Arabic" w:hAnsi="Simplified Arabic" w:cs="Simplified Arabic"/>
          <w:sz w:val="26"/>
          <w:szCs w:val="26"/>
          <w:rtl/>
        </w:rPr>
        <w:t>منذ أيلول عام 2000، وقد شهد العام 2007 أعلى نسبة لاستشهاد الأسرى داخل السجون الإسرائيلية حيث استشهد سبعة أسرى، خمسة منهم نتيجة الإهمال الطبي.</w:t>
      </w:r>
    </w:p>
    <w:p w:rsidR="008E07AE" w:rsidRPr="00EF1459" w:rsidRDefault="008E07AE" w:rsidP="008E07AE">
      <w:pPr>
        <w:pStyle w:val="NormalWeb"/>
        <w:shd w:val="clear" w:color="auto" w:fill="FFFFFF"/>
        <w:bidi/>
        <w:spacing w:before="0" w:beforeAutospacing="0" w:after="0" w:afterAutospacing="0"/>
        <w:jc w:val="both"/>
        <w:rPr>
          <w:rFonts w:ascii="Simplified Arabic" w:hAnsi="Simplified Arabic" w:cs="Simplified Arabic"/>
          <w:sz w:val="10"/>
          <w:szCs w:val="10"/>
          <w:rtl/>
        </w:rPr>
      </w:pPr>
    </w:p>
    <w:p w:rsidR="00EA1501" w:rsidRPr="00EF1459" w:rsidRDefault="00BB0D89" w:rsidP="00F42DBC">
      <w:pPr>
        <w:rPr>
          <w:rFonts w:ascii="Simplified Arabic" w:hAnsi="Simplified Arabic" w:cs="Simplified Arabic"/>
          <w:b/>
          <w:bCs/>
          <w:sz w:val="28"/>
          <w:szCs w:val="28"/>
          <w:rtl/>
        </w:rPr>
      </w:pPr>
      <w:r w:rsidRPr="00EF1459">
        <w:rPr>
          <w:rFonts w:ascii="Simplified Arabic" w:hAnsi="Simplified Arabic" w:cs="Simplified Arabic"/>
          <w:b/>
          <w:bCs/>
          <w:sz w:val="28"/>
          <w:szCs w:val="28"/>
          <w:rtl/>
        </w:rPr>
        <w:t xml:space="preserve">تواصل التوسع الاستعماري </w:t>
      </w:r>
      <w:r w:rsidR="00DD0F10" w:rsidRPr="00EF1459">
        <w:rPr>
          <w:rFonts w:ascii="Simplified Arabic" w:hAnsi="Simplified Arabic" w:cs="Simplified Arabic"/>
          <w:b/>
          <w:bCs/>
          <w:sz w:val="28"/>
          <w:szCs w:val="28"/>
          <w:rtl/>
        </w:rPr>
        <w:t>للاحتلال</w:t>
      </w:r>
      <w:r w:rsidR="00186773" w:rsidRPr="00EF1459">
        <w:rPr>
          <w:rFonts w:ascii="Simplified Arabic" w:hAnsi="Simplified Arabic" w:cs="Simplified Arabic"/>
          <w:b/>
          <w:bCs/>
          <w:sz w:val="28"/>
          <w:szCs w:val="28"/>
          <w:rtl/>
        </w:rPr>
        <w:t xml:space="preserve"> </w:t>
      </w:r>
      <w:r w:rsidRPr="00EF1459">
        <w:rPr>
          <w:rFonts w:ascii="Simplified Arabic" w:hAnsi="Simplified Arabic" w:cs="Simplified Arabic"/>
          <w:b/>
          <w:bCs/>
          <w:sz w:val="28"/>
          <w:szCs w:val="28"/>
          <w:rtl/>
        </w:rPr>
        <w:t>الاسر</w:t>
      </w:r>
      <w:r w:rsidR="0068730E" w:rsidRPr="00EF1459">
        <w:rPr>
          <w:rFonts w:ascii="Simplified Arabic" w:hAnsi="Simplified Arabic" w:cs="Simplified Arabic"/>
          <w:b/>
          <w:bCs/>
          <w:sz w:val="28"/>
          <w:szCs w:val="28"/>
          <w:rtl/>
        </w:rPr>
        <w:t>ا</w:t>
      </w:r>
      <w:r w:rsidRPr="00EF1459">
        <w:rPr>
          <w:rFonts w:ascii="Simplified Arabic" w:hAnsi="Simplified Arabic" w:cs="Simplified Arabic"/>
          <w:b/>
          <w:bCs/>
          <w:sz w:val="28"/>
          <w:szCs w:val="28"/>
          <w:rtl/>
        </w:rPr>
        <w:t>ئيلي</w:t>
      </w:r>
    </w:p>
    <w:p w:rsidR="00DD0F10" w:rsidRPr="00EF1459" w:rsidRDefault="00DD0F10" w:rsidP="00EA0A25">
      <w:pPr>
        <w:pStyle w:val="NormalWeb"/>
        <w:shd w:val="clear" w:color="auto" w:fill="FFFFFF"/>
        <w:bidi/>
        <w:spacing w:before="0" w:beforeAutospacing="0" w:after="0" w:afterAutospacing="0"/>
        <w:jc w:val="both"/>
        <w:rPr>
          <w:rFonts w:ascii="Simplified Arabic" w:hAnsi="Simplified Arabic" w:cs="Simplified Arabic"/>
          <w:sz w:val="26"/>
          <w:szCs w:val="26"/>
        </w:rPr>
      </w:pPr>
      <w:r w:rsidRPr="00EF1459">
        <w:rPr>
          <w:rFonts w:ascii="Simplified Arabic" w:hAnsi="Simplified Arabic" w:cs="Simplified Arabic"/>
          <w:sz w:val="26"/>
          <w:szCs w:val="26"/>
          <w:rtl/>
        </w:rPr>
        <w:t xml:space="preserve">بلغ عدد المواقع الاستعمارية والقواعد العسكرية الإسرائيلية في نهاية العام </w:t>
      </w:r>
      <w:r w:rsidRPr="00EF1459">
        <w:rPr>
          <w:rFonts w:ascii="Simplified Arabic" w:hAnsi="Simplified Arabic" w:cs="Simplified Arabic"/>
          <w:sz w:val="26"/>
          <w:szCs w:val="26"/>
        </w:rPr>
        <w:t>2021</w:t>
      </w:r>
      <w:r w:rsidRPr="00EF1459">
        <w:rPr>
          <w:rFonts w:ascii="Simplified Arabic" w:hAnsi="Simplified Arabic" w:cs="Simplified Arabic"/>
          <w:sz w:val="26"/>
          <w:szCs w:val="26"/>
          <w:rtl/>
        </w:rPr>
        <w:t xml:space="preserve"> في الضفة الغربية 483 موقعاً، تتوزع بواقع 151 مستعمرة و25 بؤرة مأهولة تم اعتبارها كأحياء تابعة لمستعمرات قائمة، و163 بؤرة استعمارية، و144 موقع مصنف أخرى وتشمل (مناطق صناعية وسياحية وخدماتية ومعسكرات لجيش الاحتلال)، أما فيما يتعلق بعدد المستعمرين في الضفة الغربية فقد بلغ </w:t>
      </w:r>
      <w:r w:rsidRPr="00EF1459">
        <w:rPr>
          <w:rFonts w:ascii="Simplified Arabic" w:hAnsi="Simplified Arabic" w:cs="Simplified Arabic"/>
          <w:sz w:val="26"/>
          <w:szCs w:val="26"/>
        </w:rPr>
        <w:t>719,452</w:t>
      </w:r>
      <w:r w:rsidRPr="00EF1459">
        <w:rPr>
          <w:rFonts w:ascii="Simplified Arabic" w:hAnsi="Simplified Arabic" w:cs="Simplified Arabic"/>
          <w:sz w:val="26"/>
          <w:szCs w:val="26"/>
          <w:rtl/>
        </w:rPr>
        <w:t xml:space="preserve"> مستعمراً، وذلك في نهاية العام </w:t>
      </w:r>
      <w:r w:rsidRPr="00EF1459">
        <w:rPr>
          <w:rFonts w:ascii="Simplified Arabic" w:hAnsi="Simplified Arabic" w:cs="Simplified Arabic"/>
          <w:sz w:val="26"/>
          <w:szCs w:val="26"/>
        </w:rPr>
        <w:t>2021</w:t>
      </w:r>
      <w:r w:rsidRPr="00EF1459">
        <w:rPr>
          <w:rFonts w:ascii="Simplified Arabic" w:hAnsi="Simplified Arabic" w:cs="Simplified Arabic"/>
          <w:sz w:val="26"/>
          <w:szCs w:val="26"/>
          <w:rtl/>
        </w:rPr>
        <w:t xml:space="preserve">، وتشير البيانات أن معظم المستعمرين يسكنون محافظة القدس بواقع </w:t>
      </w:r>
      <w:r w:rsidRPr="00EF1459">
        <w:rPr>
          <w:rFonts w:ascii="Simplified Arabic" w:hAnsi="Simplified Arabic" w:cs="Simplified Arabic"/>
          <w:sz w:val="26"/>
          <w:szCs w:val="26"/>
        </w:rPr>
        <w:t>326,523</w:t>
      </w:r>
      <w:r w:rsidRPr="00EF1459">
        <w:rPr>
          <w:rFonts w:ascii="Simplified Arabic" w:hAnsi="Simplified Arabic" w:cs="Simplified Arabic"/>
          <w:sz w:val="26"/>
          <w:szCs w:val="26"/>
          <w:rtl/>
        </w:rPr>
        <w:t xml:space="preserve"> مستعمراً (يشكلون ما نسبته 45.4% من مجموع المستعمرين)، منهم </w:t>
      </w:r>
      <w:r w:rsidRPr="00EF1459">
        <w:rPr>
          <w:rFonts w:ascii="Simplified Arabic" w:hAnsi="Simplified Arabic" w:cs="Simplified Arabic"/>
          <w:sz w:val="26"/>
          <w:szCs w:val="26"/>
        </w:rPr>
        <w:t>239,951</w:t>
      </w:r>
      <w:r w:rsidRPr="00EF1459">
        <w:rPr>
          <w:rFonts w:ascii="Simplified Arabic" w:hAnsi="Simplified Arabic" w:cs="Simplified Arabic"/>
          <w:sz w:val="26"/>
          <w:szCs w:val="26"/>
          <w:rtl/>
        </w:rPr>
        <w:t xml:space="preserve"> مستعمراً في منطقة</w:t>
      </w:r>
      <w:r w:rsidR="00EA0A25" w:rsidRPr="00EF1459">
        <w:rPr>
          <w:rFonts w:ascii="Simplified Arabic" w:hAnsi="Simplified Arabic" w:cs="Simplified Arabic"/>
          <w:sz w:val="26"/>
          <w:szCs w:val="26"/>
        </w:rPr>
        <w:t xml:space="preserve"> </w:t>
      </w:r>
      <w:r w:rsidRPr="00EF1459">
        <w:rPr>
          <w:rFonts w:ascii="Simplified Arabic" w:hAnsi="Simplified Arabic" w:cs="Simplified Arabic"/>
          <w:sz w:val="26"/>
          <w:szCs w:val="26"/>
        </w:rPr>
        <w:t xml:space="preserve">J1 </w:t>
      </w:r>
      <w:r w:rsidRPr="00EF1459">
        <w:rPr>
          <w:rFonts w:ascii="Simplified Arabic" w:hAnsi="Simplified Arabic" w:cs="Simplified Arabic"/>
          <w:sz w:val="26"/>
          <w:szCs w:val="26"/>
          <w:rtl/>
        </w:rPr>
        <w:t xml:space="preserve">(تشمل ذلك الجزء من محافظة القدس الذي ضمه الاحتلال الإسرائيلي اليه عنوة بعيد احتلاله </w:t>
      </w:r>
      <w:r w:rsidRPr="00EF1459">
        <w:rPr>
          <w:rFonts w:ascii="Simplified Arabic" w:hAnsi="Simplified Arabic" w:cs="Simplified Arabic"/>
          <w:sz w:val="26"/>
          <w:szCs w:val="26"/>
          <w:rtl/>
        </w:rPr>
        <w:lastRenderedPageBreak/>
        <w:t xml:space="preserve">للضفة الغربية في عام 1967)، يليها محافظة رام لله والبيرة بواقع </w:t>
      </w:r>
      <w:r w:rsidRPr="00EF1459">
        <w:rPr>
          <w:rFonts w:ascii="Simplified Arabic" w:hAnsi="Simplified Arabic" w:cs="Simplified Arabic"/>
          <w:sz w:val="26"/>
          <w:szCs w:val="26"/>
        </w:rPr>
        <w:t>143,311</w:t>
      </w:r>
      <w:r w:rsidRPr="00EF1459">
        <w:rPr>
          <w:rFonts w:ascii="Simplified Arabic" w:hAnsi="Simplified Arabic" w:cs="Simplified Arabic"/>
          <w:sz w:val="26"/>
          <w:szCs w:val="26"/>
          <w:rtl/>
        </w:rPr>
        <w:t xml:space="preserve"> مستعمراً، و</w:t>
      </w:r>
      <w:r w:rsidRPr="00EF1459">
        <w:rPr>
          <w:rFonts w:ascii="Simplified Arabic" w:hAnsi="Simplified Arabic" w:cs="Simplified Arabic"/>
          <w:sz w:val="26"/>
          <w:szCs w:val="26"/>
        </w:rPr>
        <w:t>95,279</w:t>
      </w:r>
      <w:r w:rsidRPr="00EF1459">
        <w:rPr>
          <w:rFonts w:ascii="Simplified Arabic" w:hAnsi="Simplified Arabic" w:cs="Simplified Arabic"/>
          <w:sz w:val="26"/>
          <w:szCs w:val="26"/>
          <w:rtl/>
        </w:rPr>
        <w:t xml:space="preserve"> مستعمراً في محافظة بيت لحم و</w:t>
      </w:r>
      <w:r w:rsidRPr="00EF1459">
        <w:rPr>
          <w:rFonts w:ascii="Simplified Arabic" w:hAnsi="Simplified Arabic" w:cs="Simplified Arabic"/>
          <w:sz w:val="26"/>
          <w:szCs w:val="26"/>
        </w:rPr>
        <w:t>50,067</w:t>
      </w:r>
      <w:r w:rsidRPr="00EF1459">
        <w:rPr>
          <w:rFonts w:ascii="Simplified Arabic" w:hAnsi="Simplified Arabic" w:cs="Simplified Arabic"/>
          <w:sz w:val="26"/>
          <w:szCs w:val="26"/>
          <w:rtl/>
        </w:rPr>
        <w:t xml:space="preserve"> مستعمراً في محافظة سلفيت.  أما أقل المحافظات من حيث عدد المستعمرين فهي محافظة طوباس والأغوار الشمالية بواقع </w:t>
      </w:r>
      <w:r w:rsidRPr="00EF1459">
        <w:rPr>
          <w:rFonts w:ascii="Simplified Arabic" w:hAnsi="Simplified Arabic" w:cs="Simplified Arabic"/>
          <w:sz w:val="26"/>
          <w:szCs w:val="26"/>
        </w:rPr>
        <w:t>2,629</w:t>
      </w:r>
      <w:r w:rsidRPr="00EF1459">
        <w:rPr>
          <w:rFonts w:ascii="Simplified Arabic" w:hAnsi="Simplified Arabic" w:cs="Simplified Arabic"/>
          <w:sz w:val="26"/>
          <w:szCs w:val="26"/>
          <w:rtl/>
        </w:rPr>
        <w:t xml:space="preserve"> مستعمراً وتشكل نسبة المستعمرين إلى الفلسطينيين في الضفة الغربية حوالي 23 مستعمراً مقابل كل 100 فلسطيني، في حين بلغت أعلاها في محافظة القدس حوالي 69 مستعمراً مقابل كل 100 فلسطيني، وشهد العام 2022 زيادة كبيرة في وتيرة بناء وتوسيع المستعمرات الإسرائيلية حيث صادقت سلطات الاحتلال على نحو</w:t>
      </w:r>
      <w:r w:rsidR="005A4B1A">
        <w:rPr>
          <w:rFonts w:ascii="Simplified Arabic" w:hAnsi="Simplified Arabic" w:cs="Simplified Arabic" w:hint="cs"/>
          <w:sz w:val="26"/>
          <w:szCs w:val="26"/>
          <w:rtl/>
        </w:rPr>
        <w:t xml:space="preserve">               </w:t>
      </w:r>
      <w:r w:rsidRPr="00EF1459">
        <w:rPr>
          <w:rFonts w:ascii="Simplified Arabic" w:hAnsi="Simplified Arabic" w:cs="Simplified Arabic"/>
          <w:sz w:val="26"/>
          <w:szCs w:val="26"/>
          <w:rtl/>
        </w:rPr>
        <w:t xml:space="preserve"> 83 مخطط استعماري لبناء أكثر من 22 ألف وحدة استعمارية في جميع أنحاء الضفة الغربية بما فيها القدس.</w:t>
      </w:r>
    </w:p>
    <w:p w:rsidR="00642AAB" w:rsidRPr="00EF1459" w:rsidRDefault="00642AAB" w:rsidP="00135319">
      <w:pPr>
        <w:ind w:left="60"/>
        <w:jc w:val="both"/>
        <w:rPr>
          <w:rFonts w:ascii="Simplified Arabic" w:hAnsi="Simplified Arabic" w:cs="Simplified Arabic"/>
          <w:sz w:val="10"/>
          <w:szCs w:val="10"/>
          <w:rtl/>
        </w:rPr>
      </w:pPr>
    </w:p>
    <w:p w:rsidR="00BB3268" w:rsidRPr="00EF1459" w:rsidRDefault="00BB3268" w:rsidP="00DD0F10">
      <w:pPr>
        <w:rPr>
          <w:rFonts w:ascii="Simplified Arabic" w:hAnsi="Simplified Arabic" w:cs="Simplified Arabic"/>
          <w:b/>
          <w:bCs/>
          <w:sz w:val="28"/>
          <w:szCs w:val="28"/>
          <w:rtl/>
        </w:rPr>
      </w:pPr>
      <w:r w:rsidRPr="00EF1459">
        <w:rPr>
          <w:rFonts w:ascii="Simplified Arabic" w:hAnsi="Simplified Arabic" w:cs="Simplified Arabic"/>
          <w:b/>
          <w:bCs/>
          <w:sz w:val="28"/>
          <w:szCs w:val="28"/>
          <w:rtl/>
        </w:rPr>
        <w:t>مصادرة مستمرة للأراضي</w:t>
      </w:r>
    </w:p>
    <w:p w:rsidR="00DD0F10" w:rsidRPr="00EF1459" w:rsidRDefault="00DD0F10" w:rsidP="00DD0F10">
      <w:pPr>
        <w:pStyle w:val="NormalWeb"/>
        <w:shd w:val="clear" w:color="auto" w:fill="FFFFFF"/>
        <w:bidi/>
        <w:spacing w:before="0" w:beforeAutospacing="0" w:after="0" w:afterAutospacing="0"/>
        <w:jc w:val="both"/>
        <w:rPr>
          <w:rFonts w:ascii="Simplified Arabic" w:hAnsi="Simplified Arabic" w:cs="Simplified Arabic"/>
          <w:sz w:val="26"/>
          <w:szCs w:val="26"/>
          <w:rtl/>
        </w:rPr>
      </w:pPr>
      <w:r w:rsidRPr="00EF1459">
        <w:rPr>
          <w:rFonts w:ascii="Simplified Arabic" w:hAnsi="Simplified Arabic" w:cs="Simplified Arabic"/>
          <w:sz w:val="26"/>
          <w:szCs w:val="26"/>
          <w:rtl/>
        </w:rPr>
        <w:t>واستغل الاحتلال الإسرائيلي تصنيف الأراضي حسب اتفاقية أوسلو (أ، ب، ج) لإحكام السيطرة على أراضي الفلسطينيين خاصة في المناطق المصنفة (ج) والتي تخضع قضايا الأمن والتخطيط والبناء بالكامل لسيطرة الاحتلال الاسرائيلي، حيث يستغل الاحتلال الإسرائيلي بشكل مباشر ما نسبته 76% من مجمل المساحة المصنفة (ج)، حيث تسيطر المجالس الإقليمية للمستعمرات على</w:t>
      </w:r>
      <w:r w:rsidRPr="00EF1459">
        <w:rPr>
          <w:rFonts w:ascii="Simplified Arabic" w:hAnsi="Simplified Arabic" w:cs="Simplified Arabic"/>
          <w:sz w:val="26"/>
          <w:szCs w:val="26"/>
          <w:rtl/>
          <w:lang w:bidi="ar-JO"/>
        </w:rPr>
        <w:t xml:space="preserve"> </w:t>
      </w:r>
      <w:r w:rsidRPr="00EF1459">
        <w:rPr>
          <w:rFonts w:ascii="Simplified Arabic" w:hAnsi="Simplified Arabic" w:cs="Simplified Arabic"/>
          <w:sz w:val="26"/>
          <w:szCs w:val="26"/>
          <w:rtl/>
        </w:rPr>
        <w:t>63% منها،</w:t>
      </w:r>
      <w:r w:rsidRPr="00EF1459">
        <w:rPr>
          <w:rFonts w:ascii="Simplified Arabic" w:hAnsi="Simplified Arabic" w:cs="Simplified Arabic"/>
          <w:sz w:val="26"/>
          <w:szCs w:val="26"/>
        </w:rPr>
        <w:t xml:space="preserve"> </w:t>
      </w:r>
      <w:r w:rsidRPr="00EF1459">
        <w:rPr>
          <w:rFonts w:ascii="Simplified Arabic" w:hAnsi="Simplified Arabic" w:cs="Simplified Arabic"/>
          <w:sz w:val="26"/>
          <w:szCs w:val="26"/>
          <w:rtl/>
        </w:rPr>
        <w:t>فيما بلغت مساحة مناطق النفوذ في المستعمرات الإسرائيلية في الضفة الغربية (تشمل المساحات المغلقة والمخصصة لتوسيع هذه المستعمرات) نحو 537 كم</w:t>
      </w:r>
      <w:r w:rsidRPr="00EF1459">
        <w:rPr>
          <w:rFonts w:ascii="Simplified Arabic" w:hAnsi="Simplified Arabic" w:cs="Simplified Arabic"/>
          <w:sz w:val="26"/>
          <w:szCs w:val="26"/>
          <w:vertAlign w:val="superscript"/>
          <w:rtl/>
        </w:rPr>
        <w:t>2</w:t>
      </w:r>
      <w:r w:rsidRPr="00EF1459">
        <w:rPr>
          <w:rFonts w:ascii="Simplified Arabic" w:hAnsi="Simplified Arabic" w:cs="Simplified Arabic"/>
          <w:sz w:val="26"/>
          <w:szCs w:val="26"/>
          <w:rtl/>
        </w:rPr>
        <w:t xml:space="preserve"> في نهاية العام 2022، وتمثل ما نسبته حوالي 10%</w:t>
      </w:r>
      <w:r w:rsidRPr="00EF1459">
        <w:rPr>
          <w:rFonts w:ascii="Simplified Arabic" w:hAnsi="Simplified Arabic" w:cs="Simplified Arabic"/>
          <w:sz w:val="26"/>
          <w:szCs w:val="26"/>
          <w:rtl/>
          <w:lang w:bidi="ar-JO"/>
        </w:rPr>
        <w:t xml:space="preserve"> </w:t>
      </w:r>
      <w:r w:rsidRPr="00EF1459">
        <w:rPr>
          <w:rFonts w:ascii="Simplified Arabic" w:hAnsi="Simplified Arabic" w:cs="Simplified Arabic"/>
          <w:sz w:val="26"/>
          <w:szCs w:val="26"/>
          <w:rtl/>
        </w:rPr>
        <w:t>من مساحة الضفة الغربية، فيما تمثل المساحات المصادرة لأغراض القواعد العسكرية ومواقع التدريب العسكري حوالي 18% من مساحة الضفة الغربية بواقع 1,016 كم</w:t>
      </w:r>
      <w:r w:rsidRPr="00EF1459">
        <w:rPr>
          <w:rFonts w:ascii="Simplified Arabic" w:hAnsi="Simplified Arabic" w:cs="Simplified Arabic"/>
          <w:sz w:val="26"/>
          <w:szCs w:val="26"/>
          <w:vertAlign w:val="superscript"/>
          <w:rtl/>
        </w:rPr>
        <w:t>2</w:t>
      </w:r>
      <w:r w:rsidRPr="00EF1459">
        <w:rPr>
          <w:rFonts w:ascii="Simplified Arabic" w:hAnsi="Simplified Arabic" w:cs="Simplified Arabic"/>
          <w:sz w:val="26"/>
          <w:szCs w:val="26"/>
          <w:rtl/>
        </w:rPr>
        <w:t>، بالإضافة إلى جدار الضم والتوسع الذي عزل أكثر من 10% من مساحة الضفة الغربية، وتضرر ما يزيد على 219 تجمعاً فلسطينياً جراء إقامة الجدار والذي يبلغ طوله حوالي</w:t>
      </w:r>
      <w:r w:rsidR="005A4B1A">
        <w:rPr>
          <w:rFonts w:ascii="Simplified Arabic" w:hAnsi="Simplified Arabic" w:cs="Simplified Arabic" w:hint="cs"/>
          <w:sz w:val="26"/>
          <w:szCs w:val="26"/>
          <w:rtl/>
        </w:rPr>
        <w:t xml:space="preserve">                 </w:t>
      </w:r>
      <w:r w:rsidRPr="00EF1459">
        <w:rPr>
          <w:rFonts w:ascii="Simplified Arabic" w:hAnsi="Simplified Arabic" w:cs="Simplified Arabic"/>
          <w:sz w:val="26"/>
          <w:szCs w:val="26"/>
          <w:rtl/>
        </w:rPr>
        <w:t xml:space="preserve"> 714 كم، كما قامت سلطات الاحتلال الاسرائيلي منذ 1967 بمصادرة حوالي 353 ألف دونم من الأراضي الفلسطينية وتصنيفها كمحميات طبيعية تمهيداً للاستيلاء عليها.</w:t>
      </w:r>
    </w:p>
    <w:p w:rsidR="00A55640" w:rsidRPr="00EF1459" w:rsidRDefault="00A55640" w:rsidP="00F42DBC">
      <w:pPr>
        <w:rPr>
          <w:rFonts w:ascii="Simplified Arabic" w:hAnsi="Simplified Arabic" w:cs="Simplified Arabic"/>
          <w:b/>
          <w:bCs/>
          <w:sz w:val="10"/>
          <w:szCs w:val="10"/>
        </w:rPr>
      </w:pPr>
    </w:p>
    <w:p w:rsidR="00DD0F10" w:rsidRPr="00EF1459" w:rsidRDefault="00DD0F10" w:rsidP="00DD0F10">
      <w:pPr>
        <w:rPr>
          <w:rFonts w:ascii="Simplified Arabic" w:hAnsi="Simplified Arabic" w:cs="Simplified Arabic"/>
          <w:b/>
          <w:bCs/>
          <w:sz w:val="28"/>
          <w:szCs w:val="28"/>
          <w:rtl/>
        </w:rPr>
      </w:pPr>
      <w:r w:rsidRPr="00EF1459">
        <w:rPr>
          <w:rFonts w:ascii="Simplified Arabic" w:hAnsi="Simplified Arabic" w:cs="Simplified Arabic"/>
          <w:b/>
          <w:bCs/>
          <w:sz w:val="28"/>
          <w:szCs w:val="28"/>
          <w:rtl/>
        </w:rPr>
        <w:t>تهويد القدس وهدم العقارات الفلسطينية</w:t>
      </w:r>
    </w:p>
    <w:p w:rsidR="00DD0F10" w:rsidRPr="00EF1459" w:rsidRDefault="00DD0F10" w:rsidP="00DD0F10">
      <w:pPr>
        <w:jc w:val="both"/>
        <w:rPr>
          <w:rFonts w:ascii="Simplified Arabic" w:hAnsi="Simplified Arabic" w:cs="Simplified Arabic"/>
          <w:sz w:val="26"/>
          <w:szCs w:val="26"/>
          <w:rtl/>
        </w:rPr>
      </w:pPr>
      <w:r w:rsidRPr="00EF1459">
        <w:rPr>
          <w:rFonts w:ascii="Simplified Arabic" w:hAnsi="Simplified Arabic" w:cs="Simplified Arabic"/>
          <w:sz w:val="26"/>
          <w:szCs w:val="26"/>
          <w:rtl/>
        </w:rPr>
        <w:t xml:space="preserve">ضمن سياسة الترحيل والإحلال تقوم سلطات الاحتلال الاسرائيلي بإجراءات تهويدية متسارعة في القدس وذلك لطمس المعالم الاسلامية والمسيحية وتشريد الفلسطينيين من مدينة القدس وإحلال الاسرائيليين القادمين من شتى بقاع الارض مكانهم، حيث صادقت سلطات الاحتلال الاسرائيلي خلال العام 2022 على نحو 70 مخطط استعماري لبناء أكثر من 10 ألاف وحدة استعمارية في محافظة القدس ومحيطها، في الوقت الذي قامت فيه سلطات الاحتلال الاسرائيلي بهدم أكثر من 258 مبنى وأصدرت قرارات هدم لأكثر من 220 مبنى، منها 100 مبنى سكني في حي البستان ضمن سياسة الهدم الجماعي، مما يؤدي الى تشريد 1,550 فرداً غالبيتهم من الاطفال والنساء، اضف الى ذلك زيادة وتيرة استهداف الفلسطينيين حيث استشهد 19 مقدسياً وأصيب نحو 2,486 برصاص الاحتلال الاسرائيلي خلال العام 2022، كا زادت عدد حالات الاعتقال والتي شنها الاحتلال الإسرائيلي في محافظة القدس خلال العام 2022 حيث بلغ عدد حالات الاعتقال نحو </w:t>
      </w:r>
      <w:r w:rsidRPr="00EF1459">
        <w:rPr>
          <w:rFonts w:ascii="Simplified Arabic" w:hAnsi="Simplified Arabic" w:cs="Simplified Arabic"/>
          <w:sz w:val="26"/>
          <w:szCs w:val="26"/>
        </w:rPr>
        <w:t>3,504</w:t>
      </w:r>
      <w:r w:rsidRPr="00EF1459">
        <w:rPr>
          <w:rFonts w:ascii="Simplified Arabic" w:hAnsi="Simplified Arabic" w:cs="Simplified Arabic"/>
          <w:sz w:val="26"/>
          <w:szCs w:val="26"/>
          <w:rtl/>
        </w:rPr>
        <w:t xml:space="preserve"> حالات مقارنة بنحو 2,879 حالة في العام 2021 بزيادة بلغت نحو 22%.</w:t>
      </w:r>
    </w:p>
    <w:p w:rsidR="008E07AE" w:rsidRPr="00EF1459" w:rsidRDefault="008E07AE" w:rsidP="008E07AE">
      <w:pPr>
        <w:rPr>
          <w:rFonts w:ascii="Simplified Arabic" w:hAnsi="Simplified Arabic" w:cs="Simplified Arabic"/>
          <w:b/>
          <w:bCs/>
          <w:sz w:val="26"/>
          <w:szCs w:val="26"/>
          <w:rtl/>
        </w:rPr>
      </w:pPr>
    </w:p>
    <w:p w:rsidR="00DD0F10" w:rsidRPr="00EF1459" w:rsidRDefault="00DD0F10" w:rsidP="00DD0F10">
      <w:pPr>
        <w:rPr>
          <w:rFonts w:ascii="Simplified Arabic" w:hAnsi="Simplified Arabic" w:cs="Simplified Arabic"/>
          <w:b/>
          <w:bCs/>
          <w:sz w:val="28"/>
          <w:szCs w:val="28"/>
          <w:rtl/>
        </w:rPr>
      </w:pPr>
      <w:r w:rsidRPr="00EF1459">
        <w:rPr>
          <w:rFonts w:ascii="Simplified Arabic" w:hAnsi="Simplified Arabic" w:cs="Simplified Arabic"/>
          <w:b/>
          <w:bCs/>
          <w:sz w:val="28"/>
          <w:szCs w:val="28"/>
          <w:rtl/>
        </w:rPr>
        <w:t xml:space="preserve">أكثر من 8,700 </w:t>
      </w:r>
      <w:r w:rsidR="00E00EC5" w:rsidRPr="00EF1459">
        <w:rPr>
          <w:rFonts w:ascii="Simplified Arabic" w:hAnsi="Simplified Arabic" w:cs="Simplified Arabic"/>
          <w:b/>
          <w:bCs/>
          <w:sz w:val="28"/>
          <w:szCs w:val="28"/>
          <w:rtl/>
        </w:rPr>
        <w:t>اعتداء</w:t>
      </w:r>
      <w:r w:rsidRPr="00EF1459">
        <w:rPr>
          <w:rFonts w:ascii="Simplified Arabic" w:hAnsi="Simplified Arabic" w:cs="Simplified Arabic"/>
          <w:b/>
          <w:bCs/>
          <w:sz w:val="28"/>
          <w:szCs w:val="28"/>
          <w:rtl/>
        </w:rPr>
        <w:t xml:space="preserve"> نفذتها سطات الاحتلال الاسرائيلي والمستعمرون</w:t>
      </w:r>
      <w:r w:rsidR="00E65A0F" w:rsidRPr="00EF1459">
        <w:rPr>
          <w:rFonts w:ascii="Simplified Arabic" w:hAnsi="Simplified Arabic" w:cs="Simplified Arabic"/>
          <w:b/>
          <w:bCs/>
          <w:sz w:val="28"/>
          <w:szCs w:val="28"/>
          <w:rtl/>
        </w:rPr>
        <w:t xml:space="preserve"> خلال العام 2022</w:t>
      </w:r>
      <w:r w:rsidRPr="00EF1459">
        <w:rPr>
          <w:rFonts w:ascii="Simplified Arabic" w:hAnsi="Simplified Arabic" w:cs="Simplified Arabic"/>
          <w:b/>
          <w:bCs/>
          <w:sz w:val="28"/>
          <w:szCs w:val="28"/>
          <w:rtl/>
        </w:rPr>
        <w:t xml:space="preserve"> </w:t>
      </w:r>
    </w:p>
    <w:p w:rsidR="00DD0F10" w:rsidRPr="00EF1459" w:rsidRDefault="00DD0F10" w:rsidP="00DD0F10">
      <w:pPr>
        <w:jc w:val="both"/>
        <w:rPr>
          <w:rFonts w:ascii="Simplified Arabic" w:hAnsi="Simplified Arabic" w:cs="Simplified Arabic"/>
          <w:sz w:val="26"/>
          <w:szCs w:val="26"/>
          <w:rtl/>
        </w:rPr>
      </w:pPr>
      <w:r w:rsidRPr="00EF1459">
        <w:rPr>
          <w:rFonts w:ascii="Simplified Arabic" w:hAnsi="Simplified Arabic" w:cs="Simplified Arabic"/>
          <w:sz w:val="26"/>
          <w:szCs w:val="26"/>
          <w:rtl/>
        </w:rPr>
        <w:t>نفذت سطات الاحتلال الاسرائيلي والمستعمرون تحت حماية جيش الاحتلال الإسرائيلي 8,724 اعتداء</w:t>
      </w:r>
      <w:r w:rsidR="00EA0A25" w:rsidRPr="00EF1459">
        <w:rPr>
          <w:rFonts w:ascii="Simplified Arabic" w:hAnsi="Simplified Arabic" w:cs="Simplified Arabic"/>
          <w:sz w:val="26"/>
          <w:szCs w:val="26"/>
          <w:rtl/>
        </w:rPr>
        <w:t>ا</w:t>
      </w:r>
      <w:r w:rsidRPr="00EF1459">
        <w:rPr>
          <w:rFonts w:ascii="Simplified Arabic" w:hAnsi="Simplified Arabic" w:cs="Simplified Arabic"/>
          <w:sz w:val="26"/>
          <w:szCs w:val="26"/>
          <w:rtl/>
        </w:rPr>
        <w:t xml:space="preserve">ً بحق المواطنين الفلسطينيين وممتلكاتهم خلال العام 2022، وتوزعت هذه الاعتداءات بواقع 1,515 اعتداء على الممتلكات والأماكن </w:t>
      </w:r>
      <w:r w:rsidRPr="00EF1459">
        <w:rPr>
          <w:rFonts w:ascii="Simplified Arabic" w:hAnsi="Simplified Arabic" w:cs="Simplified Arabic"/>
          <w:sz w:val="26"/>
          <w:szCs w:val="26"/>
          <w:rtl/>
        </w:rPr>
        <w:lastRenderedPageBreak/>
        <w:t xml:space="preserve">الدينية و362 اعتداء على الأراضي والثروات الطبيعية و6,847 اعتداء على الأفراد. من جهة أخرى شهد العام 2022 محاولة مجموعات المستعمرين في 63 مناسبة لإقامة بؤر، أبرزها محاولة حركة نحلاه اليمينية إقامة أكثر من 10 بؤر في 20/7/2022، وكذلك شنت قوات الاحتلال والمستعمرين ما مجموعه 223 عملية مصادرة لنحو 294 ممتلكاً فلسطينياً منها 48 جراراً زراعياً، و53 سيارة للمواطنين، كما تسببت هذه الاعتداءات باقتلاع وتضرر وتجريف </w:t>
      </w:r>
      <w:r w:rsidRPr="00EF1459">
        <w:rPr>
          <w:rFonts w:ascii="Simplified Arabic" w:hAnsi="Simplified Arabic" w:cs="Simplified Arabic"/>
          <w:sz w:val="26"/>
          <w:szCs w:val="26"/>
        </w:rPr>
        <w:t>10,291</w:t>
      </w:r>
      <w:r w:rsidRPr="00EF1459">
        <w:rPr>
          <w:rFonts w:ascii="Simplified Arabic" w:hAnsi="Simplified Arabic" w:cs="Simplified Arabic"/>
          <w:sz w:val="26"/>
          <w:szCs w:val="26"/>
          <w:rtl/>
        </w:rPr>
        <w:t xml:space="preserve"> شجرة زيتون، منها </w:t>
      </w:r>
      <w:r w:rsidRPr="00EF1459">
        <w:rPr>
          <w:rFonts w:ascii="Simplified Arabic" w:hAnsi="Simplified Arabic" w:cs="Simplified Arabic"/>
          <w:sz w:val="26"/>
          <w:szCs w:val="26"/>
        </w:rPr>
        <w:t>2,400</w:t>
      </w:r>
      <w:r w:rsidRPr="00EF1459">
        <w:rPr>
          <w:rFonts w:ascii="Simplified Arabic" w:hAnsi="Simplified Arabic" w:cs="Simplified Arabic"/>
          <w:sz w:val="26"/>
          <w:szCs w:val="26"/>
          <w:rtl/>
        </w:rPr>
        <w:t xml:space="preserve"> شجرة في محافظة نابلس.    </w:t>
      </w:r>
    </w:p>
    <w:p w:rsidR="008E07AE" w:rsidRPr="00EF1459" w:rsidRDefault="008E07AE" w:rsidP="00657C37">
      <w:pPr>
        <w:rPr>
          <w:rFonts w:ascii="Simplified Arabic" w:hAnsi="Simplified Arabic" w:cs="Simplified Arabic"/>
          <w:b/>
          <w:bCs/>
          <w:sz w:val="26"/>
          <w:szCs w:val="26"/>
          <w:rtl/>
        </w:rPr>
      </w:pPr>
    </w:p>
    <w:p w:rsidR="00DD0F10" w:rsidRPr="00EF1459" w:rsidRDefault="00DD0F10" w:rsidP="00DD0F10">
      <w:pPr>
        <w:rPr>
          <w:rFonts w:ascii="Simplified Arabic" w:hAnsi="Simplified Arabic" w:cs="Simplified Arabic"/>
          <w:b/>
          <w:bCs/>
          <w:sz w:val="28"/>
          <w:szCs w:val="28"/>
          <w:rtl/>
        </w:rPr>
      </w:pPr>
      <w:r w:rsidRPr="00EF1459">
        <w:rPr>
          <w:rFonts w:ascii="Simplified Arabic" w:hAnsi="Simplified Arabic" w:cs="Simplified Arabic"/>
          <w:b/>
          <w:bCs/>
          <w:sz w:val="28"/>
          <w:szCs w:val="28"/>
          <w:rtl/>
        </w:rPr>
        <w:t>سلطات الاحتلال الاسرائيلي نفذت 378 عملية هدم طالت 953 منشأة في الضفة الغربية خلال العام 2022</w:t>
      </w:r>
    </w:p>
    <w:p w:rsidR="00DD0F10" w:rsidRPr="00EF1459" w:rsidRDefault="006277F7" w:rsidP="006277F7">
      <w:pPr>
        <w:jc w:val="both"/>
        <w:rPr>
          <w:rFonts w:ascii="Simplified Arabic" w:hAnsi="Simplified Arabic" w:cs="Simplified Arabic"/>
          <w:sz w:val="26"/>
          <w:szCs w:val="26"/>
        </w:rPr>
      </w:pPr>
      <w:r w:rsidRPr="00EF1459">
        <w:rPr>
          <w:rFonts w:ascii="Simplified Arabic" w:hAnsi="Simplified Arabic" w:cs="Simplified Arabic"/>
          <w:sz w:val="26"/>
          <w:szCs w:val="26"/>
          <w:rtl/>
        </w:rPr>
        <w:t xml:space="preserve">لم تتوقف سياسة قوات الاحتلال عن هدم المباني المملوكة للفلسطينيين وما نتج عنها من تهجير للسكان من منازلهم في جميع أنحاء الضفة الغربية، إذ وثق مكتب تنسيق الشؤون الإنسانية في الأراضي المحتلة (أوتشا) منذ عام 2009، أن قوات الاحتلال دمرت </w:t>
      </w:r>
      <w:r w:rsidRPr="00EF1459">
        <w:rPr>
          <w:rFonts w:ascii="Simplified Arabic" w:hAnsi="Simplified Arabic" w:cs="Simplified Arabic"/>
          <w:sz w:val="26"/>
          <w:szCs w:val="26"/>
        </w:rPr>
        <w:t>9,353</w:t>
      </w:r>
      <w:r w:rsidRPr="00EF1459">
        <w:rPr>
          <w:rFonts w:ascii="Simplified Arabic" w:hAnsi="Simplified Arabic" w:cs="Simplified Arabic"/>
          <w:sz w:val="26"/>
          <w:szCs w:val="26"/>
          <w:rtl/>
        </w:rPr>
        <w:t xml:space="preserve"> منزلا او منشأة منذ عام 2009 منها </w:t>
      </w:r>
      <w:r w:rsidRPr="00EF1459">
        <w:rPr>
          <w:rFonts w:ascii="Simplified Arabic" w:hAnsi="Simplified Arabic" w:cs="Simplified Arabic"/>
          <w:sz w:val="26"/>
          <w:szCs w:val="26"/>
        </w:rPr>
        <w:t>1,639</w:t>
      </w:r>
      <w:r w:rsidRPr="00EF1459">
        <w:rPr>
          <w:rFonts w:ascii="Simplified Arabic" w:hAnsi="Simplified Arabic" w:cs="Simplified Arabic"/>
          <w:sz w:val="26"/>
          <w:szCs w:val="26"/>
          <w:rtl/>
        </w:rPr>
        <w:t xml:space="preserve"> منشأة ممولة من المانحين مما أدى لتهجير </w:t>
      </w:r>
      <w:r w:rsidRPr="00EF1459">
        <w:rPr>
          <w:rFonts w:ascii="Simplified Arabic" w:hAnsi="Simplified Arabic" w:cs="Simplified Arabic"/>
          <w:sz w:val="26"/>
          <w:szCs w:val="26"/>
        </w:rPr>
        <w:t>13,641</w:t>
      </w:r>
      <w:r w:rsidRPr="00EF1459">
        <w:rPr>
          <w:rFonts w:ascii="Simplified Arabic" w:hAnsi="Simplified Arabic" w:cs="Simplified Arabic"/>
          <w:sz w:val="26"/>
          <w:szCs w:val="26"/>
          <w:rtl/>
        </w:rPr>
        <w:t xml:space="preserve"> مواطنا، وتوزعت عمليات الهدم بواقع 19% في القدس الشرقية، و79% في المناطق المصنفة (ج)  ونحو 2% من عمليات الهدم في المناطق المصنفة (أ) و (ب)، ووثقت أوتشا أن نحو </w:t>
      </w:r>
      <w:r w:rsidRPr="00EF1459">
        <w:rPr>
          <w:rFonts w:ascii="Simplified Arabic" w:hAnsi="Simplified Arabic" w:cs="Simplified Arabic"/>
          <w:sz w:val="26"/>
          <w:szCs w:val="26"/>
        </w:rPr>
        <w:t>953</w:t>
      </w:r>
      <w:r w:rsidRPr="00EF1459">
        <w:rPr>
          <w:rFonts w:ascii="Simplified Arabic" w:hAnsi="Simplified Arabic" w:cs="Simplified Arabic"/>
          <w:sz w:val="26"/>
          <w:szCs w:val="26"/>
          <w:rtl/>
        </w:rPr>
        <w:t xml:space="preserve"> منشأة تم هدمها خلال العام </w:t>
      </w:r>
      <w:r w:rsidRPr="00EF1459">
        <w:rPr>
          <w:rFonts w:ascii="Simplified Arabic" w:hAnsi="Simplified Arabic" w:cs="Simplified Arabic"/>
          <w:sz w:val="26"/>
          <w:szCs w:val="26"/>
        </w:rPr>
        <w:t>2022</w:t>
      </w:r>
      <w:r w:rsidRPr="00EF1459">
        <w:rPr>
          <w:rFonts w:ascii="Simplified Arabic" w:hAnsi="Simplified Arabic" w:cs="Simplified Arabic"/>
          <w:sz w:val="26"/>
          <w:szCs w:val="26"/>
          <w:rtl/>
        </w:rPr>
        <w:t xml:space="preserve">، منها </w:t>
      </w:r>
      <w:r w:rsidRPr="00EF1459">
        <w:rPr>
          <w:rFonts w:ascii="Simplified Arabic" w:hAnsi="Simplified Arabic" w:cs="Simplified Arabic"/>
          <w:sz w:val="26"/>
          <w:szCs w:val="26"/>
        </w:rPr>
        <w:t>140</w:t>
      </w:r>
      <w:r w:rsidRPr="00EF1459">
        <w:rPr>
          <w:rFonts w:ascii="Simplified Arabic" w:hAnsi="Simplified Arabic" w:cs="Simplified Arabic"/>
          <w:sz w:val="26"/>
          <w:szCs w:val="26"/>
          <w:rtl/>
        </w:rPr>
        <w:t xml:space="preserve"> منشأة ممولة من المانحين مما أدى لتهجير </w:t>
      </w:r>
      <w:r w:rsidRPr="00EF1459">
        <w:rPr>
          <w:rFonts w:ascii="Simplified Arabic" w:hAnsi="Simplified Arabic" w:cs="Simplified Arabic"/>
          <w:sz w:val="26"/>
          <w:szCs w:val="26"/>
        </w:rPr>
        <w:t>1,031</w:t>
      </w:r>
      <w:r w:rsidRPr="00EF1459">
        <w:rPr>
          <w:rFonts w:ascii="Simplified Arabic" w:hAnsi="Simplified Arabic" w:cs="Simplified Arabic"/>
          <w:sz w:val="26"/>
          <w:szCs w:val="26"/>
          <w:rtl/>
        </w:rPr>
        <w:t xml:space="preserve"> مواطناً وتأثر </w:t>
      </w:r>
      <w:r w:rsidRPr="00EF1459">
        <w:rPr>
          <w:rFonts w:ascii="Simplified Arabic" w:hAnsi="Simplified Arabic" w:cs="Simplified Arabic"/>
          <w:sz w:val="26"/>
          <w:szCs w:val="26"/>
        </w:rPr>
        <w:t>28,446</w:t>
      </w:r>
      <w:r w:rsidRPr="00EF1459">
        <w:rPr>
          <w:rFonts w:ascii="Simplified Arabic" w:hAnsi="Simplified Arabic" w:cs="Simplified Arabic"/>
          <w:sz w:val="26"/>
          <w:szCs w:val="26"/>
          <w:rtl/>
        </w:rPr>
        <w:t xml:space="preserve"> مواطناً، مثلت المنشآت الزراعية والمنشآت السكنية المأهولة وغير المأهولة نحو 70% منها.  </w:t>
      </w:r>
      <w:r w:rsidR="00390EE9" w:rsidRPr="00EF1459">
        <w:rPr>
          <w:rFonts w:ascii="Simplified Arabic" w:hAnsi="Simplified Arabic" w:cs="Simplified Arabic"/>
          <w:sz w:val="26"/>
          <w:szCs w:val="26"/>
          <w:rtl/>
        </w:rPr>
        <w:t xml:space="preserve">في حين </w:t>
      </w:r>
      <w:r w:rsidR="00DD0F10" w:rsidRPr="00EF1459">
        <w:rPr>
          <w:rFonts w:ascii="Simplified Arabic" w:hAnsi="Simplified Arabic" w:cs="Simplified Arabic"/>
          <w:sz w:val="26"/>
          <w:szCs w:val="26"/>
          <w:rtl/>
        </w:rPr>
        <w:t>نفذت سلطات الاحتلال الاسرائيلي خلال العام 2022 ما مجموعه 378 عملية هدم، طالت 953 منشأة في الضفة الغربية بما فيها مدينة القدس، تركزت معظم عمليات الهدم في محافظة القدس بواقع 118 عملية هدم بنسبة 31%، خلفت 178 منشأة مهدومة في مدينة القدس منها</w:t>
      </w:r>
      <w:r w:rsidR="005A4B1A">
        <w:rPr>
          <w:rFonts w:ascii="Simplified Arabic" w:hAnsi="Simplified Arabic" w:cs="Simplified Arabic" w:hint="cs"/>
          <w:sz w:val="26"/>
          <w:szCs w:val="26"/>
          <w:rtl/>
        </w:rPr>
        <w:t xml:space="preserve">                  </w:t>
      </w:r>
      <w:r w:rsidR="00DD0F10" w:rsidRPr="00EF1459">
        <w:rPr>
          <w:rFonts w:ascii="Simplified Arabic" w:hAnsi="Simplified Arabic" w:cs="Simplified Arabic"/>
          <w:sz w:val="26"/>
          <w:szCs w:val="26"/>
          <w:rtl/>
        </w:rPr>
        <w:t xml:space="preserve"> 98 عملية هدم ذاتي، كما أصدرت سلطات الاحتلال الاسرائيلي 1,220 إخطاراً بالهدم، منها حوالي 33% في محافظة الخليل و18% في محافظة بيت لحم، و9% في محافظة رام الله والبيرة، بالإضافة الى تدمير العديد من مواقع البنى التحتية التي تخدم الفلسطينيين من طرق وشبكات المياه والصرف الصحي وأماكن ترفيهية ...الخ.</w:t>
      </w:r>
    </w:p>
    <w:p w:rsidR="006277F7" w:rsidRPr="00EF1459" w:rsidRDefault="006277F7" w:rsidP="0017161B">
      <w:pPr>
        <w:rPr>
          <w:rFonts w:ascii="Simplified Arabic" w:hAnsi="Simplified Arabic" w:cs="Simplified Arabic"/>
          <w:b/>
          <w:bCs/>
          <w:sz w:val="10"/>
          <w:szCs w:val="10"/>
        </w:rPr>
      </w:pPr>
    </w:p>
    <w:p w:rsidR="00542A70" w:rsidRPr="00EF1459" w:rsidRDefault="00244312" w:rsidP="00244312">
      <w:pPr>
        <w:tabs>
          <w:tab w:val="left" w:pos="4768"/>
        </w:tabs>
        <w:rPr>
          <w:rFonts w:ascii="Simplified Arabic" w:hAnsi="Simplified Arabic" w:cs="Simplified Arabic"/>
          <w:b/>
          <w:bCs/>
          <w:sz w:val="28"/>
          <w:szCs w:val="28"/>
          <w:rtl/>
        </w:rPr>
      </w:pPr>
      <w:r w:rsidRPr="00EF1459">
        <w:rPr>
          <w:rFonts w:ascii="Simplified Arabic" w:hAnsi="Simplified Arabic" w:cs="Simplified Arabic"/>
          <w:b/>
          <w:bCs/>
          <w:sz w:val="28"/>
          <w:szCs w:val="28"/>
          <w:rtl/>
        </w:rPr>
        <w:t>حصة الفرد الفلسطيني من المياه اقل من الحد الأدنى حسب التوصيات الدولية</w:t>
      </w:r>
    </w:p>
    <w:p w:rsidR="00542A70" w:rsidRPr="00EF1459" w:rsidRDefault="00542A70" w:rsidP="00244312">
      <w:pPr>
        <w:shd w:val="clear" w:color="auto" w:fill="FFFFFF" w:themeFill="background1"/>
        <w:jc w:val="both"/>
        <w:rPr>
          <w:rFonts w:ascii="Simplified Arabic" w:hAnsi="Simplified Arabic" w:cs="Simplified Arabic"/>
          <w:sz w:val="26"/>
          <w:szCs w:val="26"/>
          <w:rtl/>
        </w:rPr>
      </w:pPr>
      <w:r w:rsidRPr="00EF1459">
        <w:rPr>
          <w:rFonts w:ascii="Simplified Arabic" w:hAnsi="Simplified Arabic" w:cs="Simplified Arabic"/>
          <w:sz w:val="26"/>
          <w:szCs w:val="26"/>
          <w:rtl/>
        </w:rPr>
        <w:t>بلغ معدل استهلاك الفرد الفلسطيني اليومي</w:t>
      </w:r>
      <w:r w:rsidR="001C0621" w:rsidRPr="00EF1459">
        <w:rPr>
          <w:rFonts w:ascii="Simplified Arabic" w:hAnsi="Simplified Arabic" w:cs="Simplified Arabic"/>
          <w:sz w:val="26"/>
          <w:szCs w:val="26"/>
          <w:rtl/>
        </w:rPr>
        <w:t xml:space="preserve"> </w:t>
      </w:r>
      <w:r w:rsidRPr="00EF1459">
        <w:rPr>
          <w:rFonts w:ascii="Simplified Arabic" w:hAnsi="Simplified Arabic" w:cs="Simplified Arabic"/>
          <w:sz w:val="26"/>
          <w:szCs w:val="26"/>
          <w:rtl/>
        </w:rPr>
        <w:t>86.3 لتراً من المياه</w:t>
      </w:r>
      <w:r w:rsidR="001C0621" w:rsidRPr="00EF1459">
        <w:rPr>
          <w:rFonts w:ascii="Simplified Arabic" w:hAnsi="Simplified Arabic" w:cs="Simplified Arabic"/>
          <w:sz w:val="26"/>
          <w:szCs w:val="26"/>
          <w:rtl/>
        </w:rPr>
        <w:t xml:space="preserve"> خلال العام 2021</w:t>
      </w:r>
      <w:r w:rsidRPr="00EF1459">
        <w:rPr>
          <w:rFonts w:ascii="Simplified Arabic" w:hAnsi="Simplified Arabic" w:cs="Simplified Arabic"/>
          <w:sz w:val="26"/>
          <w:szCs w:val="26"/>
          <w:rtl/>
        </w:rPr>
        <w:t xml:space="preserve">، </w:t>
      </w:r>
      <w:r w:rsidR="001C0621" w:rsidRPr="00EF1459">
        <w:rPr>
          <w:rFonts w:ascii="Simplified Arabic" w:hAnsi="Simplified Arabic" w:cs="Simplified Arabic"/>
          <w:sz w:val="26"/>
          <w:szCs w:val="26"/>
          <w:rtl/>
        </w:rPr>
        <w:t xml:space="preserve">حيث </w:t>
      </w:r>
      <w:r w:rsidRPr="00EF1459">
        <w:rPr>
          <w:rFonts w:ascii="Simplified Arabic" w:hAnsi="Simplified Arabic" w:cs="Simplified Arabic"/>
          <w:sz w:val="26"/>
          <w:szCs w:val="26"/>
          <w:rtl/>
        </w:rPr>
        <w:t xml:space="preserve">بلغ هذا المعدل 89.0 لتراً في اليوم في الضفة الغربية، مقابل82.7 لتراً في قطاع غزة، واذا ما أخذنا بالاعتبار نسبة التلوث العالية للمياه في قطاع غزة، واحتساب كميات المياه الصالحة للاستخدام الآدمي من الكميات المتاحة، فإن حصة الفرد من المياه العذبة ستنخفض إلى 21.3 لتراً فقط في اليوم، وعند مقارنة هذا المعدل باستهلاك الفرد الإسرائيلي نلاحظ أن معدل استهلاك الفرد الإسرائيلي يزيد بثلاثة أضعاف الفرد الفلسطيني إذ بلغت حصة الفرد الاسرائيلي نحو 300 لتر في اليوم، ويتضاعف هذا المعدل </w:t>
      </w:r>
      <w:r w:rsidR="00244312" w:rsidRPr="00EF1459">
        <w:rPr>
          <w:rFonts w:ascii="Simplified Arabic" w:hAnsi="Simplified Arabic" w:cs="Simplified Arabic"/>
          <w:sz w:val="26"/>
          <w:szCs w:val="26"/>
          <w:rtl/>
        </w:rPr>
        <w:t>للمستعمرين</w:t>
      </w:r>
      <w:r w:rsidRPr="00EF1459">
        <w:rPr>
          <w:rFonts w:ascii="Simplified Arabic" w:hAnsi="Simplified Arabic" w:cs="Simplified Arabic"/>
          <w:sz w:val="26"/>
          <w:szCs w:val="26"/>
          <w:rtl/>
        </w:rPr>
        <w:t xml:space="preserve"> إلى أكثر من 7 أضعاف استهلاك الفرد الفلسطيني. </w:t>
      </w:r>
      <w:r w:rsidR="00AC7CB5" w:rsidRPr="00EF1459">
        <w:rPr>
          <w:rFonts w:ascii="Simplified Arabic" w:hAnsi="Simplified Arabic" w:cs="Simplified Arabic"/>
          <w:sz w:val="26"/>
          <w:szCs w:val="26"/>
          <w:rtl/>
        </w:rPr>
        <w:t xml:space="preserve"> </w:t>
      </w:r>
      <w:r w:rsidRPr="00EF1459">
        <w:rPr>
          <w:rFonts w:ascii="Simplified Arabic" w:hAnsi="Simplified Arabic" w:cs="Simplified Arabic"/>
          <w:sz w:val="26"/>
          <w:szCs w:val="26"/>
          <w:rtl/>
        </w:rPr>
        <w:t>ومن الجدير ذكره أنه ما زال معدل استهلاك الفرد الفلسطيني للمياه أقل من الحد الأدنى الموصى به عالمياً حسب معايير منظمة الصحة العالمية البالغ</w:t>
      </w:r>
      <w:r w:rsidR="00AC7CB5" w:rsidRPr="00EF1459">
        <w:rPr>
          <w:rFonts w:ascii="Simplified Arabic" w:hAnsi="Simplified Arabic" w:cs="Simplified Arabic"/>
          <w:sz w:val="26"/>
          <w:szCs w:val="26"/>
          <w:rtl/>
        </w:rPr>
        <w:t xml:space="preserve"> 100 لتر في اليوم، وذلك نتيجة </w:t>
      </w:r>
      <w:r w:rsidRPr="00EF1459">
        <w:rPr>
          <w:rFonts w:ascii="Simplified Arabic" w:hAnsi="Simplified Arabic" w:cs="Simplified Arabic"/>
          <w:sz w:val="26"/>
          <w:szCs w:val="26"/>
          <w:rtl/>
        </w:rPr>
        <w:t xml:space="preserve">سيطرة </w:t>
      </w:r>
      <w:r w:rsidR="00AC7CB5" w:rsidRPr="00EF1459">
        <w:rPr>
          <w:rFonts w:ascii="Simplified Arabic" w:hAnsi="Simplified Arabic" w:cs="Simplified Arabic"/>
          <w:sz w:val="26"/>
          <w:szCs w:val="26"/>
          <w:rtl/>
        </w:rPr>
        <w:t>الاحتلال الإسرائيلي</w:t>
      </w:r>
      <w:r w:rsidRPr="00EF1459">
        <w:rPr>
          <w:rFonts w:ascii="Simplified Arabic" w:hAnsi="Simplified Arabic" w:cs="Simplified Arabic"/>
          <w:sz w:val="26"/>
          <w:szCs w:val="26"/>
          <w:rtl/>
        </w:rPr>
        <w:t xml:space="preserve"> على أكثر من 85% من المصادر المائية الفلسطينية.</w:t>
      </w:r>
    </w:p>
    <w:p w:rsidR="00EF1459" w:rsidRPr="00EF1459" w:rsidRDefault="00EF1459" w:rsidP="00657C37">
      <w:pPr>
        <w:tabs>
          <w:tab w:val="left" w:pos="2984"/>
        </w:tabs>
        <w:jc w:val="both"/>
        <w:rPr>
          <w:rFonts w:ascii="Simplified Arabic" w:hAnsi="Simplified Arabic" w:cs="Simplified Arabic"/>
          <w:sz w:val="10"/>
          <w:szCs w:val="10"/>
          <w:rtl/>
        </w:rPr>
      </w:pPr>
    </w:p>
    <w:p w:rsidR="00B825A7" w:rsidRPr="00EF1459" w:rsidRDefault="00B825A7" w:rsidP="00B825A7">
      <w:pPr>
        <w:tabs>
          <w:tab w:val="left" w:pos="4768"/>
        </w:tabs>
        <w:ind w:left="-52"/>
        <w:rPr>
          <w:rFonts w:ascii="Simplified Arabic" w:hAnsi="Simplified Arabic" w:cs="Simplified Arabic"/>
          <w:b/>
          <w:bCs/>
          <w:sz w:val="28"/>
          <w:szCs w:val="28"/>
          <w:rtl/>
        </w:rPr>
      </w:pPr>
      <w:r w:rsidRPr="00EF1459">
        <w:rPr>
          <w:rFonts w:ascii="Simplified Arabic" w:hAnsi="Simplified Arabic" w:cs="Simplified Arabic"/>
          <w:b/>
          <w:bCs/>
          <w:sz w:val="28"/>
          <w:szCs w:val="28"/>
          <w:rtl/>
        </w:rPr>
        <w:t>سيطرة الاحتلال الإسرائيلي على مياه نهر الأردن والبحر الميت</w:t>
      </w:r>
    </w:p>
    <w:p w:rsidR="006C68A0" w:rsidRPr="00EF1459" w:rsidRDefault="006C68A0" w:rsidP="006C68A0">
      <w:pPr>
        <w:pStyle w:val="HTMLPreformatted"/>
        <w:bidi/>
        <w:jc w:val="both"/>
        <w:rPr>
          <w:rFonts w:ascii="Simplified Arabic" w:hAnsi="Simplified Arabic" w:cs="Simplified Arabic"/>
          <w:sz w:val="26"/>
          <w:szCs w:val="26"/>
        </w:rPr>
      </w:pPr>
      <w:r w:rsidRPr="00EF1459">
        <w:rPr>
          <w:rFonts w:ascii="Simplified Arabic" w:hAnsi="Simplified Arabic" w:cs="Simplified Arabic"/>
          <w:sz w:val="26"/>
          <w:szCs w:val="26"/>
          <w:rtl/>
        </w:rPr>
        <w:t xml:space="preserve">تعتمد فلسطين بشكل أساسي على المياه المستخرجة من المصادر الجوفية والسطحية، والتي تبلغ نسبتها 76.4% من مجمل المياه المتاحة.  وقد بلغت كمية المياه التي تم ضخها من آبار الأحواض الجوفية (الحوض الشرقي، والحوض </w:t>
      </w:r>
      <w:r w:rsidRPr="00EF1459">
        <w:rPr>
          <w:rFonts w:ascii="Simplified Arabic" w:hAnsi="Simplified Arabic" w:cs="Simplified Arabic"/>
          <w:sz w:val="26"/>
          <w:szCs w:val="26"/>
          <w:rtl/>
        </w:rPr>
        <w:lastRenderedPageBreak/>
        <w:t>الغربي، والحوض الشمالي الشرقي) في الضفة الغربية للعام 2021 نحو 105.3 ملايين م</w:t>
      </w:r>
      <w:r w:rsidRPr="00EF1459">
        <w:rPr>
          <w:rFonts w:ascii="Simplified Arabic" w:hAnsi="Simplified Arabic" w:cs="Simplified Arabic"/>
          <w:sz w:val="26"/>
          <w:szCs w:val="26"/>
          <w:vertAlign w:val="superscript"/>
          <w:rtl/>
        </w:rPr>
        <w:t>3</w:t>
      </w:r>
      <w:r w:rsidRPr="00EF1459">
        <w:rPr>
          <w:rFonts w:ascii="Simplified Arabic" w:hAnsi="Simplified Arabic" w:cs="Simplified Arabic"/>
          <w:sz w:val="26"/>
          <w:szCs w:val="26"/>
          <w:rtl/>
        </w:rPr>
        <w:t>.  ويعود السبب الرئيسي للضعف في استخدام المياه السطحية الى سيطرة الاحتلال الإسرائيلي على مياه نهر الأردن والبحر الميت، وتجدر الإشارة إلى أن الاحتلال الإسرائيلي منع الفلسطينيين من الوصول إلى مياه نهر الأردن منذ عام 1967 والتي تقدر بنحو</w:t>
      </w:r>
      <w:r w:rsidR="005A4B1A">
        <w:rPr>
          <w:rFonts w:ascii="Simplified Arabic" w:hAnsi="Simplified Arabic" w:cs="Simplified Arabic" w:hint="cs"/>
          <w:sz w:val="26"/>
          <w:szCs w:val="26"/>
          <w:rtl/>
        </w:rPr>
        <w:t xml:space="preserve">                    </w:t>
      </w:r>
      <w:r w:rsidRPr="00EF1459">
        <w:rPr>
          <w:rFonts w:ascii="Simplified Arabic" w:hAnsi="Simplified Arabic" w:cs="Simplified Arabic"/>
          <w:sz w:val="26"/>
          <w:szCs w:val="26"/>
          <w:rtl/>
        </w:rPr>
        <w:t xml:space="preserve"> 250 مليون متر مكعب.  فيما بلغت كمية المياه المستخرجة من الحوض الساحلي في قطاع غزة 192.5 مليون م</w:t>
      </w:r>
      <w:r w:rsidRPr="00EF1459">
        <w:rPr>
          <w:rFonts w:ascii="Simplified Arabic" w:hAnsi="Simplified Arabic" w:cs="Simplified Arabic"/>
          <w:sz w:val="26"/>
          <w:szCs w:val="26"/>
          <w:vertAlign w:val="superscript"/>
          <w:rtl/>
        </w:rPr>
        <w:t>3</w:t>
      </w:r>
      <w:r w:rsidRPr="00EF1459">
        <w:rPr>
          <w:rFonts w:ascii="Simplified Arabic" w:hAnsi="Simplified Arabic" w:cs="Simplified Arabic"/>
          <w:sz w:val="26"/>
          <w:szCs w:val="26"/>
          <w:rtl/>
        </w:rPr>
        <w:t xml:space="preserve"> خلال العام 2021، وتعتبر هذه الكمية ضخاً جائراً بسبب الحاجة للمياه وعدم توفر مصدر مياه آخر، حيث يتجاوز الضخ القدرة التخزينية للحوض الساحلي من المياه المتجددة والتي تقدر ب 50-60 مليون متر مكعب في السنة، الأمر الذي أدى إلى نضوب مخزون المياه ونزول مستوى المياه الجوفية إلى ما دون مستوى 19 متراً تحت مستوى سطح البحر، مما أدى إلى تداخل مياه البحر، وترشيح مياه الصرف الصحي إلى الخزان، الأمر الذي جعل أكثر من 97% من مياه الحوض الساحلي غير متوافقة مع معايير منظمة الصحة العالمية. </w:t>
      </w:r>
    </w:p>
    <w:p w:rsidR="008F4B09" w:rsidRPr="00A54E85" w:rsidRDefault="008F4B09" w:rsidP="008F4B09">
      <w:pPr>
        <w:pStyle w:val="NormalWeb"/>
        <w:shd w:val="clear" w:color="auto" w:fill="FFFFFF"/>
        <w:bidi/>
        <w:spacing w:before="0" w:beforeAutospacing="0" w:after="0" w:afterAutospacing="0"/>
        <w:jc w:val="both"/>
        <w:rPr>
          <w:rFonts w:ascii="Simplified Arabic" w:hAnsi="Simplified Arabic" w:cs="Simplified Arabic"/>
          <w:sz w:val="20"/>
          <w:szCs w:val="20"/>
        </w:rPr>
      </w:pPr>
    </w:p>
    <w:p w:rsidR="00587BB4" w:rsidRPr="00EF1459" w:rsidRDefault="00587BB4" w:rsidP="00985AEE">
      <w:pPr>
        <w:jc w:val="both"/>
        <w:rPr>
          <w:rFonts w:cs="Simplified Arabic"/>
          <w:b/>
          <w:bCs/>
          <w:sz w:val="28"/>
          <w:szCs w:val="28"/>
          <w:rtl/>
        </w:rPr>
      </w:pPr>
      <w:r w:rsidRPr="00EF1459">
        <w:rPr>
          <w:rFonts w:cs="Simplified Arabic"/>
          <w:b/>
          <w:bCs/>
          <w:sz w:val="28"/>
          <w:szCs w:val="28"/>
          <w:rtl/>
        </w:rPr>
        <w:t xml:space="preserve">المصادر: </w:t>
      </w:r>
    </w:p>
    <w:p w:rsidR="006277F7" w:rsidRPr="00A54E85" w:rsidRDefault="006277F7" w:rsidP="006277F7">
      <w:pPr>
        <w:pStyle w:val="ListParagraph"/>
        <w:numPr>
          <w:ilvl w:val="0"/>
          <w:numId w:val="2"/>
        </w:numPr>
        <w:spacing w:after="0" w:line="240" w:lineRule="auto"/>
        <w:ind w:left="357" w:hanging="357"/>
        <w:jc w:val="both"/>
        <w:rPr>
          <w:rFonts w:ascii="Simplified Arabic" w:hAnsi="Simplified Arabic" w:cs="Simplified Arabic"/>
          <w:sz w:val="24"/>
          <w:szCs w:val="24"/>
        </w:rPr>
      </w:pPr>
      <w:r w:rsidRPr="00A54E85">
        <w:rPr>
          <w:rFonts w:ascii="Simplified Arabic" w:hAnsi="Simplified Arabic" w:cs="Simplified Arabic"/>
          <w:sz w:val="24"/>
          <w:szCs w:val="24"/>
          <w:rtl/>
        </w:rPr>
        <w:t xml:space="preserve">الجهاز المركزي للإحصاء الفلسطيني </w:t>
      </w:r>
      <w:r w:rsidRPr="00A54E85">
        <w:rPr>
          <w:rFonts w:ascii="Simplified Arabic" w:hAnsi="Simplified Arabic" w:cs="Simplified Arabic" w:hint="cs"/>
          <w:sz w:val="24"/>
          <w:szCs w:val="24"/>
          <w:rtl/>
        </w:rPr>
        <w:t>2022</w:t>
      </w:r>
      <w:r w:rsidRPr="00A54E85">
        <w:rPr>
          <w:rFonts w:ascii="Simplified Arabic" w:hAnsi="Simplified Arabic" w:cs="Simplified Arabic"/>
          <w:sz w:val="24"/>
          <w:szCs w:val="24"/>
          <w:rtl/>
        </w:rPr>
        <w:t xml:space="preserve">: المستعمرات الاسرائيلية في الضفة الغربية </w:t>
      </w:r>
      <w:r w:rsidRPr="00A54E85">
        <w:rPr>
          <w:rFonts w:ascii="Simplified Arabic" w:hAnsi="Simplified Arabic" w:cs="Simplified Arabic" w:hint="cs"/>
          <w:sz w:val="24"/>
          <w:szCs w:val="24"/>
          <w:rtl/>
        </w:rPr>
        <w:t>2021</w:t>
      </w:r>
      <w:r w:rsidRPr="00A54E85">
        <w:rPr>
          <w:rFonts w:ascii="Simplified Arabic" w:hAnsi="Simplified Arabic" w:cs="Simplified Arabic"/>
          <w:sz w:val="24"/>
          <w:szCs w:val="24"/>
          <w:rtl/>
        </w:rPr>
        <w:t>. رام الله- فلسطين</w:t>
      </w:r>
      <w:r w:rsidRPr="00A54E85">
        <w:rPr>
          <w:rFonts w:ascii="Simplified Arabic" w:hAnsi="Simplified Arabic" w:cs="Simplified Arabic" w:hint="cs"/>
          <w:sz w:val="24"/>
          <w:szCs w:val="24"/>
          <w:rtl/>
        </w:rPr>
        <w:t>.</w:t>
      </w:r>
    </w:p>
    <w:p w:rsidR="006277F7" w:rsidRPr="00A54E85" w:rsidRDefault="006277F7" w:rsidP="006277F7">
      <w:pPr>
        <w:pStyle w:val="ListParagraph"/>
        <w:numPr>
          <w:ilvl w:val="0"/>
          <w:numId w:val="2"/>
        </w:numPr>
        <w:spacing w:after="0" w:line="240" w:lineRule="auto"/>
        <w:ind w:left="357" w:hanging="357"/>
        <w:jc w:val="both"/>
        <w:rPr>
          <w:rFonts w:ascii="Simplified Arabic" w:hAnsi="Simplified Arabic" w:cs="Simplified Arabic"/>
          <w:sz w:val="24"/>
          <w:szCs w:val="24"/>
          <w:rtl/>
        </w:rPr>
      </w:pPr>
      <w:r w:rsidRPr="00A54E85">
        <w:rPr>
          <w:rFonts w:ascii="Simplified Arabic" w:hAnsi="Simplified Arabic" w:cs="Simplified Arabic"/>
          <w:sz w:val="24"/>
          <w:szCs w:val="24"/>
          <w:rtl/>
        </w:rPr>
        <w:t xml:space="preserve">هيئة مقاومة الجدار والاستيطان </w:t>
      </w:r>
      <w:r w:rsidRPr="00A54E85">
        <w:rPr>
          <w:rFonts w:ascii="Simplified Arabic" w:hAnsi="Simplified Arabic" w:cs="Simplified Arabic" w:hint="cs"/>
          <w:sz w:val="24"/>
          <w:szCs w:val="24"/>
          <w:rtl/>
        </w:rPr>
        <w:t>2023</w:t>
      </w:r>
      <w:r w:rsidRPr="00A54E85">
        <w:rPr>
          <w:rFonts w:ascii="Simplified Arabic" w:hAnsi="Simplified Arabic" w:cs="Simplified Arabic"/>
          <w:sz w:val="24"/>
          <w:szCs w:val="24"/>
          <w:rtl/>
        </w:rPr>
        <w:t xml:space="preserve">، أبرز انتهاكات </w:t>
      </w:r>
      <w:r w:rsidRPr="00A54E85">
        <w:rPr>
          <w:rFonts w:ascii="Simplified Arabic" w:hAnsi="Simplified Arabic" w:cs="Simplified Arabic" w:hint="cs"/>
          <w:sz w:val="24"/>
          <w:szCs w:val="24"/>
          <w:rtl/>
        </w:rPr>
        <w:t>دولة الاحتلال والمستعمرين في الأراضي</w:t>
      </w:r>
      <w:r w:rsidRPr="00A54E85">
        <w:rPr>
          <w:rFonts w:ascii="Simplified Arabic" w:hAnsi="Simplified Arabic" w:cs="Simplified Arabic"/>
          <w:sz w:val="24"/>
          <w:szCs w:val="24"/>
          <w:rtl/>
        </w:rPr>
        <w:t xml:space="preserve"> </w:t>
      </w:r>
      <w:r w:rsidRPr="00A54E85">
        <w:rPr>
          <w:rFonts w:ascii="Simplified Arabic" w:hAnsi="Simplified Arabic" w:cs="Simplified Arabic" w:hint="cs"/>
          <w:sz w:val="24"/>
          <w:szCs w:val="24"/>
          <w:rtl/>
        </w:rPr>
        <w:t>ال</w:t>
      </w:r>
      <w:r w:rsidRPr="00A54E85">
        <w:rPr>
          <w:rFonts w:ascii="Simplified Arabic" w:hAnsi="Simplified Arabic" w:cs="Simplified Arabic"/>
          <w:sz w:val="24"/>
          <w:szCs w:val="24"/>
          <w:rtl/>
        </w:rPr>
        <w:t>فلسطين</w:t>
      </w:r>
      <w:r w:rsidRPr="00A54E85">
        <w:rPr>
          <w:rFonts w:ascii="Simplified Arabic" w:hAnsi="Simplified Arabic" w:cs="Simplified Arabic" w:hint="cs"/>
          <w:sz w:val="24"/>
          <w:szCs w:val="24"/>
          <w:rtl/>
        </w:rPr>
        <w:t>ية المحتلة، التقرير السنوي</w:t>
      </w:r>
      <w:r w:rsidRPr="00A54E85">
        <w:rPr>
          <w:rFonts w:ascii="Simplified Arabic" w:hAnsi="Simplified Arabic" w:cs="Simplified Arabic"/>
          <w:sz w:val="24"/>
          <w:szCs w:val="24"/>
          <w:rtl/>
        </w:rPr>
        <w:t>،</w:t>
      </w:r>
      <w:r w:rsidRPr="00A54E85">
        <w:rPr>
          <w:rFonts w:ascii="Simplified Arabic" w:hAnsi="Simplified Arabic" w:cs="Simplified Arabic" w:hint="cs"/>
          <w:sz w:val="24"/>
          <w:szCs w:val="24"/>
          <w:rtl/>
        </w:rPr>
        <w:t xml:space="preserve"> 2022</w:t>
      </w:r>
      <w:r w:rsidRPr="00A54E85">
        <w:rPr>
          <w:rFonts w:ascii="Simplified Arabic" w:hAnsi="Simplified Arabic" w:cs="Simplified Arabic"/>
          <w:sz w:val="24"/>
          <w:szCs w:val="24"/>
          <w:rtl/>
        </w:rPr>
        <w:t>. رام الله- فلسطين</w:t>
      </w:r>
      <w:r w:rsidRPr="00A54E85">
        <w:rPr>
          <w:rFonts w:ascii="Simplified Arabic" w:hAnsi="Simplified Arabic" w:cs="Simplified Arabic" w:hint="cs"/>
          <w:sz w:val="24"/>
          <w:szCs w:val="24"/>
          <w:rtl/>
        </w:rPr>
        <w:t>.</w:t>
      </w:r>
    </w:p>
    <w:p w:rsidR="006277F7" w:rsidRPr="00A54E85" w:rsidRDefault="006277F7" w:rsidP="006277F7">
      <w:pPr>
        <w:pStyle w:val="ListParagraph"/>
        <w:numPr>
          <w:ilvl w:val="0"/>
          <w:numId w:val="2"/>
        </w:numPr>
        <w:spacing w:after="0" w:line="240" w:lineRule="auto"/>
        <w:ind w:left="357" w:hanging="357"/>
        <w:jc w:val="both"/>
        <w:rPr>
          <w:rFonts w:ascii="Simplified Arabic" w:hAnsi="Simplified Arabic" w:cs="Simplified Arabic"/>
          <w:sz w:val="24"/>
          <w:szCs w:val="24"/>
        </w:rPr>
      </w:pPr>
      <w:r w:rsidRPr="00A54E85">
        <w:rPr>
          <w:rFonts w:ascii="Simplified Arabic" w:hAnsi="Simplified Arabic" w:cs="Simplified Arabic" w:hint="cs"/>
          <w:sz w:val="24"/>
          <w:szCs w:val="24"/>
          <w:rtl/>
        </w:rPr>
        <w:t>هيئة شؤون الأسرى والمحررين</w:t>
      </w:r>
      <w:r w:rsidRPr="00A54E85">
        <w:rPr>
          <w:rFonts w:ascii="Simplified Arabic" w:hAnsi="Simplified Arabic" w:cs="Simplified Arabic"/>
          <w:sz w:val="24"/>
          <w:szCs w:val="24"/>
          <w:rtl/>
        </w:rPr>
        <w:t>،</w:t>
      </w:r>
      <w:r w:rsidRPr="00A54E85">
        <w:rPr>
          <w:rFonts w:ascii="Simplified Arabic" w:hAnsi="Simplified Arabic" w:cs="Simplified Arabic" w:hint="cs"/>
          <w:sz w:val="24"/>
          <w:szCs w:val="24"/>
          <w:rtl/>
        </w:rPr>
        <w:t xml:space="preserve"> 2023. التقرير السنوي للأسرى 2022</w:t>
      </w:r>
      <w:r w:rsidRPr="00A54E85">
        <w:rPr>
          <w:rFonts w:ascii="Simplified Arabic" w:hAnsi="Simplified Arabic" w:cs="Simplified Arabic"/>
          <w:sz w:val="24"/>
          <w:szCs w:val="24"/>
          <w:rtl/>
        </w:rPr>
        <w:t>. رام الله- فلسطين</w:t>
      </w:r>
      <w:r w:rsidRPr="00A54E85">
        <w:rPr>
          <w:rFonts w:ascii="Simplified Arabic" w:hAnsi="Simplified Arabic" w:cs="Simplified Arabic" w:hint="cs"/>
          <w:sz w:val="24"/>
          <w:szCs w:val="24"/>
          <w:rtl/>
        </w:rPr>
        <w:t>.</w:t>
      </w:r>
    </w:p>
    <w:p w:rsidR="006277F7" w:rsidRPr="00A54E85" w:rsidRDefault="006277F7" w:rsidP="006277F7">
      <w:pPr>
        <w:pStyle w:val="ListParagraph"/>
        <w:numPr>
          <w:ilvl w:val="0"/>
          <w:numId w:val="2"/>
        </w:numPr>
        <w:spacing w:after="0" w:line="240" w:lineRule="auto"/>
        <w:ind w:left="357" w:hanging="357"/>
        <w:jc w:val="both"/>
        <w:rPr>
          <w:rFonts w:ascii="Simplified Arabic" w:hAnsi="Simplified Arabic" w:cs="Simplified Arabic"/>
          <w:sz w:val="24"/>
          <w:szCs w:val="24"/>
        </w:rPr>
      </w:pPr>
      <w:r w:rsidRPr="00A54E85">
        <w:rPr>
          <w:rFonts w:ascii="Simplified Arabic" w:hAnsi="Simplified Arabic" w:cs="Simplified Arabic" w:hint="cs"/>
          <w:sz w:val="24"/>
          <w:szCs w:val="24"/>
          <w:rtl/>
        </w:rPr>
        <w:t xml:space="preserve">محافظة القدس الشريف، أبرز انتهاكات الاحتلال الإسرائيلي في محافظة القدس 2022. القدس - فلسطين.  </w:t>
      </w:r>
    </w:p>
    <w:p w:rsidR="006277F7" w:rsidRPr="00A54E85" w:rsidRDefault="006277F7" w:rsidP="006277F7">
      <w:pPr>
        <w:pStyle w:val="ListParagraph"/>
        <w:numPr>
          <w:ilvl w:val="0"/>
          <w:numId w:val="2"/>
        </w:numPr>
        <w:spacing w:after="0" w:line="240" w:lineRule="auto"/>
        <w:ind w:left="357" w:hanging="357"/>
        <w:jc w:val="both"/>
        <w:rPr>
          <w:rFonts w:ascii="Simplified Arabic" w:hAnsi="Simplified Arabic" w:cs="Simplified Arabic"/>
          <w:sz w:val="24"/>
          <w:szCs w:val="24"/>
        </w:rPr>
      </w:pPr>
      <w:r w:rsidRPr="00A54E85">
        <w:rPr>
          <w:rFonts w:ascii="Simplified Arabic" w:hAnsi="Simplified Arabic" w:cs="Simplified Arabic" w:hint="cs"/>
          <w:sz w:val="24"/>
          <w:szCs w:val="24"/>
          <w:rtl/>
        </w:rPr>
        <w:t>مكتب تنسيق الشؤون الإنسانية في الأراضي المحتلة (أوتشا)، 2023.</w:t>
      </w:r>
    </w:p>
    <w:p w:rsidR="006277F7" w:rsidRPr="00A54E85" w:rsidRDefault="006277F7" w:rsidP="006277F7">
      <w:pPr>
        <w:pStyle w:val="ListParagraph"/>
        <w:numPr>
          <w:ilvl w:val="0"/>
          <w:numId w:val="2"/>
        </w:numPr>
        <w:spacing w:after="0" w:line="240" w:lineRule="auto"/>
        <w:ind w:left="357" w:hanging="357"/>
        <w:jc w:val="both"/>
        <w:rPr>
          <w:rFonts w:ascii="Simplified Arabic" w:hAnsi="Simplified Arabic" w:cs="Simplified Arabic"/>
          <w:sz w:val="24"/>
          <w:szCs w:val="24"/>
        </w:rPr>
      </w:pPr>
      <w:r w:rsidRPr="00A54E85">
        <w:rPr>
          <w:rFonts w:ascii="Simplified Arabic" w:hAnsi="Simplified Arabic" w:cs="Simplified Arabic"/>
          <w:sz w:val="24"/>
          <w:szCs w:val="24"/>
          <w:rtl/>
        </w:rPr>
        <w:t>وزارة الصحة</w:t>
      </w:r>
      <w:r w:rsidRPr="00A54E85">
        <w:rPr>
          <w:rFonts w:ascii="Simplified Arabic" w:hAnsi="Simplified Arabic" w:cs="Simplified Arabic" w:hint="cs"/>
          <w:sz w:val="24"/>
          <w:szCs w:val="24"/>
          <w:rtl/>
        </w:rPr>
        <w:t xml:space="preserve"> الفلسطينية</w:t>
      </w:r>
      <w:r w:rsidRPr="00A54E85">
        <w:rPr>
          <w:rFonts w:ascii="Simplified Arabic" w:hAnsi="Simplified Arabic" w:cs="Simplified Arabic"/>
          <w:sz w:val="24"/>
          <w:szCs w:val="24"/>
          <w:rtl/>
        </w:rPr>
        <w:t xml:space="preserve"> -</w:t>
      </w:r>
      <w:r w:rsidRPr="00A54E85">
        <w:rPr>
          <w:rFonts w:ascii="Simplified Arabic" w:hAnsi="Simplified Arabic" w:cs="Simplified Arabic"/>
          <w:sz w:val="24"/>
          <w:szCs w:val="24"/>
        </w:rPr>
        <w:t xml:space="preserve"> </w:t>
      </w:r>
      <w:r w:rsidRPr="00A54E85">
        <w:rPr>
          <w:rFonts w:ascii="Simplified Arabic" w:hAnsi="Simplified Arabic" w:cs="Simplified Arabic"/>
          <w:sz w:val="24"/>
          <w:szCs w:val="24"/>
          <w:rtl/>
        </w:rPr>
        <w:t>الإدارة العامة للطوارئ</w:t>
      </w:r>
      <w:r w:rsidRPr="00A54E85">
        <w:rPr>
          <w:rFonts w:ascii="Simplified Arabic" w:hAnsi="Simplified Arabic" w:cs="Simplified Arabic" w:hint="cs"/>
          <w:sz w:val="24"/>
          <w:szCs w:val="24"/>
          <w:rtl/>
        </w:rPr>
        <w:t xml:space="preserve">، 2023. </w:t>
      </w:r>
      <w:r w:rsidRPr="00A54E85">
        <w:rPr>
          <w:rFonts w:ascii="Simplified Arabic" w:hAnsi="Simplified Arabic" w:cs="Simplified Arabic"/>
          <w:sz w:val="24"/>
          <w:szCs w:val="24"/>
          <w:rtl/>
        </w:rPr>
        <w:t>التقرير السنوي حول اعتداءات الاحتلال الإسرائيلي</w:t>
      </w:r>
      <w:r w:rsidRPr="00A54E85">
        <w:rPr>
          <w:rFonts w:ascii="Simplified Arabic" w:hAnsi="Simplified Arabic" w:cs="Simplified Arabic" w:hint="cs"/>
          <w:sz w:val="24"/>
          <w:szCs w:val="24"/>
          <w:rtl/>
        </w:rPr>
        <w:t xml:space="preserve">، </w:t>
      </w:r>
      <w:r w:rsidRPr="00A54E85">
        <w:rPr>
          <w:rFonts w:ascii="Simplified Arabic" w:hAnsi="Simplified Arabic" w:cs="Simplified Arabic"/>
          <w:sz w:val="24"/>
          <w:szCs w:val="24"/>
          <w:rtl/>
        </w:rPr>
        <w:t>2022</w:t>
      </w:r>
      <w:r w:rsidRPr="00A54E85">
        <w:rPr>
          <w:rFonts w:ascii="Simplified Arabic" w:hAnsi="Simplified Arabic" w:cs="Simplified Arabic" w:hint="cs"/>
          <w:sz w:val="24"/>
          <w:szCs w:val="24"/>
          <w:rtl/>
        </w:rPr>
        <w:t xml:space="preserve">. رام الله </w:t>
      </w:r>
      <w:r w:rsidRPr="00A54E85">
        <w:rPr>
          <w:rFonts w:ascii="Simplified Arabic" w:hAnsi="Simplified Arabic" w:cs="Simplified Arabic"/>
          <w:sz w:val="24"/>
          <w:szCs w:val="24"/>
          <w:rtl/>
        </w:rPr>
        <w:t>–</w:t>
      </w:r>
      <w:r w:rsidRPr="00A54E85">
        <w:rPr>
          <w:rFonts w:ascii="Simplified Arabic" w:hAnsi="Simplified Arabic" w:cs="Simplified Arabic" w:hint="cs"/>
          <w:sz w:val="24"/>
          <w:szCs w:val="24"/>
          <w:rtl/>
        </w:rPr>
        <w:t xml:space="preserve"> فلسطين.</w:t>
      </w:r>
    </w:p>
    <w:p w:rsidR="0017161B" w:rsidRPr="00A54E85" w:rsidRDefault="0017161B" w:rsidP="00943BF0">
      <w:pPr>
        <w:pStyle w:val="ListParagraph"/>
        <w:numPr>
          <w:ilvl w:val="0"/>
          <w:numId w:val="2"/>
        </w:numPr>
        <w:jc w:val="both"/>
        <w:rPr>
          <w:rFonts w:ascii="Times New Roman" w:hAnsi="Times New Roman" w:cs="Simplified Arabic"/>
          <w:sz w:val="24"/>
          <w:szCs w:val="24"/>
          <w:rtl/>
        </w:rPr>
      </w:pPr>
      <w:r w:rsidRPr="00A54E85">
        <w:rPr>
          <w:rFonts w:ascii="Times New Roman" w:hAnsi="Times New Roman" w:cs="Simplified Arabic"/>
          <w:sz w:val="24"/>
          <w:szCs w:val="24"/>
          <w:rtl/>
        </w:rPr>
        <w:t xml:space="preserve">الجهاز المركزي للإحصاء الفلسطيني، </w:t>
      </w:r>
      <w:r w:rsidR="00943BF0" w:rsidRPr="00A54E85">
        <w:rPr>
          <w:rFonts w:ascii="Times New Roman" w:hAnsi="Times New Roman" w:cs="Simplified Arabic" w:hint="cs"/>
          <w:sz w:val="24"/>
          <w:szCs w:val="24"/>
          <w:rtl/>
        </w:rPr>
        <w:t>2023</w:t>
      </w:r>
      <w:r w:rsidRPr="00A54E85">
        <w:rPr>
          <w:rFonts w:ascii="Times New Roman" w:hAnsi="Times New Roman" w:cs="Simplified Arabic"/>
          <w:sz w:val="24"/>
          <w:szCs w:val="24"/>
          <w:rtl/>
        </w:rPr>
        <w:t xml:space="preserve">.  تقديرات منقحة مبنية على النتائج النهائية للتعداد العام للسكان والمساكن والمنشآت 2017. رام الله - فلسطين. </w:t>
      </w:r>
    </w:p>
    <w:p w:rsidR="0017161B" w:rsidRPr="00A54E85" w:rsidRDefault="0017161B" w:rsidP="00511512">
      <w:pPr>
        <w:pStyle w:val="ListParagraph"/>
        <w:numPr>
          <w:ilvl w:val="0"/>
          <w:numId w:val="2"/>
        </w:numPr>
        <w:jc w:val="both"/>
        <w:rPr>
          <w:rFonts w:ascii="Times New Roman" w:hAnsi="Times New Roman" w:cs="Simplified Arabic"/>
          <w:sz w:val="24"/>
          <w:szCs w:val="24"/>
        </w:rPr>
      </w:pPr>
      <w:r w:rsidRPr="00A54E85">
        <w:rPr>
          <w:rFonts w:ascii="Times New Roman" w:hAnsi="Times New Roman" w:cs="Simplified Arabic"/>
          <w:sz w:val="24"/>
          <w:szCs w:val="24"/>
          <w:rtl/>
        </w:rPr>
        <w:t xml:space="preserve">مكتب الإحصاء المركزي الإسرائيلي، الكتاب الإحصائي السنوي الإسرائيلي. القدس، </w:t>
      </w:r>
      <w:r w:rsidR="00511512" w:rsidRPr="00A54E85">
        <w:rPr>
          <w:rFonts w:ascii="Times New Roman" w:hAnsi="Times New Roman" w:cs="Simplified Arabic"/>
          <w:sz w:val="24"/>
          <w:szCs w:val="24"/>
        </w:rPr>
        <w:t>2022</w:t>
      </w:r>
      <w:r w:rsidRPr="00A54E85">
        <w:rPr>
          <w:rFonts w:ascii="Times New Roman" w:hAnsi="Times New Roman" w:cs="Simplified Arabic"/>
          <w:sz w:val="24"/>
          <w:szCs w:val="24"/>
          <w:rtl/>
        </w:rPr>
        <w:t>.</w:t>
      </w:r>
    </w:p>
    <w:p w:rsidR="0017161B" w:rsidRPr="00A54E85" w:rsidRDefault="0017161B" w:rsidP="00511512">
      <w:pPr>
        <w:pStyle w:val="ListParagraph"/>
        <w:numPr>
          <w:ilvl w:val="0"/>
          <w:numId w:val="2"/>
        </w:numPr>
        <w:spacing w:after="0" w:line="240" w:lineRule="auto"/>
        <w:ind w:left="357" w:hanging="357"/>
        <w:jc w:val="both"/>
        <w:rPr>
          <w:rFonts w:ascii="Simplified Arabic" w:hAnsi="Simplified Arabic" w:cs="Simplified Arabic"/>
          <w:sz w:val="24"/>
          <w:szCs w:val="24"/>
        </w:rPr>
      </w:pPr>
      <w:r w:rsidRPr="00A54E85">
        <w:rPr>
          <w:rFonts w:ascii="Simplified Arabic" w:hAnsi="Simplified Arabic" w:cs="Simplified Arabic"/>
          <w:sz w:val="24"/>
          <w:szCs w:val="24"/>
          <w:rtl/>
        </w:rPr>
        <w:t>منظمة</w:t>
      </w:r>
      <w:r w:rsidRPr="00A54E85">
        <w:rPr>
          <w:rFonts w:ascii="Simplified Arabic" w:hAnsi="Simplified Arabic" w:cs="Simplified Arabic"/>
          <w:sz w:val="24"/>
          <w:szCs w:val="24"/>
        </w:rPr>
        <w:t> </w:t>
      </w:r>
      <w:r w:rsidRPr="00A54E85">
        <w:rPr>
          <w:rFonts w:ascii="Simplified Arabic" w:hAnsi="Simplified Arabic" w:cs="Simplified Arabic"/>
          <w:sz w:val="24"/>
          <w:szCs w:val="24"/>
          <w:rtl/>
        </w:rPr>
        <w:t>مراقبة حقوق الإنسان</w:t>
      </w:r>
      <w:r w:rsidRPr="00A54E85">
        <w:rPr>
          <w:rFonts w:ascii="Simplified Arabic" w:hAnsi="Simplified Arabic" w:cs="Simplified Arabic" w:hint="cs"/>
          <w:sz w:val="24"/>
          <w:szCs w:val="24"/>
          <w:rtl/>
        </w:rPr>
        <w:t xml:space="preserve"> (هيومن رايت</w:t>
      </w:r>
      <w:r w:rsidR="008D1247" w:rsidRPr="00A54E85">
        <w:rPr>
          <w:rFonts w:ascii="Simplified Arabic" w:hAnsi="Simplified Arabic" w:cs="Simplified Arabic" w:hint="cs"/>
          <w:sz w:val="24"/>
          <w:szCs w:val="24"/>
          <w:rtl/>
        </w:rPr>
        <w:t>س</w:t>
      </w:r>
      <w:r w:rsidRPr="00A54E85">
        <w:rPr>
          <w:rFonts w:ascii="Simplified Arabic" w:hAnsi="Simplified Arabic" w:cs="Simplified Arabic" w:hint="cs"/>
          <w:sz w:val="24"/>
          <w:szCs w:val="24"/>
          <w:rtl/>
        </w:rPr>
        <w:t xml:space="preserve"> واتش)، </w:t>
      </w:r>
      <w:r w:rsidR="00511512" w:rsidRPr="00A54E85">
        <w:rPr>
          <w:rFonts w:ascii="Simplified Arabic" w:hAnsi="Simplified Arabic" w:cs="Simplified Arabic"/>
          <w:sz w:val="24"/>
          <w:szCs w:val="24"/>
        </w:rPr>
        <w:t>2022</w:t>
      </w:r>
      <w:r w:rsidRPr="00A54E85">
        <w:rPr>
          <w:rFonts w:ascii="Simplified Arabic" w:hAnsi="Simplified Arabic" w:cs="Simplified Arabic" w:hint="cs"/>
          <w:sz w:val="24"/>
          <w:szCs w:val="24"/>
          <w:rtl/>
        </w:rPr>
        <w:t>.</w:t>
      </w:r>
    </w:p>
    <w:p w:rsidR="00F42DBC" w:rsidRPr="00A54E85" w:rsidRDefault="00F42DBC" w:rsidP="00F42DBC">
      <w:pPr>
        <w:jc w:val="both"/>
        <w:rPr>
          <w:rFonts w:cs="Simplified Arabic"/>
          <w:sz w:val="24"/>
          <w:szCs w:val="24"/>
          <w:rtl/>
        </w:rPr>
      </w:pPr>
    </w:p>
    <w:tbl>
      <w:tblPr>
        <w:tblStyle w:val="TableGrid"/>
        <w:bidiVisual/>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ook w:val="04A0" w:firstRow="1" w:lastRow="0" w:firstColumn="1" w:lastColumn="0" w:noHBand="0" w:noVBand="1"/>
      </w:tblPr>
      <w:tblGrid>
        <w:gridCol w:w="5312"/>
      </w:tblGrid>
      <w:tr w:rsidR="00060B45" w:rsidRPr="00060B45" w:rsidTr="006C68A0">
        <w:trPr>
          <w:trHeight w:val="230"/>
        </w:trPr>
        <w:tc>
          <w:tcPr>
            <w:tcW w:w="4464" w:type="dxa"/>
            <w:vMerge w:val="restart"/>
          </w:tcPr>
          <w:tbl>
            <w:tblPr>
              <w:tblStyle w:val="TableGrid"/>
              <w:bidiVisual/>
              <w:tblW w:w="50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1792"/>
            </w:tblGrid>
            <w:tr w:rsidR="00060B45" w:rsidRPr="00060B45" w:rsidTr="006C68A0">
              <w:trPr>
                <w:jc w:val="center"/>
              </w:trPr>
              <w:tc>
                <w:tcPr>
                  <w:tcW w:w="3304" w:type="dxa"/>
                </w:tcPr>
                <w:p w:rsidR="003C2B51" w:rsidRPr="00A54E85" w:rsidRDefault="003C2B51" w:rsidP="00F43F1D">
                  <w:pPr>
                    <w:jc w:val="both"/>
                    <w:rPr>
                      <w:rFonts w:cs="Simplified Arabic"/>
                      <w:rtl/>
                    </w:rPr>
                  </w:pPr>
                  <w:r w:rsidRPr="00A54E85">
                    <w:rPr>
                      <w:rFonts w:cs="Simplified Arabic" w:hint="cs"/>
                      <w:b/>
                      <w:bCs/>
                      <w:rtl/>
                    </w:rPr>
                    <w:t>لمزيد من المعلومات يرجى الاتصال:</w:t>
                  </w:r>
                </w:p>
                <w:p w:rsidR="003C2B51" w:rsidRPr="00A54E85" w:rsidRDefault="003C2B51" w:rsidP="00F43F1D">
                  <w:pPr>
                    <w:pStyle w:val="BodyText"/>
                    <w:jc w:val="both"/>
                    <w:rPr>
                      <w:b/>
                      <w:bCs/>
                      <w:sz w:val="20"/>
                      <w:szCs w:val="20"/>
                      <w:rtl/>
                    </w:rPr>
                  </w:pPr>
                  <w:r w:rsidRPr="00A54E85">
                    <w:rPr>
                      <w:rFonts w:hint="cs"/>
                      <w:b/>
                      <w:bCs/>
                      <w:sz w:val="20"/>
                      <w:szCs w:val="20"/>
                      <w:rtl/>
                    </w:rPr>
                    <w:t>الجهاز المركزي للإحصاء الفلسطيني</w:t>
                  </w:r>
                </w:p>
                <w:p w:rsidR="003C2B51" w:rsidRPr="00A54E85" w:rsidRDefault="003C2B51" w:rsidP="00F43F1D">
                  <w:pPr>
                    <w:pStyle w:val="BodyText"/>
                    <w:jc w:val="both"/>
                    <w:rPr>
                      <w:b/>
                      <w:bCs/>
                      <w:sz w:val="20"/>
                      <w:szCs w:val="20"/>
                      <w:rtl/>
                    </w:rPr>
                  </w:pPr>
                  <w:r w:rsidRPr="00A54E85">
                    <w:rPr>
                      <w:b/>
                      <w:bCs/>
                      <w:sz w:val="20"/>
                      <w:szCs w:val="20"/>
                      <w:rtl/>
                    </w:rPr>
                    <w:t xml:space="preserve">ص.ب. 1647، رام الله، </w:t>
                  </w:r>
                  <w:r w:rsidRPr="00A54E85">
                    <w:rPr>
                      <w:b/>
                      <w:bCs/>
                      <w:sz w:val="20"/>
                      <w:szCs w:val="20"/>
                    </w:rPr>
                    <w:t>P6028179</w:t>
                  </w:r>
                  <w:r w:rsidRPr="00A54E85">
                    <w:rPr>
                      <w:b/>
                      <w:bCs/>
                      <w:sz w:val="20"/>
                      <w:szCs w:val="20"/>
                      <w:rtl/>
                    </w:rPr>
                    <w:t xml:space="preserve">، فلسطين  </w:t>
                  </w:r>
                </w:p>
                <w:p w:rsidR="003C2B51" w:rsidRPr="00A54E85" w:rsidRDefault="003C2B51" w:rsidP="00F43F1D">
                  <w:pPr>
                    <w:pStyle w:val="BodyText"/>
                    <w:jc w:val="both"/>
                    <w:rPr>
                      <w:b/>
                      <w:bCs/>
                      <w:sz w:val="20"/>
                      <w:szCs w:val="20"/>
                      <w:rtl/>
                    </w:rPr>
                  </w:pPr>
                </w:p>
                <w:p w:rsidR="003C2B51" w:rsidRPr="00A54E85" w:rsidRDefault="003C2B51" w:rsidP="00F43F1D">
                  <w:pPr>
                    <w:jc w:val="both"/>
                    <w:rPr>
                      <w:rFonts w:cs="Simplified Arabic"/>
                      <w:rtl/>
                    </w:rPr>
                  </w:pPr>
                  <w:r w:rsidRPr="00A54E85">
                    <w:rPr>
                      <w:rFonts w:cs="Simplified Arabic"/>
                      <w:rtl/>
                    </w:rPr>
                    <w:t>ه</w:t>
                  </w:r>
                  <w:r w:rsidRPr="00A54E85">
                    <w:rPr>
                      <w:rFonts w:cs="Simplified Arabic" w:hint="cs"/>
                      <w:rtl/>
                    </w:rPr>
                    <w:t xml:space="preserve">اتف: </w:t>
                  </w:r>
                  <w:r w:rsidRPr="00A54E85">
                    <w:rPr>
                      <w:rFonts w:cs="Simplified Arabic"/>
                    </w:rPr>
                    <w:t>02-2982700</w:t>
                  </w:r>
                  <w:r w:rsidRPr="00A54E85">
                    <w:rPr>
                      <w:rFonts w:cs="Simplified Arabic"/>
                      <w:rtl/>
                    </w:rPr>
                    <w:t xml:space="preserve"> (972/970) </w:t>
                  </w:r>
                </w:p>
                <w:p w:rsidR="003C2B51" w:rsidRPr="00A54E85" w:rsidRDefault="003C2B51" w:rsidP="00F43F1D">
                  <w:pPr>
                    <w:jc w:val="both"/>
                    <w:rPr>
                      <w:rFonts w:cs="Simplified Arabic"/>
                      <w:rtl/>
                    </w:rPr>
                  </w:pPr>
                  <w:r w:rsidRPr="00A54E85">
                    <w:rPr>
                      <w:rFonts w:cs="Simplified Arabic" w:hint="cs"/>
                      <w:rtl/>
                    </w:rPr>
                    <w:t xml:space="preserve">فاكس: </w:t>
                  </w:r>
                  <w:r w:rsidRPr="00A54E85">
                    <w:rPr>
                      <w:rFonts w:cs="Simplified Arabic"/>
                    </w:rPr>
                    <w:t>02- 2982710</w:t>
                  </w:r>
                  <w:r w:rsidRPr="00A54E85">
                    <w:rPr>
                      <w:rFonts w:cs="Simplified Arabic"/>
                      <w:rtl/>
                    </w:rPr>
                    <w:t xml:space="preserve"> (972/970) </w:t>
                  </w:r>
                </w:p>
                <w:p w:rsidR="003C2B51" w:rsidRPr="00A54E85" w:rsidRDefault="003C2B51" w:rsidP="00F43F1D">
                  <w:pPr>
                    <w:jc w:val="both"/>
                    <w:rPr>
                      <w:rFonts w:cs="Simplified Arabic"/>
                      <w:rtl/>
                    </w:rPr>
                  </w:pPr>
                  <w:r w:rsidRPr="00A54E85">
                    <w:rPr>
                      <w:rFonts w:cs="Simplified Arabic"/>
                      <w:rtl/>
                    </w:rPr>
                    <w:t>خط مجاني</w:t>
                  </w:r>
                  <w:r w:rsidRPr="00A54E85">
                    <w:rPr>
                      <w:rFonts w:cs="Simplified Arabic" w:hint="cs"/>
                      <w:rtl/>
                    </w:rPr>
                    <w:t xml:space="preserve">: </w:t>
                  </w:r>
                  <w:r w:rsidRPr="00A54E85">
                    <w:rPr>
                      <w:rFonts w:cs="Simplified Arabic"/>
                    </w:rPr>
                    <w:t>1800300300</w:t>
                  </w:r>
                </w:p>
                <w:p w:rsidR="003C2B51" w:rsidRPr="00A54E85" w:rsidRDefault="003C2B51" w:rsidP="00F43F1D">
                  <w:pPr>
                    <w:jc w:val="both"/>
                    <w:rPr>
                      <w:rFonts w:cs="Simplified Arabic"/>
                      <w:rtl/>
                    </w:rPr>
                  </w:pPr>
                  <w:r w:rsidRPr="00A54E85">
                    <w:rPr>
                      <w:rFonts w:cs="Simplified Arabic" w:hint="cs"/>
                      <w:rtl/>
                    </w:rPr>
                    <w:t xml:space="preserve">بريد إلكتروني: </w:t>
                  </w:r>
                  <w:r w:rsidRPr="00A54E85">
                    <w:rPr>
                      <w:rFonts w:cs="Simplified Arabic"/>
                    </w:rPr>
                    <w:t>diwan@pcbs.gov.ps</w:t>
                  </w:r>
                  <w:r w:rsidRPr="00A54E85">
                    <w:rPr>
                      <w:rFonts w:cs="Simplified Arabic"/>
                      <w:rtl/>
                    </w:rPr>
                    <w:t xml:space="preserve"> </w:t>
                  </w:r>
                </w:p>
                <w:p w:rsidR="003C2B51" w:rsidRPr="00A54E85" w:rsidRDefault="003C2B51" w:rsidP="006C68A0">
                  <w:pPr>
                    <w:jc w:val="both"/>
                    <w:rPr>
                      <w:rFonts w:cs="Simplified Arabic"/>
                      <w:rtl/>
                    </w:rPr>
                  </w:pPr>
                  <w:r w:rsidRPr="00A54E85">
                    <w:rPr>
                      <w:rFonts w:cs="Simplified Arabic" w:hint="cs"/>
                      <w:rtl/>
                    </w:rPr>
                    <w:t xml:space="preserve">الصفحة الالكترونية: </w:t>
                  </w:r>
                  <w:hyperlink r:id="rId9" w:history="1">
                    <w:r w:rsidRPr="00A54E85">
                      <w:rPr>
                        <w:rStyle w:val="Hyperlink"/>
                        <w:rFonts w:cs="Simplified Arabic"/>
                        <w:color w:val="auto"/>
                      </w:rPr>
                      <w:t>www.pcbs.gov.ps</w:t>
                    </w:r>
                  </w:hyperlink>
                </w:p>
              </w:tc>
              <w:tc>
                <w:tcPr>
                  <w:tcW w:w="1792" w:type="dxa"/>
                </w:tcPr>
                <w:p w:rsidR="003C2B51" w:rsidRPr="00060B45" w:rsidRDefault="003C2B51" w:rsidP="00F43F1D">
                  <w:pPr>
                    <w:jc w:val="right"/>
                    <w:rPr>
                      <w:rFonts w:cs="Simplified Arabic"/>
                      <w:rtl/>
                    </w:rPr>
                  </w:pPr>
                  <w:r w:rsidRPr="00A54E85">
                    <w:rPr>
                      <w:rFonts w:cs="Simplified Arabic"/>
                      <w:noProof/>
                      <w:rtl/>
                    </w:rPr>
                    <w:drawing>
                      <wp:inline distT="0" distB="0" distL="0" distR="0" wp14:anchorId="20871927" wp14:editId="79DCBA7E">
                        <wp:extent cx="952500" cy="1177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l-J.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5202" cy="1217710"/>
                                </a:xfrm>
                                <a:prstGeom prst="rect">
                                  <a:avLst/>
                                </a:prstGeom>
                              </pic:spPr>
                            </pic:pic>
                          </a:graphicData>
                        </a:graphic>
                      </wp:inline>
                    </w:drawing>
                  </w:r>
                </w:p>
              </w:tc>
            </w:tr>
          </w:tbl>
          <w:p w:rsidR="003C2B51" w:rsidRPr="00060B45" w:rsidRDefault="003C2B51" w:rsidP="00F43F1D"/>
        </w:tc>
      </w:tr>
      <w:tr w:rsidR="003C2B51" w:rsidRPr="00060B45" w:rsidTr="006C68A0">
        <w:trPr>
          <w:trHeight w:val="333"/>
        </w:trPr>
        <w:tc>
          <w:tcPr>
            <w:tcW w:w="4464" w:type="dxa"/>
            <w:vMerge/>
          </w:tcPr>
          <w:p w:rsidR="003C2B51" w:rsidRPr="00060B45" w:rsidRDefault="003C2B51" w:rsidP="00F43F1D">
            <w:pPr>
              <w:jc w:val="both"/>
              <w:rPr>
                <w:rFonts w:cs="Simplified Arabic"/>
                <w:b/>
                <w:bCs/>
                <w:rtl/>
              </w:rPr>
            </w:pPr>
          </w:p>
        </w:tc>
      </w:tr>
    </w:tbl>
    <w:p w:rsidR="00FA1482" w:rsidRPr="00060B45" w:rsidRDefault="00FA1482" w:rsidP="006C68A0">
      <w:pPr>
        <w:jc w:val="both"/>
        <w:rPr>
          <w:sz w:val="24"/>
          <w:szCs w:val="24"/>
          <w:rtl/>
        </w:rPr>
      </w:pPr>
    </w:p>
    <w:sectPr w:rsidR="00FA1482" w:rsidRPr="00060B45" w:rsidSect="00EF1459">
      <w:headerReference w:type="even" r:id="rId11"/>
      <w:headerReference w:type="default" r:id="rId12"/>
      <w:footerReference w:type="even" r:id="rId13"/>
      <w:footerReference w:type="default" r:id="rId14"/>
      <w:headerReference w:type="first" r:id="rId15"/>
      <w:footerReference w:type="first" r:id="rId16"/>
      <w:endnotePr>
        <w:numFmt w:val="lowerLetter"/>
      </w:endnotePr>
      <w:type w:val="continuous"/>
      <w:pgSz w:w="11906" w:h="16838"/>
      <w:pgMar w:top="958" w:right="1134" w:bottom="720" w:left="1134" w:header="567" w:footer="567"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5A9" w:rsidRDefault="007A45A9">
      <w:r>
        <w:separator/>
      </w:r>
    </w:p>
  </w:endnote>
  <w:endnote w:type="continuationSeparator" w:id="0">
    <w:p w:rsidR="007A45A9" w:rsidRDefault="007A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521" w:rsidRDefault="00FD462A">
    <w:pPr>
      <w:pStyle w:val="Footer"/>
      <w:framePr w:wrap="around" w:vAnchor="text" w:hAnchor="margin" w:xAlign="center" w:y="1"/>
      <w:rPr>
        <w:rStyle w:val="PageNumber"/>
      </w:rPr>
    </w:pPr>
    <w:r>
      <w:rPr>
        <w:rStyle w:val="PageNumber"/>
        <w:rFonts w:cs="Traditional Arabic"/>
        <w:rtl/>
      </w:rPr>
      <w:fldChar w:fldCharType="begin"/>
    </w:r>
    <w:r w:rsidR="009C7521">
      <w:rPr>
        <w:rStyle w:val="PageNumber"/>
      </w:rPr>
      <w:instrText xml:space="preserve">PAGE  </w:instrText>
    </w:r>
    <w:r>
      <w:rPr>
        <w:rStyle w:val="PageNumber"/>
        <w:rFonts w:cs="Traditional Arabic"/>
        <w:rtl/>
      </w:rPr>
      <w:fldChar w:fldCharType="end"/>
    </w:r>
  </w:p>
  <w:p w:rsidR="009C7521" w:rsidRDefault="009C7521">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42516955"/>
      <w:docPartObj>
        <w:docPartGallery w:val="Page Numbers (Bottom of Page)"/>
        <w:docPartUnique/>
      </w:docPartObj>
    </w:sdtPr>
    <w:sdtEndPr/>
    <w:sdtContent>
      <w:p w:rsidR="009C7521" w:rsidRDefault="00C26466">
        <w:pPr>
          <w:pStyle w:val="Footer"/>
          <w:jc w:val="center"/>
        </w:pPr>
        <w:r>
          <w:fldChar w:fldCharType="begin"/>
        </w:r>
        <w:r>
          <w:instrText xml:space="preserve"> PAGE   \* MERGEFORMAT </w:instrText>
        </w:r>
        <w:r>
          <w:fldChar w:fldCharType="separate"/>
        </w:r>
        <w:r w:rsidR="009A5DFB">
          <w:rPr>
            <w:noProof/>
            <w:rtl/>
          </w:rPr>
          <w:t>1</w:t>
        </w:r>
        <w:r>
          <w:rPr>
            <w:noProof/>
          </w:rPr>
          <w:fldChar w:fldCharType="end"/>
        </w:r>
      </w:p>
    </w:sdtContent>
  </w:sdt>
  <w:p w:rsidR="009C7521" w:rsidRDefault="009C7521" w:rsidP="00AD6F74">
    <w:pPr>
      <w:pStyle w:val="Footer"/>
      <w:tabs>
        <w:tab w:val="clear" w:pos="4153"/>
        <w:tab w:val="clear" w:pos="8306"/>
        <w:tab w:val="left" w:pos="919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DFB" w:rsidRDefault="009A5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5A9" w:rsidRDefault="007A45A9">
      <w:r>
        <w:separator/>
      </w:r>
    </w:p>
  </w:footnote>
  <w:footnote w:type="continuationSeparator" w:id="0">
    <w:p w:rsidR="007A45A9" w:rsidRDefault="007A4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DFB" w:rsidRDefault="009A5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106" w:type="dxa"/>
      <w:tblBorders>
        <w:bottom w:val="single" w:sz="4" w:space="0" w:color="auto"/>
      </w:tblBorders>
      <w:tblLook w:val="00A0" w:firstRow="1" w:lastRow="0" w:firstColumn="1" w:lastColumn="0" w:noHBand="0" w:noVBand="0"/>
    </w:tblPr>
    <w:tblGrid>
      <w:gridCol w:w="3236"/>
      <w:gridCol w:w="3240"/>
      <w:gridCol w:w="3268"/>
    </w:tblGrid>
    <w:tr w:rsidR="00675A43" w:rsidTr="00EF1459">
      <w:trPr>
        <w:trHeight w:hRule="exact" w:val="1134"/>
      </w:trPr>
      <w:tc>
        <w:tcPr>
          <w:tcW w:w="3274" w:type="dxa"/>
          <w:tcBorders>
            <w:bottom w:val="single" w:sz="4" w:space="0" w:color="auto"/>
          </w:tcBorders>
        </w:tcPr>
        <w:p w:rsidR="00675A43" w:rsidRPr="006C1A2E" w:rsidRDefault="00675A43" w:rsidP="005C7152">
          <w:pPr>
            <w:pStyle w:val="Header"/>
            <w:jc w:val="center"/>
            <w:rPr>
              <w:rFonts w:cs="Simplified Arabic"/>
              <w:b/>
              <w:bCs/>
              <w:sz w:val="28"/>
              <w:szCs w:val="28"/>
              <w:rtl/>
            </w:rPr>
          </w:pPr>
          <w:r w:rsidRPr="006C1A2E">
            <w:rPr>
              <w:rFonts w:cs="Simplified Arabic"/>
              <w:b/>
              <w:bCs/>
              <w:sz w:val="28"/>
              <w:szCs w:val="28"/>
              <w:rtl/>
            </w:rPr>
            <w:t>فلسطين</w:t>
          </w:r>
        </w:p>
        <w:p w:rsidR="00675A43" w:rsidRPr="00A37B51" w:rsidRDefault="00675A43" w:rsidP="005C7152">
          <w:pPr>
            <w:rPr>
              <w:b/>
              <w:bCs/>
              <w:sz w:val="24"/>
              <w:szCs w:val="24"/>
            </w:rPr>
          </w:pPr>
          <w:r w:rsidRPr="00A37B51">
            <w:rPr>
              <w:rFonts w:cs="Simplified Arabic"/>
              <w:b/>
              <w:bCs/>
              <w:sz w:val="24"/>
              <w:szCs w:val="24"/>
              <w:rtl/>
            </w:rPr>
            <w:t>الجهاز المركزي للإحصاء الفلسطيني</w:t>
          </w:r>
        </w:p>
      </w:tc>
      <w:tc>
        <w:tcPr>
          <w:tcW w:w="3279" w:type="dxa"/>
          <w:tcBorders>
            <w:bottom w:val="single" w:sz="4" w:space="0" w:color="auto"/>
          </w:tcBorders>
        </w:tcPr>
        <w:p w:rsidR="00675A43" w:rsidRDefault="00675A43" w:rsidP="005C7152">
          <w:pPr>
            <w:jc w:val="center"/>
          </w:pPr>
          <w:r w:rsidRPr="00DD2764">
            <w:rPr>
              <w:noProof/>
              <w:rtl/>
            </w:rPr>
            <w:drawing>
              <wp:inline distT="0" distB="0" distL="0" distR="0">
                <wp:extent cx="478790" cy="673913"/>
                <wp:effectExtent l="0" t="0" r="0" b="0"/>
                <wp:docPr id="7" name="Picture 2" descr="PL-cmyk-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cmyk-small.gif"/>
                        <pic:cNvPicPr>
                          <a:picLocks noChangeAspect="1" noChangeArrowheads="1"/>
                        </pic:cNvPicPr>
                      </pic:nvPicPr>
                      <pic:blipFill>
                        <a:blip r:embed="rId1" r:link="rId2"/>
                        <a:srcRect/>
                        <a:stretch>
                          <a:fillRect/>
                        </a:stretch>
                      </pic:blipFill>
                      <pic:spPr bwMode="auto">
                        <a:xfrm>
                          <a:off x="0" y="0"/>
                          <a:ext cx="483635" cy="680733"/>
                        </a:xfrm>
                        <a:prstGeom prst="rect">
                          <a:avLst/>
                        </a:prstGeom>
                        <a:noFill/>
                        <a:ln w="9525">
                          <a:noFill/>
                          <a:miter lim="800000"/>
                          <a:headEnd/>
                          <a:tailEnd/>
                        </a:ln>
                      </pic:spPr>
                    </pic:pic>
                  </a:graphicData>
                </a:graphic>
              </wp:inline>
            </w:drawing>
          </w:r>
        </w:p>
      </w:tc>
      <w:tc>
        <w:tcPr>
          <w:tcW w:w="3301" w:type="dxa"/>
          <w:tcBorders>
            <w:bottom w:val="single" w:sz="4" w:space="0" w:color="auto"/>
          </w:tcBorders>
        </w:tcPr>
        <w:p w:rsidR="00675A43" w:rsidRPr="00A37B51" w:rsidRDefault="00675A43" w:rsidP="009A5DFB">
          <w:pPr>
            <w:jc w:val="right"/>
            <w:rPr>
              <w:sz w:val="24"/>
              <w:szCs w:val="24"/>
            </w:rPr>
          </w:pPr>
          <w:r w:rsidRPr="00A37B51">
            <w:rPr>
              <w:rFonts w:cs="Simplified Arabic"/>
              <w:b/>
              <w:bCs/>
              <w:sz w:val="24"/>
              <w:szCs w:val="24"/>
              <w:rtl/>
            </w:rPr>
            <w:t xml:space="preserve">صدر بتاريخ: </w:t>
          </w:r>
          <w:r w:rsidR="009A5DFB">
            <w:rPr>
              <w:rFonts w:cs="Simplified Arabic" w:hint="cs"/>
              <w:b/>
              <w:bCs/>
              <w:sz w:val="24"/>
              <w:szCs w:val="24"/>
              <w:rtl/>
            </w:rPr>
            <w:t>14</w:t>
          </w:r>
          <w:bookmarkStart w:id="0" w:name="_GoBack"/>
          <w:bookmarkEnd w:id="0"/>
          <w:r w:rsidRPr="00A37B51">
            <w:rPr>
              <w:rFonts w:cs="Simplified Arabic"/>
              <w:b/>
              <w:bCs/>
              <w:sz w:val="24"/>
              <w:szCs w:val="24"/>
              <w:rtl/>
            </w:rPr>
            <w:t>/</w:t>
          </w:r>
          <w:r>
            <w:rPr>
              <w:rFonts w:cs="Simplified Arabic" w:hint="cs"/>
              <w:b/>
              <w:bCs/>
              <w:sz w:val="24"/>
              <w:szCs w:val="24"/>
              <w:rtl/>
            </w:rPr>
            <w:t>05</w:t>
          </w:r>
          <w:r w:rsidRPr="00A37B51">
            <w:rPr>
              <w:rFonts w:cs="Simplified Arabic"/>
              <w:b/>
              <w:bCs/>
              <w:sz w:val="24"/>
              <w:szCs w:val="24"/>
              <w:rtl/>
            </w:rPr>
            <w:t>/</w:t>
          </w:r>
          <w:r w:rsidR="009275BC">
            <w:rPr>
              <w:rFonts w:cs="Simplified Arabic" w:hint="cs"/>
              <w:b/>
              <w:bCs/>
              <w:sz w:val="24"/>
              <w:szCs w:val="24"/>
              <w:rtl/>
            </w:rPr>
            <w:t>2023</w:t>
          </w:r>
        </w:p>
      </w:tc>
    </w:tr>
  </w:tbl>
  <w:p w:rsidR="00675A43" w:rsidRDefault="00675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DFB" w:rsidRDefault="009A5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63FF1"/>
    <w:multiLevelType w:val="hybridMultilevel"/>
    <w:tmpl w:val="83E4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287358"/>
    <w:multiLevelType w:val="hybridMultilevel"/>
    <w:tmpl w:val="98E2B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7"/>
    <w:rsid w:val="000053AD"/>
    <w:rsid w:val="00006D73"/>
    <w:rsid w:val="000104E0"/>
    <w:rsid w:val="0001162C"/>
    <w:rsid w:val="000132C0"/>
    <w:rsid w:val="000135FA"/>
    <w:rsid w:val="00013623"/>
    <w:rsid w:val="00013A19"/>
    <w:rsid w:val="00015AD1"/>
    <w:rsid w:val="00016B58"/>
    <w:rsid w:val="00017023"/>
    <w:rsid w:val="000173B7"/>
    <w:rsid w:val="000275B5"/>
    <w:rsid w:val="00033C46"/>
    <w:rsid w:val="00037025"/>
    <w:rsid w:val="00037545"/>
    <w:rsid w:val="00037FF3"/>
    <w:rsid w:val="00042A99"/>
    <w:rsid w:val="00043851"/>
    <w:rsid w:val="00051171"/>
    <w:rsid w:val="0005155A"/>
    <w:rsid w:val="00053E82"/>
    <w:rsid w:val="00057AB4"/>
    <w:rsid w:val="00060B45"/>
    <w:rsid w:val="0006183D"/>
    <w:rsid w:val="0006245D"/>
    <w:rsid w:val="000662A1"/>
    <w:rsid w:val="00070BA2"/>
    <w:rsid w:val="0007519B"/>
    <w:rsid w:val="00081A54"/>
    <w:rsid w:val="000857D1"/>
    <w:rsid w:val="00086163"/>
    <w:rsid w:val="000929CD"/>
    <w:rsid w:val="00092F8D"/>
    <w:rsid w:val="00093867"/>
    <w:rsid w:val="0009692C"/>
    <w:rsid w:val="000A1438"/>
    <w:rsid w:val="000A3104"/>
    <w:rsid w:val="000A34D7"/>
    <w:rsid w:val="000A3D8D"/>
    <w:rsid w:val="000A4ACC"/>
    <w:rsid w:val="000A5C92"/>
    <w:rsid w:val="000A70AD"/>
    <w:rsid w:val="000B646D"/>
    <w:rsid w:val="000B6EEC"/>
    <w:rsid w:val="000C2781"/>
    <w:rsid w:val="000C2AEC"/>
    <w:rsid w:val="000C5A22"/>
    <w:rsid w:val="000D02A7"/>
    <w:rsid w:val="000D24E2"/>
    <w:rsid w:val="000D3DBC"/>
    <w:rsid w:val="000D4D89"/>
    <w:rsid w:val="000D6172"/>
    <w:rsid w:val="000E3D4B"/>
    <w:rsid w:val="000E4592"/>
    <w:rsid w:val="000F2261"/>
    <w:rsid w:val="000F25BB"/>
    <w:rsid w:val="00100103"/>
    <w:rsid w:val="00101DC8"/>
    <w:rsid w:val="00102BAD"/>
    <w:rsid w:val="00104C3F"/>
    <w:rsid w:val="00105C16"/>
    <w:rsid w:val="00107290"/>
    <w:rsid w:val="00111842"/>
    <w:rsid w:val="00111F74"/>
    <w:rsid w:val="00112D4E"/>
    <w:rsid w:val="001133D3"/>
    <w:rsid w:val="00113C5D"/>
    <w:rsid w:val="001141F9"/>
    <w:rsid w:val="001153A5"/>
    <w:rsid w:val="00115946"/>
    <w:rsid w:val="00116021"/>
    <w:rsid w:val="001205C9"/>
    <w:rsid w:val="00126259"/>
    <w:rsid w:val="001276FD"/>
    <w:rsid w:val="00127ADC"/>
    <w:rsid w:val="001300EF"/>
    <w:rsid w:val="00131453"/>
    <w:rsid w:val="001319CE"/>
    <w:rsid w:val="00135319"/>
    <w:rsid w:val="001368CC"/>
    <w:rsid w:val="00142776"/>
    <w:rsid w:val="00142AC1"/>
    <w:rsid w:val="00143F94"/>
    <w:rsid w:val="00146FC9"/>
    <w:rsid w:val="001476D5"/>
    <w:rsid w:val="001477D5"/>
    <w:rsid w:val="00150B28"/>
    <w:rsid w:val="001537EB"/>
    <w:rsid w:val="00155DF1"/>
    <w:rsid w:val="00156D50"/>
    <w:rsid w:val="00160693"/>
    <w:rsid w:val="00166CD5"/>
    <w:rsid w:val="00166E05"/>
    <w:rsid w:val="00166F13"/>
    <w:rsid w:val="0017161B"/>
    <w:rsid w:val="00173D5C"/>
    <w:rsid w:val="00175166"/>
    <w:rsid w:val="00175F28"/>
    <w:rsid w:val="001769C4"/>
    <w:rsid w:val="00181E52"/>
    <w:rsid w:val="00182362"/>
    <w:rsid w:val="00184AA6"/>
    <w:rsid w:val="001852A2"/>
    <w:rsid w:val="001853B8"/>
    <w:rsid w:val="00185801"/>
    <w:rsid w:val="00186773"/>
    <w:rsid w:val="00187D8D"/>
    <w:rsid w:val="00190734"/>
    <w:rsid w:val="00195964"/>
    <w:rsid w:val="0019697A"/>
    <w:rsid w:val="0019719F"/>
    <w:rsid w:val="001A0152"/>
    <w:rsid w:val="001A2768"/>
    <w:rsid w:val="001A31A5"/>
    <w:rsid w:val="001A52C6"/>
    <w:rsid w:val="001A55EC"/>
    <w:rsid w:val="001A6A12"/>
    <w:rsid w:val="001A78A4"/>
    <w:rsid w:val="001B04B2"/>
    <w:rsid w:val="001B26AA"/>
    <w:rsid w:val="001B3296"/>
    <w:rsid w:val="001B54EB"/>
    <w:rsid w:val="001B750D"/>
    <w:rsid w:val="001B7DE3"/>
    <w:rsid w:val="001C0563"/>
    <w:rsid w:val="001C0621"/>
    <w:rsid w:val="001C155D"/>
    <w:rsid w:val="001C1B0F"/>
    <w:rsid w:val="001C1BF0"/>
    <w:rsid w:val="001C282F"/>
    <w:rsid w:val="001C41D5"/>
    <w:rsid w:val="001C637E"/>
    <w:rsid w:val="001C7C8A"/>
    <w:rsid w:val="001D10FD"/>
    <w:rsid w:val="001D1DE9"/>
    <w:rsid w:val="001E1254"/>
    <w:rsid w:val="001E2CBC"/>
    <w:rsid w:val="001E70E8"/>
    <w:rsid w:val="001F37AA"/>
    <w:rsid w:val="001F3C10"/>
    <w:rsid w:val="001F3F07"/>
    <w:rsid w:val="001F5DDE"/>
    <w:rsid w:val="001F69EF"/>
    <w:rsid w:val="001F7106"/>
    <w:rsid w:val="002023E9"/>
    <w:rsid w:val="002027D4"/>
    <w:rsid w:val="00203341"/>
    <w:rsid w:val="00204514"/>
    <w:rsid w:val="002070F2"/>
    <w:rsid w:val="0021019A"/>
    <w:rsid w:val="0021458D"/>
    <w:rsid w:val="00215333"/>
    <w:rsid w:val="00220B96"/>
    <w:rsid w:val="002232E9"/>
    <w:rsid w:val="00224E88"/>
    <w:rsid w:val="00231FBB"/>
    <w:rsid w:val="00232C13"/>
    <w:rsid w:val="00233145"/>
    <w:rsid w:val="0023327A"/>
    <w:rsid w:val="00235DE1"/>
    <w:rsid w:val="002374DB"/>
    <w:rsid w:val="00241CC9"/>
    <w:rsid w:val="00242A76"/>
    <w:rsid w:val="00244312"/>
    <w:rsid w:val="002464AC"/>
    <w:rsid w:val="00251535"/>
    <w:rsid w:val="0025197A"/>
    <w:rsid w:val="00251A03"/>
    <w:rsid w:val="0025310F"/>
    <w:rsid w:val="00253893"/>
    <w:rsid w:val="00255A9F"/>
    <w:rsid w:val="0025714C"/>
    <w:rsid w:val="002644E8"/>
    <w:rsid w:val="00265D23"/>
    <w:rsid w:val="00266381"/>
    <w:rsid w:val="002668D3"/>
    <w:rsid w:val="00266E6F"/>
    <w:rsid w:val="002724EC"/>
    <w:rsid w:val="00272B19"/>
    <w:rsid w:val="00274C7A"/>
    <w:rsid w:val="00276813"/>
    <w:rsid w:val="00277112"/>
    <w:rsid w:val="002776CB"/>
    <w:rsid w:val="002812FE"/>
    <w:rsid w:val="00281497"/>
    <w:rsid w:val="00283522"/>
    <w:rsid w:val="002846C5"/>
    <w:rsid w:val="002878AA"/>
    <w:rsid w:val="0029228D"/>
    <w:rsid w:val="00292BDF"/>
    <w:rsid w:val="00292DB6"/>
    <w:rsid w:val="00293321"/>
    <w:rsid w:val="00296564"/>
    <w:rsid w:val="002A09DB"/>
    <w:rsid w:val="002A0EA2"/>
    <w:rsid w:val="002A40E2"/>
    <w:rsid w:val="002A68AF"/>
    <w:rsid w:val="002A69AF"/>
    <w:rsid w:val="002B0423"/>
    <w:rsid w:val="002B3D93"/>
    <w:rsid w:val="002C41AF"/>
    <w:rsid w:val="002C58D8"/>
    <w:rsid w:val="002C699C"/>
    <w:rsid w:val="002C6EBB"/>
    <w:rsid w:val="002D5A5B"/>
    <w:rsid w:val="002D74C8"/>
    <w:rsid w:val="002E0244"/>
    <w:rsid w:val="002E251C"/>
    <w:rsid w:val="002E2F66"/>
    <w:rsid w:val="002E3846"/>
    <w:rsid w:val="002E3FB3"/>
    <w:rsid w:val="002E4328"/>
    <w:rsid w:val="002E51CF"/>
    <w:rsid w:val="002E5BFB"/>
    <w:rsid w:val="002F26BC"/>
    <w:rsid w:val="002F4E3E"/>
    <w:rsid w:val="002F6A01"/>
    <w:rsid w:val="002F7BBB"/>
    <w:rsid w:val="00300847"/>
    <w:rsid w:val="00303668"/>
    <w:rsid w:val="00311519"/>
    <w:rsid w:val="00316C9C"/>
    <w:rsid w:val="00317DAF"/>
    <w:rsid w:val="00323EC3"/>
    <w:rsid w:val="00323ED6"/>
    <w:rsid w:val="00324D25"/>
    <w:rsid w:val="003265BF"/>
    <w:rsid w:val="00330D7B"/>
    <w:rsid w:val="00331152"/>
    <w:rsid w:val="0033231F"/>
    <w:rsid w:val="003328CE"/>
    <w:rsid w:val="0033446E"/>
    <w:rsid w:val="00335620"/>
    <w:rsid w:val="00337011"/>
    <w:rsid w:val="0034221C"/>
    <w:rsid w:val="003422C1"/>
    <w:rsid w:val="00342AFD"/>
    <w:rsid w:val="00343815"/>
    <w:rsid w:val="0034739C"/>
    <w:rsid w:val="00350D55"/>
    <w:rsid w:val="0035152F"/>
    <w:rsid w:val="0035182F"/>
    <w:rsid w:val="00351CFE"/>
    <w:rsid w:val="003522B8"/>
    <w:rsid w:val="00355EF8"/>
    <w:rsid w:val="00356A1D"/>
    <w:rsid w:val="00356C4D"/>
    <w:rsid w:val="00360A6A"/>
    <w:rsid w:val="00370C9E"/>
    <w:rsid w:val="003737B0"/>
    <w:rsid w:val="00380557"/>
    <w:rsid w:val="0038139C"/>
    <w:rsid w:val="0038142E"/>
    <w:rsid w:val="00383D2B"/>
    <w:rsid w:val="0038440C"/>
    <w:rsid w:val="00385D8C"/>
    <w:rsid w:val="003874B2"/>
    <w:rsid w:val="003907A1"/>
    <w:rsid w:val="00390E43"/>
    <w:rsid w:val="00390EE9"/>
    <w:rsid w:val="0039761B"/>
    <w:rsid w:val="003A1E1F"/>
    <w:rsid w:val="003A32D8"/>
    <w:rsid w:val="003A3E34"/>
    <w:rsid w:val="003A46E6"/>
    <w:rsid w:val="003A4EC1"/>
    <w:rsid w:val="003B1D0D"/>
    <w:rsid w:val="003B25EE"/>
    <w:rsid w:val="003B2C4F"/>
    <w:rsid w:val="003B409E"/>
    <w:rsid w:val="003C0930"/>
    <w:rsid w:val="003C10F9"/>
    <w:rsid w:val="003C1727"/>
    <w:rsid w:val="003C2B51"/>
    <w:rsid w:val="003C372A"/>
    <w:rsid w:val="003C622F"/>
    <w:rsid w:val="003C77B3"/>
    <w:rsid w:val="003D39D0"/>
    <w:rsid w:val="003D3B1E"/>
    <w:rsid w:val="003D45C7"/>
    <w:rsid w:val="003D66B6"/>
    <w:rsid w:val="003D6CDE"/>
    <w:rsid w:val="003D7139"/>
    <w:rsid w:val="003E066C"/>
    <w:rsid w:val="003E0AB7"/>
    <w:rsid w:val="003E3369"/>
    <w:rsid w:val="003E5F42"/>
    <w:rsid w:val="003E777E"/>
    <w:rsid w:val="003E78D3"/>
    <w:rsid w:val="003F19F5"/>
    <w:rsid w:val="003F44E6"/>
    <w:rsid w:val="003F5AAB"/>
    <w:rsid w:val="003F74B1"/>
    <w:rsid w:val="004058E0"/>
    <w:rsid w:val="00406D87"/>
    <w:rsid w:val="004079D6"/>
    <w:rsid w:val="00407E44"/>
    <w:rsid w:val="00413E88"/>
    <w:rsid w:val="00414EA4"/>
    <w:rsid w:val="00425B04"/>
    <w:rsid w:val="00425F6B"/>
    <w:rsid w:val="004304B6"/>
    <w:rsid w:val="00430E27"/>
    <w:rsid w:val="00432B8B"/>
    <w:rsid w:val="00437FFD"/>
    <w:rsid w:val="004400AD"/>
    <w:rsid w:val="00440936"/>
    <w:rsid w:val="004413CA"/>
    <w:rsid w:val="00441CD8"/>
    <w:rsid w:val="004452C1"/>
    <w:rsid w:val="004454D9"/>
    <w:rsid w:val="004459C7"/>
    <w:rsid w:val="004462D8"/>
    <w:rsid w:val="00447E34"/>
    <w:rsid w:val="004577A3"/>
    <w:rsid w:val="00462F4B"/>
    <w:rsid w:val="00465113"/>
    <w:rsid w:val="00466EE3"/>
    <w:rsid w:val="004702B1"/>
    <w:rsid w:val="004726A4"/>
    <w:rsid w:val="004753CC"/>
    <w:rsid w:val="0047677D"/>
    <w:rsid w:val="0048030A"/>
    <w:rsid w:val="0048097B"/>
    <w:rsid w:val="004809D6"/>
    <w:rsid w:val="0048194A"/>
    <w:rsid w:val="004829F8"/>
    <w:rsid w:val="004831DE"/>
    <w:rsid w:val="004832A9"/>
    <w:rsid w:val="00484B82"/>
    <w:rsid w:val="00484E5C"/>
    <w:rsid w:val="00486C83"/>
    <w:rsid w:val="00486DB0"/>
    <w:rsid w:val="0049004A"/>
    <w:rsid w:val="00491850"/>
    <w:rsid w:val="00492259"/>
    <w:rsid w:val="00495414"/>
    <w:rsid w:val="0049756D"/>
    <w:rsid w:val="004A01C8"/>
    <w:rsid w:val="004A1444"/>
    <w:rsid w:val="004A1ECC"/>
    <w:rsid w:val="004A43C0"/>
    <w:rsid w:val="004A4CD5"/>
    <w:rsid w:val="004A4F51"/>
    <w:rsid w:val="004B378E"/>
    <w:rsid w:val="004B44D1"/>
    <w:rsid w:val="004B5C5D"/>
    <w:rsid w:val="004C0058"/>
    <w:rsid w:val="004C3D27"/>
    <w:rsid w:val="004C4064"/>
    <w:rsid w:val="004D073F"/>
    <w:rsid w:val="004D4446"/>
    <w:rsid w:val="004E0B3B"/>
    <w:rsid w:val="004E0D84"/>
    <w:rsid w:val="004E1DFE"/>
    <w:rsid w:val="004E2DEA"/>
    <w:rsid w:val="004E36FE"/>
    <w:rsid w:val="004E3FD9"/>
    <w:rsid w:val="004E7697"/>
    <w:rsid w:val="004E7E41"/>
    <w:rsid w:val="005041A6"/>
    <w:rsid w:val="00506406"/>
    <w:rsid w:val="00511351"/>
    <w:rsid w:val="00511512"/>
    <w:rsid w:val="0051284C"/>
    <w:rsid w:val="005132F9"/>
    <w:rsid w:val="00513C7D"/>
    <w:rsid w:val="00517B8E"/>
    <w:rsid w:val="00517ED1"/>
    <w:rsid w:val="00523C90"/>
    <w:rsid w:val="00525163"/>
    <w:rsid w:val="00535858"/>
    <w:rsid w:val="005371C6"/>
    <w:rsid w:val="0053737F"/>
    <w:rsid w:val="00540122"/>
    <w:rsid w:val="00540C58"/>
    <w:rsid w:val="0054242A"/>
    <w:rsid w:val="00542A70"/>
    <w:rsid w:val="005457E2"/>
    <w:rsid w:val="00547216"/>
    <w:rsid w:val="00550505"/>
    <w:rsid w:val="00550960"/>
    <w:rsid w:val="005529AE"/>
    <w:rsid w:val="00553BD0"/>
    <w:rsid w:val="00556350"/>
    <w:rsid w:val="00563E03"/>
    <w:rsid w:val="0056424A"/>
    <w:rsid w:val="005667B7"/>
    <w:rsid w:val="0056688C"/>
    <w:rsid w:val="00567F80"/>
    <w:rsid w:val="005725B1"/>
    <w:rsid w:val="00576B27"/>
    <w:rsid w:val="00585DDE"/>
    <w:rsid w:val="00587BB4"/>
    <w:rsid w:val="00591ECC"/>
    <w:rsid w:val="00593212"/>
    <w:rsid w:val="00593A2F"/>
    <w:rsid w:val="005958D0"/>
    <w:rsid w:val="005967F8"/>
    <w:rsid w:val="00597595"/>
    <w:rsid w:val="005A27A4"/>
    <w:rsid w:val="005A3996"/>
    <w:rsid w:val="005A4B1A"/>
    <w:rsid w:val="005B0CAB"/>
    <w:rsid w:val="005B0E0D"/>
    <w:rsid w:val="005B10A4"/>
    <w:rsid w:val="005B6E54"/>
    <w:rsid w:val="005D6A39"/>
    <w:rsid w:val="005D7E46"/>
    <w:rsid w:val="005E040D"/>
    <w:rsid w:val="005E1AD2"/>
    <w:rsid w:val="005E347E"/>
    <w:rsid w:val="005E4ED8"/>
    <w:rsid w:val="005E55B5"/>
    <w:rsid w:val="005E5FE5"/>
    <w:rsid w:val="005F102B"/>
    <w:rsid w:val="005F315D"/>
    <w:rsid w:val="005F3330"/>
    <w:rsid w:val="005F6DCD"/>
    <w:rsid w:val="005F755B"/>
    <w:rsid w:val="0060245C"/>
    <w:rsid w:val="00605E5E"/>
    <w:rsid w:val="00607D11"/>
    <w:rsid w:val="006102D1"/>
    <w:rsid w:val="00612939"/>
    <w:rsid w:val="0061355B"/>
    <w:rsid w:val="00614FC6"/>
    <w:rsid w:val="006153AD"/>
    <w:rsid w:val="006155C9"/>
    <w:rsid w:val="006162C5"/>
    <w:rsid w:val="00621D86"/>
    <w:rsid w:val="00621EFD"/>
    <w:rsid w:val="00625380"/>
    <w:rsid w:val="006256DF"/>
    <w:rsid w:val="00626B89"/>
    <w:rsid w:val="006277F7"/>
    <w:rsid w:val="00627E14"/>
    <w:rsid w:val="00627F8F"/>
    <w:rsid w:val="00635434"/>
    <w:rsid w:val="00635CCB"/>
    <w:rsid w:val="00640AE1"/>
    <w:rsid w:val="00642AAB"/>
    <w:rsid w:val="00643299"/>
    <w:rsid w:val="00644B3A"/>
    <w:rsid w:val="00645217"/>
    <w:rsid w:val="0064762D"/>
    <w:rsid w:val="00653556"/>
    <w:rsid w:val="0065489B"/>
    <w:rsid w:val="00654DA7"/>
    <w:rsid w:val="00655BD9"/>
    <w:rsid w:val="00657C37"/>
    <w:rsid w:val="00661710"/>
    <w:rsid w:val="00661798"/>
    <w:rsid w:val="00663C32"/>
    <w:rsid w:val="00664041"/>
    <w:rsid w:val="00664567"/>
    <w:rsid w:val="006651E3"/>
    <w:rsid w:val="00665378"/>
    <w:rsid w:val="00665B59"/>
    <w:rsid w:val="006668D5"/>
    <w:rsid w:val="006730DC"/>
    <w:rsid w:val="00673FF5"/>
    <w:rsid w:val="006743C0"/>
    <w:rsid w:val="00675042"/>
    <w:rsid w:val="00675A43"/>
    <w:rsid w:val="0067654B"/>
    <w:rsid w:val="006772E4"/>
    <w:rsid w:val="00680C53"/>
    <w:rsid w:val="006820D4"/>
    <w:rsid w:val="00682976"/>
    <w:rsid w:val="00685AF2"/>
    <w:rsid w:val="00686827"/>
    <w:rsid w:val="0068730E"/>
    <w:rsid w:val="0068765A"/>
    <w:rsid w:val="006916AC"/>
    <w:rsid w:val="00695CA1"/>
    <w:rsid w:val="00696A6F"/>
    <w:rsid w:val="00696EB5"/>
    <w:rsid w:val="006A02B7"/>
    <w:rsid w:val="006A0939"/>
    <w:rsid w:val="006A1D45"/>
    <w:rsid w:val="006A238B"/>
    <w:rsid w:val="006A2D29"/>
    <w:rsid w:val="006A3177"/>
    <w:rsid w:val="006A57F2"/>
    <w:rsid w:val="006A7747"/>
    <w:rsid w:val="006B04A9"/>
    <w:rsid w:val="006B1851"/>
    <w:rsid w:val="006B54A8"/>
    <w:rsid w:val="006B54B7"/>
    <w:rsid w:val="006B57AD"/>
    <w:rsid w:val="006B5CC8"/>
    <w:rsid w:val="006C0889"/>
    <w:rsid w:val="006C2834"/>
    <w:rsid w:val="006C45AB"/>
    <w:rsid w:val="006C52F0"/>
    <w:rsid w:val="006C68A0"/>
    <w:rsid w:val="006C7A91"/>
    <w:rsid w:val="006D5D7B"/>
    <w:rsid w:val="006E1362"/>
    <w:rsid w:val="006E25EE"/>
    <w:rsid w:val="006E4FAD"/>
    <w:rsid w:val="006E6FE6"/>
    <w:rsid w:val="006F19F2"/>
    <w:rsid w:val="006F4D1D"/>
    <w:rsid w:val="006F50E4"/>
    <w:rsid w:val="006F5F3D"/>
    <w:rsid w:val="007016EB"/>
    <w:rsid w:val="0070202A"/>
    <w:rsid w:val="00703A2F"/>
    <w:rsid w:val="007042C6"/>
    <w:rsid w:val="00704C84"/>
    <w:rsid w:val="00706480"/>
    <w:rsid w:val="007079E6"/>
    <w:rsid w:val="007079F4"/>
    <w:rsid w:val="00710303"/>
    <w:rsid w:val="00713D08"/>
    <w:rsid w:val="00717CD8"/>
    <w:rsid w:val="007221DE"/>
    <w:rsid w:val="00723860"/>
    <w:rsid w:val="00724620"/>
    <w:rsid w:val="00724D4C"/>
    <w:rsid w:val="0072592E"/>
    <w:rsid w:val="00726670"/>
    <w:rsid w:val="00726FC0"/>
    <w:rsid w:val="00730927"/>
    <w:rsid w:val="00731416"/>
    <w:rsid w:val="00731BA7"/>
    <w:rsid w:val="00733A63"/>
    <w:rsid w:val="00733F79"/>
    <w:rsid w:val="0073419D"/>
    <w:rsid w:val="00736211"/>
    <w:rsid w:val="007374E2"/>
    <w:rsid w:val="00741764"/>
    <w:rsid w:val="0074262B"/>
    <w:rsid w:val="00745684"/>
    <w:rsid w:val="00746BA2"/>
    <w:rsid w:val="007567A1"/>
    <w:rsid w:val="007603F8"/>
    <w:rsid w:val="00760504"/>
    <w:rsid w:val="00763B9A"/>
    <w:rsid w:val="00763DC7"/>
    <w:rsid w:val="0076575E"/>
    <w:rsid w:val="00765A67"/>
    <w:rsid w:val="00766606"/>
    <w:rsid w:val="00766737"/>
    <w:rsid w:val="00766A89"/>
    <w:rsid w:val="0076744A"/>
    <w:rsid w:val="00770ECF"/>
    <w:rsid w:val="00772195"/>
    <w:rsid w:val="00773B7C"/>
    <w:rsid w:val="007742F6"/>
    <w:rsid w:val="00777AFD"/>
    <w:rsid w:val="00780F0D"/>
    <w:rsid w:val="00782566"/>
    <w:rsid w:val="007836CC"/>
    <w:rsid w:val="007901B1"/>
    <w:rsid w:val="0079183C"/>
    <w:rsid w:val="00791B5C"/>
    <w:rsid w:val="0079261B"/>
    <w:rsid w:val="00794374"/>
    <w:rsid w:val="00795FF6"/>
    <w:rsid w:val="00797AB6"/>
    <w:rsid w:val="007A157D"/>
    <w:rsid w:val="007A1BE6"/>
    <w:rsid w:val="007A3B90"/>
    <w:rsid w:val="007A45A9"/>
    <w:rsid w:val="007B000A"/>
    <w:rsid w:val="007B1DFF"/>
    <w:rsid w:val="007B34DB"/>
    <w:rsid w:val="007B4350"/>
    <w:rsid w:val="007B45E7"/>
    <w:rsid w:val="007B627B"/>
    <w:rsid w:val="007B6A66"/>
    <w:rsid w:val="007C03AC"/>
    <w:rsid w:val="007C0E22"/>
    <w:rsid w:val="007D28BA"/>
    <w:rsid w:val="007D3ECA"/>
    <w:rsid w:val="007D4F55"/>
    <w:rsid w:val="007D6C66"/>
    <w:rsid w:val="007E0315"/>
    <w:rsid w:val="007E5E76"/>
    <w:rsid w:val="007F006D"/>
    <w:rsid w:val="007F2C32"/>
    <w:rsid w:val="007F524E"/>
    <w:rsid w:val="007F5F4F"/>
    <w:rsid w:val="008036C5"/>
    <w:rsid w:val="0080419B"/>
    <w:rsid w:val="0080446B"/>
    <w:rsid w:val="008110CA"/>
    <w:rsid w:val="008115A3"/>
    <w:rsid w:val="008134E2"/>
    <w:rsid w:val="00813B8B"/>
    <w:rsid w:val="00814503"/>
    <w:rsid w:val="008152C4"/>
    <w:rsid w:val="0082015C"/>
    <w:rsid w:val="00820CF4"/>
    <w:rsid w:val="00820E2C"/>
    <w:rsid w:val="00821714"/>
    <w:rsid w:val="0082226C"/>
    <w:rsid w:val="00822F4F"/>
    <w:rsid w:val="0083017E"/>
    <w:rsid w:val="008305C4"/>
    <w:rsid w:val="0083260E"/>
    <w:rsid w:val="008329D0"/>
    <w:rsid w:val="008335A4"/>
    <w:rsid w:val="008369D6"/>
    <w:rsid w:val="00836D62"/>
    <w:rsid w:val="008412E2"/>
    <w:rsid w:val="008415E9"/>
    <w:rsid w:val="008431E2"/>
    <w:rsid w:val="008446EB"/>
    <w:rsid w:val="00844D82"/>
    <w:rsid w:val="00845229"/>
    <w:rsid w:val="0085389C"/>
    <w:rsid w:val="00853F8C"/>
    <w:rsid w:val="00855646"/>
    <w:rsid w:val="00857369"/>
    <w:rsid w:val="00860B90"/>
    <w:rsid w:val="00863A4B"/>
    <w:rsid w:val="00864985"/>
    <w:rsid w:val="00867600"/>
    <w:rsid w:val="008707BC"/>
    <w:rsid w:val="008747D6"/>
    <w:rsid w:val="008757B6"/>
    <w:rsid w:val="00875F3D"/>
    <w:rsid w:val="008778DC"/>
    <w:rsid w:val="00883AC6"/>
    <w:rsid w:val="00887538"/>
    <w:rsid w:val="00887668"/>
    <w:rsid w:val="00890102"/>
    <w:rsid w:val="008919FA"/>
    <w:rsid w:val="008A01A2"/>
    <w:rsid w:val="008A01AF"/>
    <w:rsid w:val="008A0FBE"/>
    <w:rsid w:val="008A1CEB"/>
    <w:rsid w:val="008A364C"/>
    <w:rsid w:val="008A5ACB"/>
    <w:rsid w:val="008B26F6"/>
    <w:rsid w:val="008B4D18"/>
    <w:rsid w:val="008B72BF"/>
    <w:rsid w:val="008C76A1"/>
    <w:rsid w:val="008D0CE7"/>
    <w:rsid w:val="008D1247"/>
    <w:rsid w:val="008D1558"/>
    <w:rsid w:val="008D605A"/>
    <w:rsid w:val="008D76A8"/>
    <w:rsid w:val="008E07AE"/>
    <w:rsid w:val="008E414C"/>
    <w:rsid w:val="008E66BA"/>
    <w:rsid w:val="008E7264"/>
    <w:rsid w:val="008F1EDD"/>
    <w:rsid w:val="008F2C0B"/>
    <w:rsid w:val="008F3D55"/>
    <w:rsid w:val="008F4AF4"/>
    <w:rsid w:val="008F4B09"/>
    <w:rsid w:val="008F79EE"/>
    <w:rsid w:val="00906669"/>
    <w:rsid w:val="00913B2A"/>
    <w:rsid w:val="0091527C"/>
    <w:rsid w:val="00915D26"/>
    <w:rsid w:val="00921A07"/>
    <w:rsid w:val="00921A2C"/>
    <w:rsid w:val="0092445C"/>
    <w:rsid w:val="00924FE5"/>
    <w:rsid w:val="009257D6"/>
    <w:rsid w:val="0092594A"/>
    <w:rsid w:val="009275BC"/>
    <w:rsid w:val="00933ED3"/>
    <w:rsid w:val="0093410C"/>
    <w:rsid w:val="00934A9F"/>
    <w:rsid w:val="00935569"/>
    <w:rsid w:val="009374AA"/>
    <w:rsid w:val="00943BF0"/>
    <w:rsid w:val="00944F0B"/>
    <w:rsid w:val="00952156"/>
    <w:rsid w:val="00954B20"/>
    <w:rsid w:val="00954C17"/>
    <w:rsid w:val="00957072"/>
    <w:rsid w:val="009576C3"/>
    <w:rsid w:val="00962005"/>
    <w:rsid w:val="009648B6"/>
    <w:rsid w:val="0096510D"/>
    <w:rsid w:val="0096639F"/>
    <w:rsid w:val="00967D34"/>
    <w:rsid w:val="0097142A"/>
    <w:rsid w:val="009718DD"/>
    <w:rsid w:val="00972812"/>
    <w:rsid w:val="00974696"/>
    <w:rsid w:val="00975463"/>
    <w:rsid w:val="0098360C"/>
    <w:rsid w:val="00984FE6"/>
    <w:rsid w:val="00985AEE"/>
    <w:rsid w:val="00986FC3"/>
    <w:rsid w:val="009925F8"/>
    <w:rsid w:val="00993654"/>
    <w:rsid w:val="009A0297"/>
    <w:rsid w:val="009A04C7"/>
    <w:rsid w:val="009A2178"/>
    <w:rsid w:val="009A25D6"/>
    <w:rsid w:val="009A3354"/>
    <w:rsid w:val="009A3D8C"/>
    <w:rsid w:val="009A437F"/>
    <w:rsid w:val="009A5948"/>
    <w:rsid w:val="009A5DFB"/>
    <w:rsid w:val="009B1D3C"/>
    <w:rsid w:val="009B1FCD"/>
    <w:rsid w:val="009B4FD3"/>
    <w:rsid w:val="009C11BC"/>
    <w:rsid w:val="009C22B0"/>
    <w:rsid w:val="009C37CA"/>
    <w:rsid w:val="009C7521"/>
    <w:rsid w:val="009D1B61"/>
    <w:rsid w:val="009D2562"/>
    <w:rsid w:val="009D2E25"/>
    <w:rsid w:val="009D55E4"/>
    <w:rsid w:val="009D58E4"/>
    <w:rsid w:val="009E0B2D"/>
    <w:rsid w:val="009E341E"/>
    <w:rsid w:val="009E4330"/>
    <w:rsid w:val="009F2116"/>
    <w:rsid w:val="009F5388"/>
    <w:rsid w:val="009F76CA"/>
    <w:rsid w:val="009F7D02"/>
    <w:rsid w:val="00A0196E"/>
    <w:rsid w:val="00A0215D"/>
    <w:rsid w:val="00A02C28"/>
    <w:rsid w:val="00A033D8"/>
    <w:rsid w:val="00A04E2A"/>
    <w:rsid w:val="00A071CB"/>
    <w:rsid w:val="00A07857"/>
    <w:rsid w:val="00A115E9"/>
    <w:rsid w:val="00A11617"/>
    <w:rsid w:val="00A12082"/>
    <w:rsid w:val="00A14831"/>
    <w:rsid w:val="00A1779D"/>
    <w:rsid w:val="00A1782C"/>
    <w:rsid w:val="00A17DBA"/>
    <w:rsid w:val="00A228EA"/>
    <w:rsid w:val="00A26ECE"/>
    <w:rsid w:val="00A36C58"/>
    <w:rsid w:val="00A37483"/>
    <w:rsid w:val="00A37B51"/>
    <w:rsid w:val="00A41FC4"/>
    <w:rsid w:val="00A42030"/>
    <w:rsid w:val="00A42ADE"/>
    <w:rsid w:val="00A44DA6"/>
    <w:rsid w:val="00A459BD"/>
    <w:rsid w:val="00A50B2E"/>
    <w:rsid w:val="00A51430"/>
    <w:rsid w:val="00A54DAD"/>
    <w:rsid w:val="00A54E85"/>
    <w:rsid w:val="00A550B8"/>
    <w:rsid w:val="00A55640"/>
    <w:rsid w:val="00A573A4"/>
    <w:rsid w:val="00A57D54"/>
    <w:rsid w:val="00A6042E"/>
    <w:rsid w:val="00A65C5D"/>
    <w:rsid w:val="00A6614F"/>
    <w:rsid w:val="00A66724"/>
    <w:rsid w:val="00A672DD"/>
    <w:rsid w:val="00A67C0C"/>
    <w:rsid w:val="00A704DD"/>
    <w:rsid w:val="00A804BB"/>
    <w:rsid w:val="00A930D7"/>
    <w:rsid w:val="00A93F54"/>
    <w:rsid w:val="00AA17FA"/>
    <w:rsid w:val="00AA6E71"/>
    <w:rsid w:val="00AB440C"/>
    <w:rsid w:val="00AB48DA"/>
    <w:rsid w:val="00AB6779"/>
    <w:rsid w:val="00AB7405"/>
    <w:rsid w:val="00AC24DA"/>
    <w:rsid w:val="00AC394A"/>
    <w:rsid w:val="00AC57F0"/>
    <w:rsid w:val="00AC7741"/>
    <w:rsid w:val="00AC7CB5"/>
    <w:rsid w:val="00AC7F67"/>
    <w:rsid w:val="00AD0313"/>
    <w:rsid w:val="00AD1EBA"/>
    <w:rsid w:val="00AD4711"/>
    <w:rsid w:val="00AD5346"/>
    <w:rsid w:val="00AD650B"/>
    <w:rsid w:val="00AD6F74"/>
    <w:rsid w:val="00AD7014"/>
    <w:rsid w:val="00AD7231"/>
    <w:rsid w:val="00AD785D"/>
    <w:rsid w:val="00AD7B2D"/>
    <w:rsid w:val="00AE08BC"/>
    <w:rsid w:val="00AE168D"/>
    <w:rsid w:val="00AE5B2E"/>
    <w:rsid w:val="00AF0DD1"/>
    <w:rsid w:val="00AF3B89"/>
    <w:rsid w:val="00AF5143"/>
    <w:rsid w:val="00B01A93"/>
    <w:rsid w:val="00B0435F"/>
    <w:rsid w:val="00B06C5A"/>
    <w:rsid w:val="00B06D8E"/>
    <w:rsid w:val="00B16251"/>
    <w:rsid w:val="00B16792"/>
    <w:rsid w:val="00B16F2D"/>
    <w:rsid w:val="00B2065E"/>
    <w:rsid w:val="00B20D44"/>
    <w:rsid w:val="00B24635"/>
    <w:rsid w:val="00B25594"/>
    <w:rsid w:val="00B2632F"/>
    <w:rsid w:val="00B27BE8"/>
    <w:rsid w:val="00B309D1"/>
    <w:rsid w:val="00B30D63"/>
    <w:rsid w:val="00B35CCA"/>
    <w:rsid w:val="00B36B1E"/>
    <w:rsid w:val="00B40249"/>
    <w:rsid w:val="00B419CF"/>
    <w:rsid w:val="00B4367F"/>
    <w:rsid w:val="00B47F92"/>
    <w:rsid w:val="00B54AFC"/>
    <w:rsid w:val="00B55B62"/>
    <w:rsid w:val="00B6137F"/>
    <w:rsid w:val="00B616B4"/>
    <w:rsid w:val="00B62924"/>
    <w:rsid w:val="00B62A18"/>
    <w:rsid w:val="00B62CC1"/>
    <w:rsid w:val="00B643FD"/>
    <w:rsid w:val="00B65E0E"/>
    <w:rsid w:val="00B6627B"/>
    <w:rsid w:val="00B6697D"/>
    <w:rsid w:val="00B733F1"/>
    <w:rsid w:val="00B746E8"/>
    <w:rsid w:val="00B769A1"/>
    <w:rsid w:val="00B76F28"/>
    <w:rsid w:val="00B77181"/>
    <w:rsid w:val="00B80BDE"/>
    <w:rsid w:val="00B825A7"/>
    <w:rsid w:val="00B82E94"/>
    <w:rsid w:val="00B84709"/>
    <w:rsid w:val="00B870D3"/>
    <w:rsid w:val="00B87970"/>
    <w:rsid w:val="00B9110A"/>
    <w:rsid w:val="00B92D66"/>
    <w:rsid w:val="00B936AE"/>
    <w:rsid w:val="00B96055"/>
    <w:rsid w:val="00B965F0"/>
    <w:rsid w:val="00B96B16"/>
    <w:rsid w:val="00BA4255"/>
    <w:rsid w:val="00BA7024"/>
    <w:rsid w:val="00BB0D89"/>
    <w:rsid w:val="00BB130B"/>
    <w:rsid w:val="00BB302E"/>
    <w:rsid w:val="00BB3268"/>
    <w:rsid w:val="00BB3A03"/>
    <w:rsid w:val="00BB510F"/>
    <w:rsid w:val="00BB5659"/>
    <w:rsid w:val="00BC171D"/>
    <w:rsid w:val="00BC4ACE"/>
    <w:rsid w:val="00BC6F35"/>
    <w:rsid w:val="00BD04B8"/>
    <w:rsid w:val="00BD31B6"/>
    <w:rsid w:val="00BD6558"/>
    <w:rsid w:val="00BD770C"/>
    <w:rsid w:val="00BE076D"/>
    <w:rsid w:val="00BE0AE4"/>
    <w:rsid w:val="00BE21AA"/>
    <w:rsid w:val="00BE2FFA"/>
    <w:rsid w:val="00BE43EC"/>
    <w:rsid w:val="00BE4C94"/>
    <w:rsid w:val="00BF50D9"/>
    <w:rsid w:val="00C10340"/>
    <w:rsid w:val="00C10428"/>
    <w:rsid w:val="00C109BB"/>
    <w:rsid w:val="00C1563D"/>
    <w:rsid w:val="00C16CA3"/>
    <w:rsid w:val="00C2086D"/>
    <w:rsid w:val="00C20A64"/>
    <w:rsid w:val="00C216C5"/>
    <w:rsid w:val="00C24CF4"/>
    <w:rsid w:val="00C26466"/>
    <w:rsid w:val="00C31CC1"/>
    <w:rsid w:val="00C31D5C"/>
    <w:rsid w:val="00C32940"/>
    <w:rsid w:val="00C415CE"/>
    <w:rsid w:val="00C44B9C"/>
    <w:rsid w:val="00C45462"/>
    <w:rsid w:val="00C5306A"/>
    <w:rsid w:val="00C60DFD"/>
    <w:rsid w:val="00C6365B"/>
    <w:rsid w:val="00C646DA"/>
    <w:rsid w:val="00C64D84"/>
    <w:rsid w:val="00C6592C"/>
    <w:rsid w:val="00C663BA"/>
    <w:rsid w:val="00C7005C"/>
    <w:rsid w:val="00C701C7"/>
    <w:rsid w:val="00C70768"/>
    <w:rsid w:val="00C7114B"/>
    <w:rsid w:val="00C76A7A"/>
    <w:rsid w:val="00C76D54"/>
    <w:rsid w:val="00C81698"/>
    <w:rsid w:val="00C820CE"/>
    <w:rsid w:val="00C85B29"/>
    <w:rsid w:val="00C871EF"/>
    <w:rsid w:val="00C8723E"/>
    <w:rsid w:val="00C87466"/>
    <w:rsid w:val="00C9034D"/>
    <w:rsid w:val="00C93782"/>
    <w:rsid w:val="00CA3F16"/>
    <w:rsid w:val="00CA5358"/>
    <w:rsid w:val="00CA58E1"/>
    <w:rsid w:val="00CA6731"/>
    <w:rsid w:val="00CA6E2E"/>
    <w:rsid w:val="00CB0241"/>
    <w:rsid w:val="00CB151C"/>
    <w:rsid w:val="00CB2787"/>
    <w:rsid w:val="00CB2AAB"/>
    <w:rsid w:val="00CB2F91"/>
    <w:rsid w:val="00CB4052"/>
    <w:rsid w:val="00CB4F01"/>
    <w:rsid w:val="00CB544C"/>
    <w:rsid w:val="00CB69F8"/>
    <w:rsid w:val="00CC09BF"/>
    <w:rsid w:val="00CC29D9"/>
    <w:rsid w:val="00CC309B"/>
    <w:rsid w:val="00CC32E8"/>
    <w:rsid w:val="00CC5003"/>
    <w:rsid w:val="00CC7C42"/>
    <w:rsid w:val="00CD114C"/>
    <w:rsid w:val="00CD4D2E"/>
    <w:rsid w:val="00CD4D51"/>
    <w:rsid w:val="00CD5704"/>
    <w:rsid w:val="00CD578F"/>
    <w:rsid w:val="00CD5AB9"/>
    <w:rsid w:val="00CD5BF7"/>
    <w:rsid w:val="00CE3482"/>
    <w:rsid w:val="00CE51C6"/>
    <w:rsid w:val="00CF2106"/>
    <w:rsid w:val="00CF4E42"/>
    <w:rsid w:val="00CF5A88"/>
    <w:rsid w:val="00CF64F0"/>
    <w:rsid w:val="00CF7460"/>
    <w:rsid w:val="00CF771B"/>
    <w:rsid w:val="00D026EB"/>
    <w:rsid w:val="00D04522"/>
    <w:rsid w:val="00D07743"/>
    <w:rsid w:val="00D2185D"/>
    <w:rsid w:val="00D2417C"/>
    <w:rsid w:val="00D24198"/>
    <w:rsid w:val="00D242FB"/>
    <w:rsid w:val="00D24652"/>
    <w:rsid w:val="00D31A08"/>
    <w:rsid w:val="00D3306F"/>
    <w:rsid w:val="00D34A37"/>
    <w:rsid w:val="00D3510F"/>
    <w:rsid w:val="00D37AD0"/>
    <w:rsid w:val="00D40DA4"/>
    <w:rsid w:val="00D5140F"/>
    <w:rsid w:val="00D52785"/>
    <w:rsid w:val="00D540A5"/>
    <w:rsid w:val="00D5485D"/>
    <w:rsid w:val="00D605FF"/>
    <w:rsid w:val="00D60B21"/>
    <w:rsid w:val="00D60F0F"/>
    <w:rsid w:val="00D610B8"/>
    <w:rsid w:val="00D61D17"/>
    <w:rsid w:val="00D61E3E"/>
    <w:rsid w:val="00D630E5"/>
    <w:rsid w:val="00D65207"/>
    <w:rsid w:val="00D7152A"/>
    <w:rsid w:val="00D71EE5"/>
    <w:rsid w:val="00D72C35"/>
    <w:rsid w:val="00D743AA"/>
    <w:rsid w:val="00D81527"/>
    <w:rsid w:val="00D83DC3"/>
    <w:rsid w:val="00D875F4"/>
    <w:rsid w:val="00D93509"/>
    <w:rsid w:val="00D969A7"/>
    <w:rsid w:val="00DA2DF2"/>
    <w:rsid w:val="00DA2E3F"/>
    <w:rsid w:val="00DA340F"/>
    <w:rsid w:val="00DA6A7C"/>
    <w:rsid w:val="00DA6EF8"/>
    <w:rsid w:val="00DA7120"/>
    <w:rsid w:val="00DA73B7"/>
    <w:rsid w:val="00DB10E6"/>
    <w:rsid w:val="00DB1D21"/>
    <w:rsid w:val="00DB23FB"/>
    <w:rsid w:val="00DB5775"/>
    <w:rsid w:val="00DC1F49"/>
    <w:rsid w:val="00DC2677"/>
    <w:rsid w:val="00DC4A32"/>
    <w:rsid w:val="00DC4E91"/>
    <w:rsid w:val="00DD0F10"/>
    <w:rsid w:val="00DD1A10"/>
    <w:rsid w:val="00DD210E"/>
    <w:rsid w:val="00DD2764"/>
    <w:rsid w:val="00DD2FBC"/>
    <w:rsid w:val="00DE02DA"/>
    <w:rsid w:val="00DE6B36"/>
    <w:rsid w:val="00DE7A1A"/>
    <w:rsid w:val="00DE7A57"/>
    <w:rsid w:val="00DF1055"/>
    <w:rsid w:val="00DF4D95"/>
    <w:rsid w:val="00DF5A0D"/>
    <w:rsid w:val="00DF70E7"/>
    <w:rsid w:val="00E00EC5"/>
    <w:rsid w:val="00E0158D"/>
    <w:rsid w:val="00E0288B"/>
    <w:rsid w:val="00E0428D"/>
    <w:rsid w:val="00E0793E"/>
    <w:rsid w:val="00E10AF8"/>
    <w:rsid w:val="00E114F7"/>
    <w:rsid w:val="00E122AB"/>
    <w:rsid w:val="00E14583"/>
    <w:rsid w:val="00E15A92"/>
    <w:rsid w:val="00E20CD8"/>
    <w:rsid w:val="00E20D97"/>
    <w:rsid w:val="00E232F9"/>
    <w:rsid w:val="00E240C8"/>
    <w:rsid w:val="00E26794"/>
    <w:rsid w:val="00E30AAB"/>
    <w:rsid w:val="00E30EF7"/>
    <w:rsid w:val="00E3389D"/>
    <w:rsid w:val="00E3501B"/>
    <w:rsid w:val="00E35E6C"/>
    <w:rsid w:val="00E36339"/>
    <w:rsid w:val="00E37F96"/>
    <w:rsid w:val="00E412BE"/>
    <w:rsid w:val="00E42608"/>
    <w:rsid w:val="00E43AE0"/>
    <w:rsid w:val="00E440BD"/>
    <w:rsid w:val="00E455BA"/>
    <w:rsid w:val="00E46CC8"/>
    <w:rsid w:val="00E473ED"/>
    <w:rsid w:val="00E61047"/>
    <w:rsid w:val="00E64EC4"/>
    <w:rsid w:val="00E65A0F"/>
    <w:rsid w:val="00E71331"/>
    <w:rsid w:val="00E71ED4"/>
    <w:rsid w:val="00E75C54"/>
    <w:rsid w:val="00E776C7"/>
    <w:rsid w:val="00E81603"/>
    <w:rsid w:val="00E848C4"/>
    <w:rsid w:val="00E863CB"/>
    <w:rsid w:val="00E9182F"/>
    <w:rsid w:val="00E920DA"/>
    <w:rsid w:val="00E937C0"/>
    <w:rsid w:val="00E94942"/>
    <w:rsid w:val="00EA0A25"/>
    <w:rsid w:val="00EA0B10"/>
    <w:rsid w:val="00EA0F8B"/>
    <w:rsid w:val="00EA1501"/>
    <w:rsid w:val="00EA41AC"/>
    <w:rsid w:val="00EA5631"/>
    <w:rsid w:val="00EA6C5B"/>
    <w:rsid w:val="00EB3E1B"/>
    <w:rsid w:val="00EB3F09"/>
    <w:rsid w:val="00EB5C74"/>
    <w:rsid w:val="00EB5E61"/>
    <w:rsid w:val="00EB6B66"/>
    <w:rsid w:val="00EB7F93"/>
    <w:rsid w:val="00EC23BD"/>
    <w:rsid w:val="00EC3747"/>
    <w:rsid w:val="00EC3D7E"/>
    <w:rsid w:val="00EC49A0"/>
    <w:rsid w:val="00EC5E97"/>
    <w:rsid w:val="00EC6613"/>
    <w:rsid w:val="00EC6D3C"/>
    <w:rsid w:val="00ED0E01"/>
    <w:rsid w:val="00ED1532"/>
    <w:rsid w:val="00ED44A2"/>
    <w:rsid w:val="00ED5946"/>
    <w:rsid w:val="00EE00ED"/>
    <w:rsid w:val="00EE0BB3"/>
    <w:rsid w:val="00EE0F28"/>
    <w:rsid w:val="00EE3225"/>
    <w:rsid w:val="00EE6053"/>
    <w:rsid w:val="00EF1459"/>
    <w:rsid w:val="00EF1E36"/>
    <w:rsid w:val="00EF4265"/>
    <w:rsid w:val="00EF6BAC"/>
    <w:rsid w:val="00F043A8"/>
    <w:rsid w:val="00F04B57"/>
    <w:rsid w:val="00F056CF"/>
    <w:rsid w:val="00F16368"/>
    <w:rsid w:val="00F2019A"/>
    <w:rsid w:val="00F2379F"/>
    <w:rsid w:val="00F254F1"/>
    <w:rsid w:val="00F27449"/>
    <w:rsid w:val="00F412C6"/>
    <w:rsid w:val="00F42DBC"/>
    <w:rsid w:val="00F44873"/>
    <w:rsid w:val="00F44F0A"/>
    <w:rsid w:val="00F4587D"/>
    <w:rsid w:val="00F4790E"/>
    <w:rsid w:val="00F523E6"/>
    <w:rsid w:val="00F53A05"/>
    <w:rsid w:val="00F55A4C"/>
    <w:rsid w:val="00F60402"/>
    <w:rsid w:val="00F6063B"/>
    <w:rsid w:val="00F61D50"/>
    <w:rsid w:val="00F62977"/>
    <w:rsid w:val="00F6306B"/>
    <w:rsid w:val="00F671D9"/>
    <w:rsid w:val="00F70123"/>
    <w:rsid w:val="00F711DF"/>
    <w:rsid w:val="00F71C9C"/>
    <w:rsid w:val="00F71F4E"/>
    <w:rsid w:val="00F73FD6"/>
    <w:rsid w:val="00F7429B"/>
    <w:rsid w:val="00F74F56"/>
    <w:rsid w:val="00F77005"/>
    <w:rsid w:val="00F80007"/>
    <w:rsid w:val="00F83AD1"/>
    <w:rsid w:val="00F8431B"/>
    <w:rsid w:val="00F85BF8"/>
    <w:rsid w:val="00F86C3E"/>
    <w:rsid w:val="00F90577"/>
    <w:rsid w:val="00F90A25"/>
    <w:rsid w:val="00F9178F"/>
    <w:rsid w:val="00F91B66"/>
    <w:rsid w:val="00F92D72"/>
    <w:rsid w:val="00F92E09"/>
    <w:rsid w:val="00F93367"/>
    <w:rsid w:val="00F93521"/>
    <w:rsid w:val="00F955C5"/>
    <w:rsid w:val="00F9718A"/>
    <w:rsid w:val="00F97C5B"/>
    <w:rsid w:val="00FA1482"/>
    <w:rsid w:val="00FA2A15"/>
    <w:rsid w:val="00FA4E7C"/>
    <w:rsid w:val="00FA4EB9"/>
    <w:rsid w:val="00FA6ABD"/>
    <w:rsid w:val="00FB033A"/>
    <w:rsid w:val="00FB1CC2"/>
    <w:rsid w:val="00FB3D73"/>
    <w:rsid w:val="00FB71E7"/>
    <w:rsid w:val="00FC3562"/>
    <w:rsid w:val="00FC3F1D"/>
    <w:rsid w:val="00FC60AF"/>
    <w:rsid w:val="00FD01DD"/>
    <w:rsid w:val="00FD2738"/>
    <w:rsid w:val="00FD405D"/>
    <w:rsid w:val="00FD462A"/>
    <w:rsid w:val="00FD64C0"/>
    <w:rsid w:val="00FD79C3"/>
    <w:rsid w:val="00FE0732"/>
    <w:rsid w:val="00FE31A2"/>
    <w:rsid w:val="00FE35DD"/>
    <w:rsid w:val="00FE7A3A"/>
    <w:rsid w:val="00FF0402"/>
    <w:rsid w:val="00FF0927"/>
    <w:rsid w:val="00FF2912"/>
    <w:rsid w:val="00FF338B"/>
    <w:rsid w:val="00FF5BDC"/>
    <w:rsid w:val="00FF7A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FF9B9"/>
  <w15:docId w15:val="{0D78C40D-F1CB-4277-9E04-1A6C4B74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B62"/>
    <w:pPr>
      <w:bidi/>
    </w:pPr>
  </w:style>
  <w:style w:type="paragraph" w:styleId="Heading1">
    <w:name w:val="heading 1"/>
    <w:basedOn w:val="Normal"/>
    <w:next w:val="Normal"/>
    <w:qFormat/>
    <w:rsid w:val="00B55B62"/>
    <w:pPr>
      <w:keepNext/>
      <w:outlineLvl w:val="0"/>
    </w:pPr>
    <w:rPr>
      <w:b/>
      <w:bCs/>
      <w:sz w:val="24"/>
      <w:szCs w:val="28"/>
    </w:rPr>
  </w:style>
  <w:style w:type="paragraph" w:styleId="Heading2">
    <w:name w:val="heading 2"/>
    <w:basedOn w:val="Normal"/>
    <w:next w:val="Normal"/>
    <w:qFormat/>
    <w:rsid w:val="00B55B62"/>
    <w:pPr>
      <w:keepNext/>
      <w:ind w:left="2880" w:right="2880"/>
      <w:outlineLvl w:val="1"/>
    </w:pPr>
    <w:rPr>
      <w:b/>
      <w:bCs/>
      <w:sz w:val="24"/>
      <w:szCs w:val="28"/>
    </w:rPr>
  </w:style>
  <w:style w:type="paragraph" w:styleId="Heading3">
    <w:name w:val="heading 3"/>
    <w:basedOn w:val="Normal"/>
    <w:next w:val="Normal"/>
    <w:qFormat/>
    <w:rsid w:val="00B55B62"/>
    <w:pPr>
      <w:keepNext/>
      <w:jc w:val="center"/>
      <w:outlineLvl w:val="2"/>
    </w:pPr>
    <w:rPr>
      <w:b/>
      <w:bCs/>
    </w:rPr>
  </w:style>
  <w:style w:type="paragraph" w:styleId="Heading4">
    <w:name w:val="heading 4"/>
    <w:basedOn w:val="Normal"/>
    <w:next w:val="Normal"/>
    <w:qFormat/>
    <w:rsid w:val="00B55B62"/>
    <w:pPr>
      <w:keepNext/>
      <w:jc w:val="center"/>
      <w:outlineLvl w:val="3"/>
    </w:pPr>
    <w:rPr>
      <w:b/>
      <w:bCs/>
    </w:rPr>
  </w:style>
  <w:style w:type="paragraph" w:styleId="Heading5">
    <w:name w:val="heading 5"/>
    <w:basedOn w:val="Normal"/>
    <w:next w:val="Normal"/>
    <w:qFormat/>
    <w:rsid w:val="00B55B62"/>
    <w:pPr>
      <w:keepNext/>
      <w:jc w:val="center"/>
      <w:outlineLvl w:val="4"/>
    </w:pPr>
    <w:rPr>
      <w:b/>
      <w:bCs/>
      <w:sz w:val="24"/>
      <w:szCs w:val="28"/>
    </w:rPr>
  </w:style>
  <w:style w:type="paragraph" w:styleId="Heading6">
    <w:name w:val="heading 6"/>
    <w:basedOn w:val="Normal"/>
    <w:next w:val="Normal"/>
    <w:qFormat/>
    <w:rsid w:val="00B55B62"/>
    <w:pPr>
      <w:keepNext/>
      <w:jc w:val="center"/>
      <w:outlineLvl w:val="5"/>
    </w:pPr>
    <w:rPr>
      <w:b/>
      <w:bCs/>
    </w:rPr>
  </w:style>
  <w:style w:type="paragraph" w:styleId="Heading7">
    <w:name w:val="heading 7"/>
    <w:basedOn w:val="Normal"/>
    <w:next w:val="Normal"/>
    <w:qFormat/>
    <w:rsid w:val="00B55B62"/>
    <w:pPr>
      <w:keepNext/>
      <w:jc w:val="center"/>
      <w:outlineLvl w:val="6"/>
    </w:pPr>
    <w:rPr>
      <w:b/>
      <w:bCs/>
      <w:sz w:val="28"/>
      <w:szCs w:val="33"/>
    </w:rPr>
  </w:style>
  <w:style w:type="paragraph" w:styleId="Heading8">
    <w:name w:val="heading 8"/>
    <w:basedOn w:val="Normal"/>
    <w:next w:val="Normal"/>
    <w:qFormat/>
    <w:rsid w:val="00B55B62"/>
    <w:pPr>
      <w:keepNext/>
      <w:jc w:val="center"/>
      <w:outlineLvl w:val="7"/>
    </w:pPr>
    <w:rPr>
      <w:b/>
      <w:bCs/>
      <w:sz w:val="24"/>
      <w:szCs w:val="28"/>
      <w:u w:val="single"/>
    </w:rPr>
  </w:style>
  <w:style w:type="paragraph" w:styleId="Heading9">
    <w:name w:val="heading 9"/>
    <w:basedOn w:val="Normal"/>
    <w:next w:val="Normal"/>
    <w:qFormat/>
    <w:rsid w:val="00B55B62"/>
    <w:pPr>
      <w:keepNext/>
      <w:jc w:val="lowKashida"/>
      <w:outlineLvl w:val="8"/>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B62"/>
    <w:pPr>
      <w:tabs>
        <w:tab w:val="center" w:pos="4153"/>
        <w:tab w:val="right" w:pos="8306"/>
      </w:tabs>
    </w:pPr>
  </w:style>
  <w:style w:type="paragraph" w:styleId="Footer">
    <w:name w:val="footer"/>
    <w:basedOn w:val="Normal"/>
    <w:link w:val="FooterChar"/>
    <w:uiPriority w:val="99"/>
    <w:rsid w:val="00B55B62"/>
    <w:pPr>
      <w:tabs>
        <w:tab w:val="center" w:pos="4153"/>
        <w:tab w:val="right" w:pos="8306"/>
      </w:tabs>
    </w:pPr>
  </w:style>
  <w:style w:type="paragraph" w:styleId="Title">
    <w:name w:val="Title"/>
    <w:basedOn w:val="Normal"/>
    <w:link w:val="TitleChar"/>
    <w:qFormat/>
    <w:rsid w:val="00B55B62"/>
    <w:pPr>
      <w:jc w:val="center"/>
    </w:pPr>
    <w:rPr>
      <w:b/>
      <w:bCs/>
      <w:sz w:val="24"/>
      <w:szCs w:val="28"/>
    </w:rPr>
  </w:style>
  <w:style w:type="paragraph" w:styleId="Caption">
    <w:name w:val="caption"/>
    <w:basedOn w:val="Normal"/>
    <w:next w:val="Normal"/>
    <w:qFormat/>
    <w:rsid w:val="00B55B62"/>
    <w:pPr>
      <w:jc w:val="center"/>
    </w:pPr>
    <w:rPr>
      <w:b/>
      <w:bCs/>
      <w:sz w:val="24"/>
      <w:szCs w:val="28"/>
    </w:rPr>
  </w:style>
  <w:style w:type="paragraph" w:styleId="BodyText">
    <w:name w:val="Body Text"/>
    <w:basedOn w:val="Normal"/>
    <w:link w:val="BodyTextChar"/>
    <w:rsid w:val="00B55B62"/>
    <w:pPr>
      <w:jc w:val="lowKashida"/>
    </w:pPr>
    <w:rPr>
      <w:snapToGrid w:val="0"/>
      <w:sz w:val="24"/>
      <w:szCs w:val="28"/>
    </w:rPr>
  </w:style>
  <w:style w:type="character" w:styleId="PageNumber">
    <w:name w:val="page number"/>
    <w:basedOn w:val="DefaultParagraphFont"/>
    <w:rsid w:val="00B55B62"/>
    <w:rPr>
      <w:rFonts w:cs="Simplified Arabic"/>
    </w:rPr>
  </w:style>
  <w:style w:type="paragraph" w:styleId="BlockText">
    <w:name w:val="Block Text"/>
    <w:basedOn w:val="Normal"/>
    <w:rsid w:val="00B55B62"/>
    <w:pPr>
      <w:ind w:left="-2" w:firstLine="2"/>
      <w:jc w:val="lowKashida"/>
    </w:pPr>
    <w:rPr>
      <w:rFonts w:cs="Simplified Arabic"/>
      <w:sz w:val="24"/>
    </w:rPr>
  </w:style>
  <w:style w:type="paragraph" w:styleId="NormalWeb">
    <w:name w:val="Normal (Web)"/>
    <w:basedOn w:val="Normal"/>
    <w:uiPriority w:val="99"/>
    <w:rsid w:val="00B55B62"/>
    <w:pPr>
      <w:bidi w:val="0"/>
      <w:spacing w:before="100" w:beforeAutospacing="1" w:after="100" w:afterAutospacing="1"/>
    </w:pPr>
    <w:rPr>
      <w:rFonts w:ascii="Arial Unicode MS" w:eastAsia="Arial Unicode MS" w:hAnsi="Arial Unicode MS" w:cs="Arial Unicode MS"/>
      <w:sz w:val="24"/>
      <w:szCs w:val="24"/>
      <w:lang w:eastAsia="ar-SA"/>
    </w:rPr>
  </w:style>
  <w:style w:type="paragraph" w:customStyle="1" w:styleId="notes-text">
    <w:name w:val="notes-text"/>
    <w:basedOn w:val="Normal"/>
    <w:rsid w:val="00B55B62"/>
    <w:pPr>
      <w:bidi w:val="0"/>
      <w:spacing w:before="100" w:beforeAutospacing="1" w:after="100" w:afterAutospacing="1"/>
    </w:pPr>
    <w:rPr>
      <w:rFonts w:ascii="Arial Unicode MS" w:eastAsia="Arial Unicode MS" w:hAnsi="Arial Unicode MS" w:cs="Arabic Transparent" w:hint="cs"/>
      <w:lang w:eastAsia="ar-SA"/>
    </w:rPr>
  </w:style>
  <w:style w:type="character" w:customStyle="1" w:styleId="sub2-title1">
    <w:name w:val="sub2-title1"/>
    <w:basedOn w:val="DefaultParagraphFont"/>
    <w:rsid w:val="00B55B62"/>
    <w:rPr>
      <w:rFonts w:cs="Arabic Transparent" w:hint="cs"/>
      <w:b/>
      <w:bCs/>
      <w:spacing w:val="0"/>
      <w:sz w:val="24"/>
      <w:szCs w:val="24"/>
    </w:rPr>
  </w:style>
  <w:style w:type="character" w:styleId="Hyperlink">
    <w:name w:val="Hyperlink"/>
    <w:basedOn w:val="DefaultParagraphFont"/>
    <w:uiPriority w:val="99"/>
    <w:rsid w:val="00B55B62"/>
    <w:rPr>
      <w:color w:val="0000FF"/>
      <w:u w:val="single"/>
    </w:rPr>
  </w:style>
  <w:style w:type="character" w:styleId="Strong">
    <w:name w:val="Strong"/>
    <w:basedOn w:val="DefaultParagraphFont"/>
    <w:uiPriority w:val="22"/>
    <w:qFormat/>
    <w:rsid w:val="00B55B62"/>
    <w:rPr>
      <w:b/>
      <w:bCs/>
    </w:rPr>
  </w:style>
  <w:style w:type="table" w:styleId="TableGrid">
    <w:name w:val="Table Grid"/>
    <w:basedOn w:val="TableNormal"/>
    <w:uiPriority w:val="59"/>
    <w:rsid w:val="00356C4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7538"/>
    <w:rPr>
      <w:rFonts w:ascii="Tahoma" w:hAnsi="Tahoma" w:cs="Tahoma"/>
      <w:sz w:val="16"/>
      <w:szCs w:val="16"/>
    </w:rPr>
  </w:style>
  <w:style w:type="character" w:customStyle="1" w:styleId="BalloonTextChar">
    <w:name w:val="Balloon Text Char"/>
    <w:basedOn w:val="DefaultParagraphFont"/>
    <w:link w:val="BalloonText"/>
    <w:rsid w:val="00887538"/>
    <w:rPr>
      <w:rFonts w:ascii="Tahoma" w:hAnsi="Tahoma" w:cs="Tahoma"/>
      <w:sz w:val="16"/>
      <w:szCs w:val="16"/>
    </w:rPr>
  </w:style>
  <w:style w:type="character" w:customStyle="1" w:styleId="HeaderChar">
    <w:name w:val="Header Char"/>
    <w:basedOn w:val="DefaultParagraphFont"/>
    <w:link w:val="Header"/>
    <w:uiPriority w:val="99"/>
    <w:rsid w:val="00C216C5"/>
  </w:style>
  <w:style w:type="paragraph" w:styleId="ListParagraph">
    <w:name w:val="List Paragraph"/>
    <w:basedOn w:val="Normal"/>
    <w:uiPriority w:val="34"/>
    <w:qFormat/>
    <w:rsid w:val="008305C4"/>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D04522"/>
    <w:pPr>
      <w:spacing w:after="200" w:line="276" w:lineRule="auto"/>
    </w:pPr>
    <w:rPr>
      <w:rFonts w:ascii="Calibri" w:eastAsia="Arial Unicode MS" w:hAnsi="Calibri" w:cs="Arial Unicode MS"/>
    </w:rPr>
  </w:style>
  <w:style w:type="character" w:customStyle="1" w:styleId="FootnoteTextChar">
    <w:name w:val="Footnote Text Char"/>
    <w:basedOn w:val="DefaultParagraphFont"/>
    <w:link w:val="FootnoteText"/>
    <w:uiPriority w:val="99"/>
    <w:rsid w:val="00D04522"/>
    <w:rPr>
      <w:rFonts w:ascii="Calibri" w:eastAsia="Arial Unicode MS" w:hAnsi="Calibri" w:cs="Arial Unicode MS"/>
    </w:rPr>
  </w:style>
  <w:style w:type="character" w:styleId="FootnoteReference">
    <w:name w:val="footnote reference"/>
    <w:basedOn w:val="DefaultParagraphFont"/>
    <w:uiPriority w:val="99"/>
    <w:unhideWhenUsed/>
    <w:rsid w:val="00D04522"/>
    <w:rPr>
      <w:vertAlign w:val="superscript"/>
    </w:rPr>
  </w:style>
  <w:style w:type="character" w:customStyle="1" w:styleId="FooterChar">
    <w:name w:val="Footer Char"/>
    <w:basedOn w:val="DefaultParagraphFont"/>
    <w:link w:val="Footer"/>
    <w:uiPriority w:val="99"/>
    <w:rsid w:val="009374AA"/>
  </w:style>
  <w:style w:type="character" w:styleId="Emphasis">
    <w:name w:val="Emphasis"/>
    <w:basedOn w:val="DefaultParagraphFont"/>
    <w:uiPriority w:val="20"/>
    <w:qFormat/>
    <w:rsid w:val="00AB440C"/>
    <w:rPr>
      <w:b/>
      <w:bCs/>
      <w:i w:val="0"/>
      <w:iCs w:val="0"/>
    </w:rPr>
  </w:style>
  <w:style w:type="character" w:customStyle="1" w:styleId="st1">
    <w:name w:val="st1"/>
    <w:basedOn w:val="DefaultParagraphFont"/>
    <w:rsid w:val="00AB440C"/>
  </w:style>
  <w:style w:type="paragraph" w:styleId="NoSpacing">
    <w:name w:val="No Spacing"/>
    <w:basedOn w:val="Normal"/>
    <w:uiPriority w:val="1"/>
    <w:qFormat/>
    <w:rsid w:val="000173B7"/>
    <w:rPr>
      <w:rFonts w:ascii="Calibri" w:eastAsiaTheme="minorHAnsi" w:hAnsi="Calibri" w:cs="Times New Roman"/>
      <w:sz w:val="22"/>
      <w:szCs w:val="22"/>
    </w:rPr>
  </w:style>
  <w:style w:type="character" w:styleId="CommentReference">
    <w:name w:val="annotation reference"/>
    <w:basedOn w:val="DefaultParagraphFont"/>
    <w:rsid w:val="007079E6"/>
    <w:rPr>
      <w:sz w:val="16"/>
      <w:szCs w:val="16"/>
    </w:rPr>
  </w:style>
  <w:style w:type="paragraph" w:styleId="CommentText">
    <w:name w:val="annotation text"/>
    <w:basedOn w:val="Normal"/>
    <w:link w:val="CommentTextChar"/>
    <w:rsid w:val="007079E6"/>
  </w:style>
  <w:style w:type="character" w:customStyle="1" w:styleId="CommentTextChar">
    <w:name w:val="Comment Text Char"/>
    <w:basedOn w:val="DefaultParagraphFont"/>
    <w:link w:val="CommentText"/>
    <w:rsid w:val="007079E6"/>
  </w:style>
  <w:style w:type="paragraph" w:styleId="CommentSubject">
    <w:name w:val="annotation subject"/>
    <w:basedOn w:val="CommentText"/>
    <w:next w:val="CommentText"/>
    <w:link w:val="CommentSubjectChar"/>
    <w:rsid w:val="007079E6"/>
    <w:rPr>
      <w:b/>
      <w:bCs/>
    </w:rPr>
  </w:style>
  <w:style w:type="character" w:customStyle="1" w:styleId="CommentSubjectChar">
    <w:name w:val="Comment Subject Char"/>
    <w:basedOn w:val="CommentTextChar"/>
    <w:link w:val="CommentSubject"/>
    <w:rsid w:val="007079E6"/>
    <w:rPr>
      <w:b/>
      <w:bCs/>
    </w:rPr>
  </w:style>
  <w:style w:type="paragraph" w:styleId="Revision">
    <w:name w:val="Revision"/>
    <w:hidden/>
    <w:uiPriority w:val="99"/>
    <w:semiHidden/>
    <w:rsid w:val="006820D4"/>
  </w:style>
  <w:style w:type="paragraph" w:styleId="EndnoteText">
    <w:name w:val="endnote text"/>
    <w:basedOn w:val="Normal"/>
    <w:link w:val="EndnoteTextChar"/>
    <w:rsid w:val="009C7521"/>
  </w:style>
  <w:style w:type="character" w:customStyle="1" w:styleId="EndnoteTextChar">
    <w:name w:val="Endnote Text Char"/>
    <w:basedOn w:val="DefaultParagraphFont"/>
    <w:link w:val="EndnoteText"/>
    <w:rsid w:val="009C7521"/>
  </w:style>
  <w:style w:type="character" w:styleId="EndnoteReference">
    <w:name w:val="endnote reference"/>
    <w:basedOn w:val="DefaultParagraphFont"/>
    <w:rsid w:val="009C7521"/>
    <w:rPr>
      <w:vertAlign w:val="superscript"/>
    </w:rPr>
  </w:style>
  <w:style w:type="paragraph" w:styleId="HTMLPreformatted">
    <w:name w:val="HTML Preformatted"/>
    <w:basedOn w:val="Normal"/>
    <w:link w:val="HTMLPreformattedChar"/>
    <w:uiPriority w:val="99"/>
    <w:unhideWhenUsed/>
    <w:rsid w:val="00FF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rPr>
  </w:style>
  <w:style w:type="character" w:customStyle="1" w:styleId="HTMLPreformattedChar">
    <w:name w:val="HTML Preformatted Char"/>
    <w:basedOn w:val="DefaultParagraphFont"/>
    <w:link w:val="HTMLPreformatted"/>
    <w:uiPriority w:val="99"/>
    <w:rsid w:val="00FF5BDC"/>
    <w:rPr>
      <w:rFonts w:ascii="Courier New" w:hAnsi="Courier New" w:cs="Courier New"/>
    </w:rPr>
  </w:style>
  <w:style w:type="character" w:customStyle="1" w:styleId="TitleChar">
    <w:name w:val="Title Char"/>
    <w:link w:val="Title"/>
    <w:rsid w:val="00BF50D9"/>
    <w:rPr>
      <w:b/>
      <w:bCs/>
      <w:sz w:val="24"/>
      <w:szCs w:val="28"/>
    </w:rPr>
  </w:style>
  <w:style w:type="character" w:customStyle="1" w:styleId="BodyTextChar">
    <w:name w:val="Body Text Char"/>
    <w:basedOn w:val="DefaultParagraphFont"/>
    <w:link w:val="BodyText"/>
    <w:rsid w:val="003C2B51"/>
    <w:rPr>
      <w:snapToGrid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68020">
      <w:bodyDiv w:val="1"/>
      <w:marLeft w:val="0"/>
      <w:marRight w:val="0"/>
      <w:marTop w:val="0"/>
      <w:marBottom w:val="0"/>
      <w:divBdr>
        <w:top w:val="none" w:sz="0" w:space="0" w:color="auto"/>
        <w:left w:val="none" w:sz="0" w:space="0" w:color="auto"/>
        <w:bottom w:val="none" w:sz="0" w:space="0" w:color="auto"/>
        <w:right w:val="none" w:sz="0" w:space="0" w:color="auto"/>
      </w:divBdr>
    </w:div>
    <w:div w:id="115485554">
      <w:bodyDiv w:val="1"/>
      <w:marLeft w:val="0"/>
      <w:marRight w:val="0"/>
      <w:marTop w:val="0"/>
      <w:marBottom w:val="0"/>
      <w:divBdr>
        <w:top w:val="none" w:sz="0" w:space="0" w:color="auto"/>
        <w:left w:val="none" w:sz="0" w:space="0" w:color="auto"/>
        <w:bottom w:val="none" w:sz="0" w:space="0" w:color="auto"/>
        <w:right w:val="none" w:sz="0" w:space="0" w:color="auto"/>
      </w:divBdr>
    </w:div>
    <w:div w:id="145050180">
      <w:bodyDiv w:val="1"/>
      <w:marLeft w:val="0"/>
      <w:marRight w:val="0"/>
      <w:marTop w:val="0"/>
      <w:marBottom w:val="0"/>
      <w:divBdr>
        <w:top w:val="none" w:sz="0" w:space="0" w:color="auto"/>
        <w:left w:val="none" w:sz="0" w:space="0" w:color="auto"/>
        <w:bottom w:val="none" w:sz="0" w:space="0" w:color="auto"/>
        <w:right w:val="none" w:sz="0" w:space="0" w:color="auto"/>
      </w:divBdr>
      <w:divsChild>
        <w:div w:id="919559552">
          <w:marLeft w:val="0"/>
          <w:marRight w:val="0"/>
          <w:marTop w:val="0"/>
          <w:marBottom w:val="0"/>
          <w:divBdr>
            <w:top w:val="none" w:sz="0" w:space="0" w:color="auto"/>
            <w:left w:val="none" w:sz="0" w:space="0" w:color="auto"/>
            <w:bottom w:val="none" w:sz="0" w:space="0" w:color="auto"/>
            <w:right w:val="none" w:sz="0" w:space="0" w:color="auto"/>
          </w:divBdr>
        </w:div>
        <w:div w:id="1061100240">
          <w:marLeft w:val="0"/>
          <w:marRight w:val="0"/>
          <w:marTop w:val="0"/>
          <w:marBottom w:val="0"/>
          <w:divBdr>
            <w:top w:val="none" w:sz="0" w:space="0" w:color="auto"/>
            <w:left w:val="none" w:sz="0" w:space="0" w:color="auto"/>
            <w:bottom w:val="none" w:sz="0" w:space="0" w:color="auto"/>
            <w:right w:val="none" w:sz="0" w:space="0" w:color="auto"/>
          </w:divBdr>
        </w:div>
        <w:div w:id="1776896855">
          <w:marLeft w:val="0"/>
          <w:marRight w:val="0"/>
          <w:marTop w:val="0"/>
          <w:marBottom w:val="0"/>
          <w:divBdr>
            <w:top w:val="none" w:sz="0" w:space="0" w:color="auto"/>
            <w:left w:val="none" w:sz="0" w:space="0" w:color="auto"/>
            <w:bottom w:val="none" w:sz="0" w:space="0" w:color="auto"/>
            <w:right w:val="none" w:sz="0" w:space="0" w:color="auto"/>
          </w:divBdr>
        </w:div>
        <w:div w:id="2016181448">
          <w:marLeft w:val="0"/>
          <w:marRight w:val="0"/>
          <w:marTop w:val="0"/>
          <w:marBottom w:val="0"/>
          <w:divBdr>
            <w:top w:val="none" w:sz="0" w:space="0" w:color="auto"/>
            <w:left w:val="none" w:sz="0" w:space="0" w:color="auto"/>
            <w:bottom w:val="none" w:sz="0" w:space="0" w:color="auto"/>
            <w:right w:val="none" w:sz="0" w:space="0" w:color="auto"/>
          </w:divBdr>
        </w:div>
      </w:divsChild>
    </w:div>
    <w:div w:id="173423381">
      <w:bodyDiv w:val="1"/>
      <w:marLeft w:val="0"/>
      <w:marRight w:val="0"/>
      <w:marTop w:val="0"/>
      <w:marBottom w:val="0"/>
      <w:divBdr>
        <w:top w:val="none" w:sz="0" w:space="0" w:color="auto"/>
        <w:left w:val="none" w:sz="0" w:space="0" w:color="auto"/>
        <w:bottom w:val="none" w:sz="0" w:space="0" w:color="auto"/>
        <w:right w:val="none" w:sz="0" w:space="0" w:color="auto"/>
      </w:divBdr>
    </w:div>
    <w:div w:id="541788154">
      <w:bodyDiv w:val="1"/>
      <w:marLeft w:val="0"/>
      <w:marRight w:val="0"/>
      <w:marTop w:val="0"/>
      <w:marBottom w:val="0"/>
      <w:divBdr>
        <w:top w:val="none" w:sz="0" w:space="0" w:color="auto"/>
        <w:left w:val="none" w:sz="0" w:space="0" w:color="auto"/>
        <w:bottom w:val="none" w:sz="0" w:space="0" w:color="auto"/>
        <w:right w:val="none" w:sz="0" w:space="0" w:color="auto"/>
      </w:divBdr>
    </w:div>
    <w:div w:id="803043713">
      <w:bodyDiv w:val="1"/>
      <w:marLeft w:val="0"/>
      <w:marRight w:val="0"/>
      <w:marTop w:val="0"/>
      <w:marBottom w:val="0"/>
      <w:divBdr>
        <w:top w:val="none" w:sz="0" w:space="0" w:color="auto"/>
        <w:left w:val="none" w:sz="0" w:space="0" w:color="auto"/>
        <w:bottom w:val="none" w:sz="0" w:space="0" w:color="auto"/>
        <w:right w:val="none" w:sz="0" w:space="0" w:color="auto"/>
      </w:divBdr>
    </w:div>
    <w:div w:id="972714781">
      <w:bodyDiv w:val="1"/>
      <w:marLeft w:val="0"/>
      <w:marRight w:val="0"/>
      <w:marTop w:val="0"/>
      <w:marBottom w:val="0"/>
      <w:divBdr>
        <w:top w:val="none" w:sz="0" w:space="0" w:color="auto"/>
        <w:left w:val="none" w:sz="0" w:space="0" w:color="auto"/>
        <w:bottom w:val="none" w:sz="0" w:space="0" w:color="auto"/>
        <w:right w:val="none" w:sz="0" w:space="0" w:color="auto"/>
      </w:divBdr>
    </w:div>
    <w:div w:id="1088500192">
      <w:bodyDiv w:val="1"/>
      <w:marLeft w:val="0"/>
      <w:marRight w:val="0"/>
      <w:marTop w:val="0"/>
      <w:marBottom w:val="0"/>
      <w:divBdr>
        <w:top w:val="none" w:sz="0" w:space="0" w:color="auto"/>
        <w:left w:val="none" w:sz="0" w:space="0" w:color="auto"/>
        <w:bottom w:val="none" w:sz="0" w:space="0" w:color="auto"/>
        <w:right w:val="none" w:sz="0" w:space="0" w:color="auto"/>
      </w:divBdr>
    </w:div>
    <w:div w:id="1111391650">
      <w:bodyDiv w:val="1"/>
      <w:marLeft w:val="0"/>
      <w:marRight w:val="0"/>
      <w:marTop w:val="0"/>
      <w:marBottom w:val="0"/>
      <w:divBdr>
        <w:top w:val="none" w:sz="0" w:space="0" w:color="auto"/>
        <w:left w:val="none" w:sz="0" w:space="0" w:color="auto"/>
        <w:bottom w:val="none" w:sz="0" w:space="0" w:color="auto"/>
        <w:right w:val="none" w:sz="0" w:space="0" w:color="auto"/>
      </w:divBdr>
    </w:div>
    <w:div w:id="1113093315">
      <w:bodyDiv w:val="1"/>
      <w:marLeft w:val="0"/>
      <w:marRight w:val="0"/>
      <w:marTop w:val="0"/>
      <w:marBottom w:val="0"/>
      <w:divBdr>
        <w:top w:val="none" w:sz="0" w:space="0" w:color="auto"/>
        <w:left w:val="none" w:sz="0" w:space="0" w:color="auto"/>
        <w:bottom w:val="none" w:sz="0" w:space="0" w:color="auto"/>
        <w:right w:val="none" w:sz="0" w:space="0" w:color="auto"/>
      </w:divBdr>
    </w:div>
    <w:div w:id="1330403275">
      <w:bodyDiv w:val="1"/>
      <w:marLeft w:val="0"/>
      <w:marRight w:val="0"/>
      <w:marTop w:val="0"/>
      <w:marBottom w:val="0"/>
      <w:divBdr>
        <w:top w:val="none" w:sz="0" w:space="0" w:color="auto"/>
        <w:left w:val="none" w:sz="0" w:space="0" w:color="auto"/>
        <w:bottom w:val="none" w:sz="0" w:space="0" w:color="auto"/>
        <w:right w:val="none" w:sz="0" w:space="0" w:color="auto"/>
      </w:divBdr>
    </w:div>
    <w:div w:id="1408574019">
      <w:bodyDiv w:val="1"/>
      <w:marLeft w:val="0"/>
      <w:marRight w:val="0"/>
      <w:marTop w:val="0"/>
      <w:marBottom w:val="0"/>
      <w:divBdr>
        <w:top w:val="none" w:sz="0" w:space="0" w:color="auto"/>
        <w:left w:val="none" w:sz="0" w:space="0" w:color="auto"/>
        <w:bottom w:val="none" w:sz="0" w:space="0" w:color="auto"/>
        <w:right w:val="none" w:sz="0" w:space="0" w:color="auto"/>
      </w:divBdr>
    </w:div>
    <w:div w:id="1796295559">
      <w:bodyDiv w:val="1"/>
      <w:marLeft w:val="0"/>
      <w:marRight w:val="0"/>
      <w:marTop w:val="0"/>
      <w:marBottom w:val="0"/>
      <w:divBdr>
        <w:top w:val="none" w:sz="0" w:space="0" w:color="auto"/>
        <w:left w:val="none" w:sz="0" w:space="0" w:color="auto"/>
        <w:bottom w:val="none" w:sz="0" w:space="0" w:color="auto"/>
        <w:right w:val="none" w:sz="0" w:space="0" w:color="auto"/>
      </w:divBdr>
    </w:div>
    <w:div w:id="1950820830">
      <w:bodyDiv w:val="1"/>
      <w:marLeft w:val="0"/>
      <w:marRight w:val="0"/>
      <w:marTop w:val="0"/>
      <w:marBottom w:val="0"/>
      <w:divBdr>
        <w:top w:val="none" w:sz="0" w:space="0" w:color="auto"/>
        <w:left w:val="none" w:sz="0" w:space="0" w:color="auto"/>
        <w:bottom w:val="none" w:sz="0" w:space="0" w:color="auto"/>
        <w:right w:val="none" w:sz="0" w:space="0" w:color="auto"/>
      </w:divBdr>
    </w:div>
    <w:div w:id="2087220753">
      <w:bodyDiv w:val="1"/>
      <w:marLeft w:val="0"/>
      <w:marRight w:val="0"/>
      <w:marTop w:val="0"/>
      <w:marBottom w:val="0"/>
      <w:divBdr>
        <w:top w:val="none" w:sz="0" w:space="0" w:color="auto"/>
        <w:left w:val="none" w:sz="0" w:space="0" w:color="auto"/>
        <w:bottom w:val="none" w:sz="0" w:space="0" w:color="auto"/>
        <w:right w:val="none" w:sz="0" w:space="0" w:color="auto"/>
      </w:divBdr>
    </w:div>
    <w:div w:id="21223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cbs.gov.p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18417.963DC5C0" TargetMode="External"/><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71727853236001"/>
          <c:y val="0.16676610528285854"/>
          <c:w val="0.81681143971963888"/>
          <c:h val="0.61625462331244463"/>
        </c:manualLayout>
      </c:layout>
      <c:lineChart>
        <c:grouping val="standard"/>
        <c:varyColors val="0"/>
        <c:ser>
          <c:idx val="0"/>
          <c:order val="0"/>
          <c:tx>
            <c:strRef>
              <c:f>Sheet1!$B$1</c:f>
              <c:strCache>
                <c:ptCount val="1"/>
                <c:pt idx="0">
                  <c:v>نسبة الفلسطينيين</c:v>
                </c:pt>
              </c:strCache>
            </c:strRef>
          </c:tx>
          <c:spPr>
            <a:ln>
              <a:solidFill>
                <a:srgbClr val="7030A0"/>
              </a:solidFill>
              <a:prstDash val="sysDot"/>
            </a:ln>
          </c:spPr>
          <c:marker>
            <c:symbol val="diamond"/>
            <c:size val="7"/>
            <c:spPr>
              <a:gradFill>
                <a:gsLst>
                  <a:gs pos="0">
                    <a:srgbClr val="7030A0"/>
                  </a:gs>
                  <a:gs pos="50000">
                    <a:srgbClr val="4F81BD">
                      <a:tint val="44500"/>
                      <a:satMod val="160000"/>
                    </a:srgbClr>
                  </a:gs>
                  <a:gs pos="100000">
                    <a:srgbClr val="4F81BD">
                      <a:tint val="23500"/>
                      <a:satMod val="160000"/>
                    </a:srgbClr>
                  </a:gs>
                </a:gsLst>
                <a:lin ang="5400000" scaled="0"/>
              </a:gradFill>
            </c:spPr>
          </c:marker>
          <c:cat>
            <c:numRef>
              <c:f>Sheet1!$A$2:$A$16</c:f>
              <c:numCache>
                <c:formatCode>General</c:formatCode>
                <c:ptCount val="15"/>
                <c:pt idx="0">
                  <c:v>1914</c:v>
                </c:pt>
                <c:pt idx="1">
                  <c:v>1918</c:v>
                </c:pt>
                <c:pt idx="2">
                  <c:v>1922</c:v>
                </c:pt>
                <c:pt idx="3">
                  <c:v>1931</c:v>
                </c:pt>
                <c:pt idx="4">
                  <c:v>1944</c:v>
                </c:pt>
                <c:pt idx="5">
                  <c:v>1948</c:v>
                </c:pt>
                <c:pt idx="6">
                  <c:v>1966</c:v>
                </c:pt>
                <c:pt idx="7">
                  <c:v>1978</c:v>
                </c:pt>
                <c:pt idx="8">
                  <c:v>1997</c:v>
                </c:pt>
                <c:pt idx="9">
                  <c:v>2017</c:v>
                </c:pt>
                <c:pt idx="10">
                  <c:v>2018</c:v>
                </c:pt>
                <c:pt idx="11">
                  <c:v>2019</c:v>
                </c:pt>
                <c:pt idx="12">
                  <c:v>2020</c:v>
                </c:pt>
                <c:pt idx="13">
                  <c:v>2021</c:v>
                </c:pt>
                <c:pt idx="14">
                  <c:v>2022</c:v>
                </c:pt>
              </c:numCache>
            </c:numRef>
          </c:cat>
          <c:val>
            <c:numRef>
              <c:f>Sheet1!$B$2:$B$16</c:f>
              <c:numCache>
                <c:formatCode>General</c:formatCode>
                <c:ptCount val="15"/>
                <c:pt idx="0">
                  <c:v>92</c:v>
                </c:pt>
                <c:pt idx="1">
                  <c:v>92.800000000000011</c:v>
                </c:pt>
                <c:pt idx="2">
                  <c:v>88.9</c:v>
                </c:pt>
                <c:pt idx="3">
                  <c:v>83.14</c:v>
                </c:pt>
                <c:pt idx="4">
                  <c:v>69.599999999999994</c:v>
                </c:pt>
                <c:pt idx="5">
                  <c:v>68.5</c:v>
                </c:pt>
                <c:pt idx="6">
                  <c:v>40.4</c:v>
                </c:pt>
                <c:pt idx="7">
                  <c:v>47.5</c:v>
                </c:pt>
                <c:pt idx="8">
                  <c:v>45.6</c:v>
                </c:pt>
                <c:pt idx="9">
                  <c:v>49.4</c:v>
                </c:pt>
                <c:pt idx="10">
                  <c:v>49.3</c:v>
                </c:pt>
                <c:pt idx="11">
                  <c:v>49.7</c:v>
                </c:pt>
                <c:pt idx="12">
                  <c:v>49.7</c:v>
                </c:pt>
                <c:pt idx="13">
                  <c:v>49.9</c:v>
                </c:pt>
                <c:pt idx="14" formatCode="0.0">
                  <c:v>50.1</c:v>
                </c:pt>
              </c:numCache>
            </c:numRef>
          </c:val>
          <c:smooth val="0"/>
          <c:extLst>
            <c:ext xmlns:c16="http://schemas.microsoft.com/office/drawing/2014/chart" uri="{C3380CC4-5D6E-409C-BE32-E72D297353CC}">
              <c16:uniqueId val="{00000000-C589-424F-9378-38E060332E23}"/>
            </c:ext>
          </c:extLst>
        </c:ser>
        <c:ser>
          <c:idx val="1"/>
          <c:order val="1"/>
          <c:tx>
            <c:strRef>
              <c:f>Sheet1!$C$1</c:f>
              <c:strCache>
                <c:ptCount val="1"/>
                <c:pt idx="0">
                  <c:v>نسبة اليهود</c:v>
                </c:pt>
              </c:strCache>
            </c:strRef>
          </c:tx>
          <c:cat>
            <c:numRef>
              <c:f>Sheet1!$A$2:$A$16</c:f>
              <c:numCache>
                <c:formatCode>General</c:formatCode>
                <c:ptCount val="15"/>
                <c:pt idx="0">
                  <c:v>1914</c:v>
                </c:pt>
                <c:pt idx="1">
                  <c:v>1918</c:v>
                </c:pt>
                <c:pt idx="2">
                  <c:v>1922</c:v>
                </c:pt>
                <c:pt idx="3">
                  <c:v>1931</c:v>
                </c:pt>
                <c:pt idx="4">
                  <c:v>1944</c:v>
                </c:pt>
                <c:pt idx="5">
                  <c:v>1948</c:v>
                </c:pt>
                <c:pt idx="6">
                  <c:v>1966</c:v>
                </c:pt>
                <c:pt idx="7">
                  <c:v>1978</c:v>
                </c:pt>
                <c:pt idx="8">
                  <c:v>1997</c:v>
                </c:pt>
                <c:pt idx="9">
                  <c:v>2017</c:v>
                </c:pt>
                <c:pt idx="10">
                  <c:v>2018</c:v>
                </c:pt>
                <c:pt idx="11">
                  <c:v>2019</c:v>
                </c:pt>
                <c:pt idx="12">
                  <c:v>2020</c:v>
                </c:pt>
                <c:pt idx="13">
                  <c:v>2021</c:v>
                </c:pt>
                <c:pt idx="14">
                  <c:v>2022</c:v>
                </c:pt>
              </c:numCache>
            </c:numRef>
          </c:cat>
          <c:val>
            <c:numRef>
              <c:f>Sheet1!$C$2:$C$16</c:f>
              <c:numCache>
                <c:formatCode>General</c:formatCode>
                <c:ptCount val="15"/>
                <c:pt idx="0">
                  <c:v>8</c:v>
                </c:pt>
                <c:pt idx="1">
                  <c:v>7.1999999999999993</c:v>
                </c:pt>
                <c:pt idx="2">
                  <c:v>11.1</c:v>
                </c:pt>
                <c:pt idx="3">
                  <c:v>16.86</c:v>
                </c:pt>
                <c:pt idx="4">
                  <c:v>30.4</c:v>
                </c:pt>
                <c:pt idx="5">
                  <c:v>31.5</c:v>
                </c:pt>
                <c:pt idx="6">
                  <c:v>59.6</c:v>
                </c:pt>
                <c:pt idx="7">
                  <c:v>52.5</c:v>
                </c:pt>
                <c:pt idx="8">
                  <c:v>54.4</c:v>
                </c:pt>
                <c:pt idx="9">
                  <c:v>50.6</c:v>
                </c:pt>
                <c:pt idx="10">
                  <c:v>50.7</c:v>
                </c:pt>
                <c:pt idx="11">
                  <c:v>50.3</c:v>
                </c:pt>
                <c:pt idx="12">
                  <c:v>50.3</c:v>
                </c:pt>
                <c:pt idx="13">
                  <c:v>50.1</c:v>
                </c:pt>
                <c:pt idx="14">
                  <c:v>49.9</c:v>
                </c:pt>
              </c:numCache>
            </c:numRef>
          </c:val>
          <c:smooth val="0"/>
          <c:extLst>
            <c:ext xmlns:c16="http://schemas.microsoft.com/office/drawing/2014/chart" uri="{C3380CC4-5D6E-409C-BE32-E72D297353CC}">
              <c16:uniqueId val="{00000001-C589-424F-9378-38E060332E23}"/>
            </c:ext>
          </c:extLst>
        </c:ser>
        <c:dLbls>
          <c:showLegendKey val="0"/>
          <c:showVal val="0"/>
          <c:showCatName val="0"/>
          <c:showSerName val="0"/>
          <c:showPercent val="0"/>
          <c:showBubbleSize val="0"/>
        </c:dLbls>
        <c:marker val="1"/>
        <c:smooth val="0"/>
        <c:axId val="55571968"/>
        <c:axId val="55648640"/>
      </c:lineChart>
      <c:catAx>
        <c:axId val="55571968"/>
        <c:scaling>
          <c:orientation val="minMax"/>
        </c:scaling>
        <c:delete val="0"/>
        <c:axPos val="b"/>
        <c:title>
          <c:tx>
            <c:rich>
              <a:bodyPr/>
              <a:lstStyle/>
              <a:p>
                <a:pPr>
                  <a:defRPr/>
                </a:pPr>
                <a:r>
                  <a:rPr lang="ar-SA"/>
                  <a:t>السنة</a:t>
                </a:r>
                <a:endParaRPr lang="en-US"/>
              </a:p>
            </c:rich>
          </c:tx>
          <c:overlay val="0"/>
        </c:title>
        <c:numFmt formatCode="General" sourceLinked="1"/>
        <c:majorTickMark val="out"/>
        <c:minorTickMark val="none"/>
        <c:tickLblPos val="nextTo"/>
        <c:crossAx val="55648640"/>
        <c:crosses val="autoZero"/>
        <c:auto val="1"/>
        <c:lblAlgn val="ctr"/>
        <c:lblOffset val="100"/>
        <c:noMultiLvlLbl val="0"/>
      </c:catAx>
      <c:valAx>
        <c:axId val="55648640"/>
        <c:scaling>
          <c:orientation val="minMax"/>
        </c:scaling>
        <c:delete val="0"/>
        <c:axPos val="l"/>
        <c:title>
          <c:tx>
            <c:rich>
              <a:bodyPr rot="0" vert="wordArtVert"/>
              <a:lstStyle/>
              <a:p>
                <a:pPr>
                  <a:defRPr/>
                </a:pPr>
                <a:r>
                  <a:rPr lang="ar-SA"/>
                  <a:t>%</a:t>
                </a:r>
                <a:endParaRPr lang="en-US"/>
              </a:p>
            </c:rich>
          </c:tx>
          <c:overlay val="0"/>
        </c:title>
        <c:numFmt formatCode="General" sourceLinked="1"/>
        <c:majorTickMark val="out"/>
        <c:minorTickMark val="none"/>
        <c:tickLblPos val="nextTo"/>
        <c:crossAx val="55571968"/>
        <c:crosses val="autoZero"/>
        <c:crossBetween val="between"/>
        <c:minorUnit val="5"/>
      </c:valAx>
    </c:plotArea>
    <c:legend>
      <c:legendPos val="r"/>
      <c:layout>
        <c:manualLayout>
          <c:xMode val="edge"/>
          <c:yMode val="edge"/>
          <c:x val="0.33885696501640983"/>
          <c:y val="4.2351321359583811E-2"/>
          <c:w val="0.36493614496645088"/>
          <c:h val="8.8875508610414766E-2"/>
        </c:manualLayout>
      </c:layout>
      <c:overlay val="0"/>
    </c:legend>
    <c:plotVisOnly val="1"/>
    <c:dispBlanksAs val="gap"/>
    <c:showDLblsOverMax val="0"/>
  </c:chart>
  <c:txPr>
    <a:bodyPr/>
    <a:lstStyle/>
    <a:p>
      <a:pPr>
        <a:defRPr sz="900"/>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771FF-3559-4E8C-A839-ECBCCF1A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تقـديم</vt:lpstr>
    </vt:vector>
  </TitlesOfParts>
  <Company>PCBS</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تقـديم</dc:title>
  <dc:creator>MANAR</dc:creator>
  <cp:lastModifiedBy>LOAY SHEHADEH</cp:lastModifiedBy>
  <cp:revision>20</cp:revision>
  <cp:lastPrinted>2023-05-11T11:21:00Z</cp:lastPrinted>
  <dcterms:created xsi:type="dcterms:W3CDTF">2023-05-09T05:44:00Z</dcterms:created>
  <dcterms:modified xsi:type="dcterms:W3CDTF">2023-05-14T05:03:00Z</dcterms:modified>
</cp:coreProperties>
</file>