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3" w:rsidRPr="007E7925" w:rsidRDefault="00461B53" w:rsidP="007E7925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7E7925"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يستعرض واقع مؤسسات القطاع الخاص والأهلي  في فلسطين</w:t>
      </w:r>
      <w:r w:rsidRPr="007E7925">
        <w:rPr>
          <w:rFonts w:ascii="Simplified Arabic" w:hAnsi="Simplified Arabic" w:cs="Simplified Arabic"/>
          <w:b/>
          <w:bCs/>
          <w:sz w:val="32"/>
          <w:szCs w:val="32"/>
        </w:rPr>
        <w:t>*</w:t>
      </w:r>
      <w:r w:rsidRPr="007E792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E792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2022</w:t>
      </w:r>
    </w:p>
    <w:p w:rsidR="007E7925" w:rsidRDefault="007E7925" w:rsidP="0010688A">
      <w:pPr>
        <w:jc w:val="lowKashida"/>
        <w:rPr>
          <w:rFonts w:cs="Simplified Arabic"/>
          <w:b/>
          <w:bCs/>
          <w:sz w:val="16"/>
          <w:szCs w:val="16"/>
          <w:rtl/>
        </w:rPr>
      </w:pPr>
    </w:p>
    <w:p w:rsidR="007E7925" w:rsidRPr="00461B53" w:rsidRDefault="007E7925" w:rsidP="0010688A">
      <w:pPr>
        <w:jc w:val="lowKashida"/>
        <w:rPr>
          <w:rFonts w:cs="Simplified Arabic"/>
          <w:b/>
          <w:bCs/>
          <w:sz w:val="16"/>
          <w:szCs w:val="16"/>
          <w:rtl/>
        </w:rPr>
      </w:pPr>
    </w:p>
    <w:p w:rsidR="00C93901" w:rsidRPr="007E7925" w:rsidRDefault="00387575" w:rsidP="0010688A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7E7925">
        <w:rPr>
          <w:rFonts w:cs="Simplified Arabic" w:hint="cs"/>
          <w:b/>
          <w:bCs/>
          <w:sz w:val="28"/>
          <w:szCs w:val="28"/>
          <w:rtl/>
        </w:rPr>
        <w:t>6</w:t>
      </w:r>
      <w:r w:rsidR="00D84C1D" w:rsidRPr="007E7925">
        <w:rPr>
          <w:rFonts w:cs="Simplified Arabic" w:hint="cs"/>
          <w:b/>
          <w:bCs/>
          <w:sz w:val="28"/>
          <w:szCs w:val="28"/>
          <w:rtl/>
        </w:rPr>
        <w:t>2</w:t>
      </w:r>
      <w:r w:rsidR="00C93901" w:rsidRPr="007E7925">
        <w:rPr>
          <w:rFonts w:cs="Simplified Arabic" w:hint="cs"/>
          <w:b/>
          <w:bCs/>
          <w:sz w:val="28"/>
          <w:szCs w:val="28"/>
          <w:rtl/>
        </w:rPr>
        <w:t xml:space="preserve">% من </w:t>
      </w:r>
      <w:r w:rsidR="00D84C1D" w:rsidRPr="007E7925">
        <w:rPr>
          <w:rFonts w:cs="Simplified Arabic" w:hint="cs"/>
          <w:b/>
          <w:bCs/>
          <w:sz w:val="28"/>
          <w:szCs w:val="28"/>
          <w:rtl/>
        </w:rPr>
        <w:t>إجمالي</w:t>
      </w:r>
      <w:r w:rsidR="00C93901" w:rsidRPr="007E7925">
        <w:rPr>
          <w:rFonts w:cs="Simplified Arabic" w:hint="cs"/>
          <w:b/>
          <w:bCs/>
          <w:sz w:val="28"/>
          <w:szCs w:val="28"/>
          <w:rtl/>
        </w:rPr>
        <w:t xml:space="preserve"> العاملين </w:t>
      </w:r>
      <w:r w:rsidR="00385B0F" w:rsidRPr="007E7925">
        <w:rPr>
          <w:rFonts w:cs="Simplified Arabic" w:hint="cs"/>
          <w:b/>
          <w:bCs/>
          <w:sz w:val="28"/>
          <w:szCs w:val="28"/>
          <w:rtl/>
        </w:rPr>
        <w:t>في مؤسسات القطاع الخاص</w:t>
      </w:r>
      <w:r w:rsidR="00CF7BB1" w:rsidRPr="007E7925">
        <w:rPr>
          <w:rFonts w:cs="Simplified Arabic" w:hint="cs"/>
          <w:b/>
          <w:bCs/>
          <w:sz w:val="28"/>
          <w:szCs w:val="28"/>
          <w:rtl/>
        </w:rPr>
        <w:t xml:space="preserve"> والأهلي</w:t>
      </w:r>
      <w:r w:rsidR="00D84C1D" w:rsidRPr="007E792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93901" w:rsidRPr="007E7925">
        <w:rPr>
          <w:rFonts w:cs="Simplified Arabic" w:hint="cs"/>
          <w:b/>
          <w:bCs/>
          <w:sz w:val="28"/>
          <w:szCs w:val="28"/>
          <w:rtl/>
        </w:rPr>
        <w:t xml:space="preserve">هم عاملين بأجر. </w:t>
      </w:r>
    </w:p>
    <w:p w:rsidR="00C93901" w:rsidRPr="0010688A" w:rsidRDefault="00C93901" w:rsidP="00C93901">
      <w:pPr>
        <w:jc w:val="lowKashida"/>
        <w:rPr>
          <w:rFonts w:cs="Simplified Arabic"/>
          <w:b/>
          <w:bCs/>
          <w:sz w:val="10"/>
          <w:szCs w:val="10"/>
          <w:rtl/>
        </w:rPr>
      </w:pPr>
    </w:p>
    <w:p w:rsidR="00C93901" w:rsidRPr="007E7925" w:rsidRDefault="00C93901" w:rsidP="009925A2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E7925">
        <w:rPr>
          <w:rFonts w:ascii="Simplified Arabic" w:hAnsi="Simplified Arabic" w:cs="Simplified Arabic"/>
          <w:sz w:val="26"/>
          <w:szCs w:val="26"/>
          <w:rtl/>
        </w:rPr>
        <w:t>بلغ عدد العاملين في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الاقتصادية العاملة</w:t>
      </w:r>
      <w:r w:rsidR="003B2329" w:rsidRPr="007E7925">
        <w:rPr>
          <w:rFonts w:ascii="Simplified Arabic" w:hAnsi="Simplified Arabic" w:cs="Simplified Arabic"/>
          <w:sz w:val="26"/>
          <w:szCs w:val="26"/>
          <w:rtl/>
        </w:rPr>
        <w:t xml:space="preserve"> في القطاع الخاص والأهلي 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في فلسطين ضمن </w:t>
      </w:r>
      <w:r w:rsidR="00C618B7" w:rsidRPr="007E7925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الاقتصادية 5</w:t>
      </w:r>
      <w:r w:rsidR="00387575" w:rsidRPr="007E7925">
        <w:rPr>
          <w:rFonts w:ascii="Simplified Arabic" w:hAnsi="Simplified Arabic" w:cs="Simplified Arabic"/>
          <w:sz w:val="26"/>
          <w:szCs w:val="26"/>
          <w:rtl/>
        </w:rPr>
        <w:t>2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2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,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3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60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عاملاً (3</w:t>
      </w:r>
      <w:r w:rsidR="00387575" w:rsidRPr="007E7925">
        <w:rPr>
          <w:rFonts w:ascii="Simplified Arabic" w:hAnsi="Simplified Arabic" w:cs="Simplified Arabic"/>
          <w:sz w:val="26"/>
          <w:szCs w:val="26"/>
          <w:rtl/>
        </w:rPr>
        <w:t>4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8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,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793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عاملا في الضفة الغربية، 17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3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,</w:t>
      </w:r>
      <w:r w:rsidR="00D84C1D" w:rsidRPr="007E7925">
        <w:rPr>
          <w:rFonts w:ascii="Simplified Arabic" w:hAnsi="Simplified Arabic" w:cs="Simplified Arabic"/>
          <w:sz w:val="26"/>
          <w:szCs w:val="26"/>
          <w:rtl/>
        </w:rPr>
        <w:t>567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عاملا في قطاع غزة)، </w:t>
      </w:r>
      <w:r w:rsidR="00E72F63" w:rsidRPr="007E7925">
        <w:rPr>
          <w:rFonts w:ascii="Simplified Arabic" w:hAnsi="Simplified Arabic" w:cs="Simplified Arabic"/>
          <w:sz w:val="26"/>
          <w:szCs w:val="26"/>
          <w:rtl/>
        </w:rPr>
        <w:t>بانخفاض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0.4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 مقارنة بالعام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2021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D7DE7" w:rsidRPr="007E7925">
        <w:rPr>
          <w:rFonts w:ascii="Simplified Arabic" w:hAnsi="Simplified Arabic" w:cs="Simplified Arabic"/>
          <w:sz w:val="26"/>
          <w:szCs w:val="26"/>
          <w:rtl/>
        </w:rPr>
        <w:t xml:space="preserve">أما بالنسبة للتوزيع النسبي للأنشطة عام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2022</w:t>
      </w:r>
      <w:r w:rsidR="009D7DE7" w:rsidRPr="007E7925">
        <w:rPr>
          <w:rFonts w:ascii="Simplified Arabic" w:hAnsi="Simplified Arabic" w:cs="Simplified Arabic"/>
          <w:sz w:val="26"/>
          <w:szCs w:val="26"/>
          <w:rtl/>
        </w:rPr>
        <w:t xml:space="preserve"> ف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قد ساهم نشاط التجارة الداخلية بالنسبة الأكبر في التشغيل بنسبة وصلت </w:t>
      </w:r>
      <w:r w:rsidR="00CE644B" w:rsidRPr="007E7925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5A2" w:rsidRPr="007E7925">
        <w:rPr>
          <w:rFonts w:ascii="Simplified Arabic" w:hAnsi="Simplified Arabic" w:cs="Simplified Arabic"/>
          <w:sz w:val="26"/>
          <w:szCs w:val="26"/>
        </w:rPr>
        <w:t>40.9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% من المجموع الكلي للعاملين، تلاه نشاط الخدمات بنسبة 3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2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.</w:t>
      </w:r>
      <w:r w:rsidR="00387575" w:rsidRPr="007E7925">
        <w:rPr>
          <w:rFonts w:ascii="Simplified Arabic" w:hAnsi="Simplified Arabic" w:cs="Simplified Arabic"/>
          <w:sz w:val="26"/>
          <w:szCs w:val="26"/>
          <w:rtl/>
        </w:rPr>
        <w:t>8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%، وساهم نشاط الصناعة بنسبة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18</w:t>
      </w:r>
      <w:r w:rsidR="00387575" w:rsidRPr="007E7925">
        <w:rPr>
          <w:rFonts w:ascii="Simplified Arabic" w:hAnsi="Simplified Arabic" w:cs="Simplified Arabic"/>
          <w:sz w:val="26"/>
          <w:szCs w:val="26"/>
          <w:rtl/>
        </w:rPr>
        <w:t>.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4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 بينما ساهمت أنشطة المالية والتأمين بنسبة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3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.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1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%، فيما ساهمت أنشطة </w:t>
      </w:r>
      <w:r w:rsidR="0016610F" w:rsidRPr="007E7925">
        <w:rPr>
          <w:rFonts w:ascii="Simplified Arabic" w:hAnsi="Simplified Arabic" w:cs="Simplified Arabic"/>
          <w:sz w:val="26"/>
          <w:szCs w:val="26"/>
          <w:rtl/>
        </w:rPr>
        <w:t>المعلومات والاتصالات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بنسبة 1.</w:t>
      </w:r>
      <w:r w:rsidR="00EA2FC4" w:rsidRPr="007E7925">
        <w:rPr>
          <w:rFonts w:ascii="Simplified Arabic" w:hAnsi="Simplified Arabic" w:cs="Simplified Arabic"/>
          <w:sz w:val="26"/>
          <w:szCs w:val="26"/>
          <w:rtl/>
        </w:rPr>
        <w:t>8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%، تلاها أنشطة </w:t>
      </w:r>
      <w:r w:rsidR="006519D5" w:rsidRPr="007E7925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وأنشطة النقل والتخزين بنسبه 1.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5% لكل منهما.</w:t>
      </w:r>
    </w:p>
    <w:p w:rsidR="00461B53" w:rsidRPr="007E7925" w:rsidRDefault="00461B53" w:rsidP="007E7925">
      <w:pPr>
        <w:ind w:left="-2" w:firstLine="7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3901" w:rsidRPr="007E7925" w:rsidRDefault="00C93901" w:rsidP="007E7925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E7925">
        <w:rPr>
          <w:rFonts w:ascii="Simplified Arabic" w:hAnsi="Simplified Arabic" w:cs="Simplified Arabic"/>
          <w:sz w:val="26"/>
          <w:szCs w:val="26"/>
          <w:rtl/>
        </w:rPr>
        <w:t>وتوزعت أعداد العاملين ما بين عاملين بدون أجر</w:t>
      </w:r>
      <w:r w:rsidR="007E792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(أصحاب العمل وأفراد أسرهم) ما نسبته 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38.0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% من المجموع الكلي للعاملين. وعاملين بأجر بنسبه </w:t>
      </w:r>
      <w:r w:rsidR="00EA2FC4" w:rsidRPr="007E7925">
        <w:rPr>
          <w:rFonts w:ascii="Simplified Arabic" w:hAnsi="Simplified Arabic" w:cs="Simplified Arabic"/>
          <w:sz w:val="26"/>
          <w:szCs w:val="26"/>
          <w:rtl/>
        </w:rPr>
        <w:t>6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2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.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0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%. وقد تلقوا تعويضات بقيمة 2,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6</w:t>
      </w:r>
      <w:r w:rsidR="0016610F" w:rsidRPr="007E7925">
        <w:rPr>
          <w:rFonts w:ascii="Simplified Arabic" w:hAnsi="Simplified Arabic" w:cs="Simplified Arabic"/>
          <w:sz w:val="26"/>
          <w:szCs w:val="26"/>
          <w:rtl/>
        </w:rPr>
        <w:t>4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7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>.</w:t>
      </w:r>
      <w:r w:rsidR="009925A2" w:rsidRPr="007E7925">
        <w:rPr>
          <w:rFonts w:ascii="Simplified Arabic" w:hAnsi="Simplified Arabic" w:cs="Simplified Arabic"/>
          <w:sz w:val="26"/>
          <w:szCs w:val="26"/>
          <w:rtl/>
        </w:rPr>
        <w:t>1</w:t>
      </w:r>
      <w:r w:rsidRPr="007E7925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</w:p>
    <w:p w:rsidR="00EC4B24" w:rsidRPr="007E7925" w:rsidRDefault="00EC4B24" w:rsidP="002C00A4">
      <w:pPr>
        <w:ind w:left="-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61B53" w:rsidRPr="00461B53" w:rsidRDefault="00461B53" w:rsidP="005F0442">
      <w:pPr>
        <w:ind w:left="-2"/>
        <w:jc w:val="center"/>
        <w:rPr>
          <w:rFonts w:cs="Simplified Arabic"/>
          <w:b/>
          <w:bCs/>
          <w:sz w:val="6"/>
          <w:szCs w:val="6"/>
          <w:rtl/>
        </w:rPr>
      </w:pPr>
    </w:p>
    <w:p w:rsidR="004623C3" w:rsidRPr="00461B53" w:rsidRDefault="00EC4B24" w:rsidP="005F0442">
      <w:pPr>
        <w:ind w:left="-2"/>
        <w:jc w:val="center"/>
        <w:rPr>
          <w:rFonts w:cs="Simplified Arabic"/>
          <w:b/>
          <w:bCs/>
          <w:sz w:val="26"/>
          <w:szCs w:val="26"/>
        </w:rPr>
      </w:pPr>
      <w:r w:rsidRPr="00461B53">
        <w:rPr>
          <w:rFonts w:cs="Simplified Arabic" w:hint="cs"/>
          <w:b/>
          <w:bCs/>
          <w:sz w:val="26"/>
          <w:szCs w:val="26"/>
          <w:rtl/>
        </w:rPr>
        <w:t xml:space="preserve">أعداد </w:t>
      </w:r>
      <w:r w:rsidR="00327047" w:rsidRPr="00461B53">
        <w:rPr>
          <w:rFonts w:cs="Simplified Arabic" w:hint="cs"/>
          <w:b/>
          <w:bCs/>
          <w:sz w:val="26"/>
          <w:szCs w:val="26"/>
          <w:rtl/>
        </w:rPr>
        <w:t>العاملين في مؤسسات</w:t>
      </w:r>
      <w:r w:rsidR="00D9476E" w:rsidRPr="00461B53">
        <w:rPr>
          <w:rFonts w:cs="Simplified Arabic" w:hint="cs"/>
          <w:b/>
          <w:bCs/>
          <w:sz w:val="26"/>
          <w:szCs w:val="26"/>
          <w:rtl/>
        </w:rPr>
        <w:t xml:space="preserve"> القطاع الخاص والأهلي</w:t>
      </w:r>
      <w:r w:rsidRPr="00461B53">
        <w:rPr>
          <w:rFonts w:cs="Simplified Arabic" w:hint="cs"/>
          <w:b/>
          <w:bCs/>
          <w:sz w:val="26"/>
          <w:szCs w:val="26"/>
          <w:rtl/>
        </w:rPr>
        <w:t xml:space="preserve"> حسب النشاط الاقتصادي والمنطقة للعام </w:t>
      </w:r>
      <w:r w:rsidR="005F0442" w:rsidRPr="00461B53">
        <w:rPr>
          <w:rFonts w:cs="Simplified Arabic" w:hint="cs"/>
          <w:b/>
          <w:bCs/>
          <w:sz w:val="26"/>
          <w:szCs w:val="26"/>
          <w:rtl/>
        </w:rPr>
        <w:t>2022</w:t>
      </w:r>
    </w:p>
    <w:tbl>
      <w:tblPr>
        <w:tblStyle w:val="TableGrid"/>
        <w:bidiVisual/>
        <w:tblW w:w="7226" w:type="dxa"/>
        <w:jc w:val="center"/>
        <w:tblLook w:val="04A0" w:firstRow="1" w:lastRow="0" w:firstColumn="1" w:lastColumn="0" w:noHBand="0" w:noVBand="1"/>
      </w:tblPr>
      <w:tblGrid>
        <w:gridCol w:w="2628"/>
        <w:gridCol w:w="1471"/>
        <w:gridCol w:w="1454"/>
        <w:gridCol w:w="1673"/>
      </w:tblGrid>
      <w:tr w:rsidR="0010688A" w:rsidRPr="007E7925" w:rsidTr="007E7925">
        <w:trPr>
          <w:trHeight w:val="225"/>
          <w:jc w:val="center"/>
        </w:trPr>
        <w:tc>
          <w:tcPr>
            <w:tcW w:w="2628" w:type="dxa"/>
            <w:vMerge w:val="restart"/>
          </w:tcPr>
          <w:p w:rsidR="00270F75" w:rsidRPr="007E7925" w:rsidRDefault="00270F75" w:rsidP="002C00A4">
            <w:pPr>
              <w:pStyle w:val="Heading1"/>
              <w:rPr>
                <w:rFonts w:asciiTheme="majorBidi" w:hAnsiTheme="majorBidi" w:cstheme="majorBidi"/>
                <w:rtl/>
              </w:rPr>
            </w:pPr>
            <w:r w:rsidRPr="007E7925">
              <w:rPr>
                <w:rFonts w:asciiTheme="majorBidi" w:hAnsiTheme="majorBidi" w:cstheme="majorBidi"/>
                <w:rtl/>
              </w:rPr>
              <w:t>النشاط الاقتصادي</w:t>
            </w:r>
          </w:p>
        </w:tc>
        <w:tc>
          <w:tcPr>
            <w:tcW w:w="4598" w:type="dxa"/>
            <w:gridSpan w:val="3"/>
          </w:tcPr>
          <w:p w:rsidR="00270F75" w:rsidRPr="007E7925" w:rsidRDefault="00270F75" w:rsidP="002C00A4">
            <w:pPr>
              <w:pStyle w:val="Heading1"/>
              <w:jc w:val="center"/>
              <w:rPr>
                <w:rFonts w:asciiTheme="majorBidi" w:hAnsiTheme="majorBidi" w:cstheme="majorBidi"/>
                <w:rtl/>
              </w:rPr>
            </w:pPr>
            <w:r w:rsidRPr="007E7925">
              <w:rPr>
                <w:rFonts w:asciiTheme="majorBidi" w:hAnsiTheme="majorBidi" w:cstheme="majorBidi"/>
                <w:rtl/>
              </w:rPr>
              <w:t>المنطقة</w:t>
            </w:r>
          </w:p>
        </w:tc>
      </w:tr>
      <w:tr w:rsidR="00461B53" w:rsidRPr="007E7925" w:rsidTr="007E7925">
        <w:trPr>
          <w:trHeight w:val="329"/>
          <w:jc w:val="center"/>
        </w:trPr>
        <w:tc>
          <w:tcPr>
            <w:tcW w:w="2628" w:type="dxa"/>
            <w:vMerge/>
          </w:tcPr>
          <w:p w:rsidR="00270F75" w:rsidRPr="007E7925" w:rsidRDefault="00270F75" w:rsidP="002C00A4">
            <w:pPr>
              <w:pStyle w:val="Heading1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71" w:type="dxa"/>
          </w:tcPr>
          <w:p w:rsidR="00270F75" w:rsidRPr="007E7925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الضفة الغربية*</w:t>
            </w:r>
          </w:p>
        </w:tc>
        <w:tc>
          <w:tcPr>
            <w:tcW w:w="1454" w:type="dxa"/>
          </w:tcPr>
          <w:p w:rsidR="00270F75" w:rsidRPr="007E7925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قطاع غزة</w:t>
            </w:r>
          </w:p>
        </w:tc>
        <w:tc>
          <w:tcPr>
            <w:tcW w:w="1673" w:type="dxa"/>
          </w:tcPr>
          <w:p w:rsidR="00270F75" w:rsidRPr="007E7925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فلسطين*</w:t>
            </w:r>
          </w:p>
        </w:tc>
      </w:tr>
      <w:tr w:rsidR="00461B53" w:rsidRPr="007E7925" w:rsidTr="007E7925">
        <w:trPr>
          <w:trHeight w:val="260"/>
          <w:jc w:val="center"/>
        </w:trPr>
        <w:tc>
          <w:tcPr>
            <w:tcW w:w="2628" w:type="dxa"/>
          </w:tcPr>
          <w:p w:rsidR="00907F0C" w:rsidRPr="007E7925" w:rsidRDefault="00907F0C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الصناعة</w:t>
            </w:r>
          </w:p>
        </w:tc>
        <w:tc>
          <w:tcPr>
            <w:tcW w:w="1471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76,850</w:t>
            </w:r>
          </w:p>
        </w:tc>
        <w:tc>
          <w:tcPr>
            <w:tcW w:w="1454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19,259</w:t>
            </w:r>
          </w:p>
        </w:tc>
        <w:tc>
          <w:tcPr>
            <w:tcW w:w="1673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96,109</w:t>
            </w:r>
          </w:p>
        </w:tc>
      </w:tr>
      <w:tr w:rsidR="00461B53" w:rsidRPr="007E7925" w:rsidTr="007E7925">
        <w:trPr>
          <w:trHeight w:val="278"/>
          <w:jc w:val="center"/>
        </w:trPr>
        <w:tc>
          <w:tcPr>
            <w:tcW w:w="2628" w:type="dxa"/>
          </w:tcPr>
          <w:p w:rsidR="00907F0C" w:rsidRPr="007E7925" w:rsidRDefault="00907F0C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الإنشاءات</w:t>
            </w:r>
          </w:p>
        </w:tc>
        <w:tc>
          <w:tcPr>
            <w:tcW w:w="1471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4,845</w:t>
            </w:r>
          </w:p>
        </w:tc>
        <w:tc>
          <w:tcPr>
            <w:tcW w:w="1454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2,921</w:t>
            </w:r>
          </w:p>
        </w:tc>
        <w:tc>
          <w:tcPr>
            <w:tcW w:w="1673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7,766</w:t>
            </w:r>
          </w:p>
        </w:tc>
      </w:tr>
      <w:tr w:rsidR="00461B53" w:rsidRPr="007E7925" w:rsidTr="007E7925">
        <w:trPr>
          <w:trHeight w:val="260"/>
          <w:jc w:val="center"/>
        </w:trPr>
        <w:tc>
          <w:tcPr>
            <w:tcW w:w="2628" w:type="dxa"/>
          </w:tcPr>
          <w:p w:rsidR="00907F0C" w:rsidRPr="007E7925" w:rsidRDefault="00907F0C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التجارة الداخلية</w:t>
            </w:r>
          </w:p>
        </w:tc>
        <w:tc>
          <w:tcPr>
            <w:tcW w:w="1471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134,842</w:t>
            </w:r>
          </w:p>
        </w:tc>
        <w:tc>
          <w:tcPr>
            <w:tcW w:w="1454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78,911</w:t>
            </w:r>
          </w:p>
        </w:tc>
        <w:tc>
          <w:tcPr>
            <w:tcW w:w="1673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213,75</w:t>
            </w:r>
            <w:r w:rsidR="004751F9" w:rsidRPr="007E792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</w:tr>
      <w:tr w:rsidR="00461B53" w:rsidRPr="007E7925" w:rsidTr="007E7925">
        <w:trPr>
          <w:trHeight w:val="278"/>
          <w:jc w:val="center"/>
        </w:trPr>
        <w:tc>
          <w:tcPr>
            <w:tcW w:w="2628" w:type="dxa"/>
          </w:tcPr>
          <w:p w:rsidR="00907F0C" w:rsidRPr="007E7925" w:rsidRDefault="00907F0C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النقل والتخزين</w:t>
            </w:r>
          </w:p>
        </w:tc>
        <w:tc>
          <w:tcPr>
            <w:tcW w:w="1471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5,621</w:t>
            </w:r>
          </w:p>
        </w:tc>
        <w:tc>
          <w:tcPr>
            <w:tcW w:w="1454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2,137</w:t>
            </w:r>
          </w:p>
        </w:tc>
        <w:tc>
          <w:tcPr>
            <w:tcW w:w="1673" w:type="dxa"/>
            <w:vAlign w:val="bottom"/>
          </w:tcPr>
          <w:p w:rsidR="00907F0C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7,75</w:t>
            </w:r>
            <w:r w:rsidR="004751F9" w:rsidRPr="007E7925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</w:tr>
      <w:tr w:rsidR="00461B53" w:rsidRPr="007E7925" w:rsidTr="007E7925">
        <w:trPr>
          <w:trHeight w:val="240"/>
          <w:jc w:val="center"/>
        </w:trPr>
        <w:tc>
          <w:tcPr>
            <w:tcW w:w="2628" w:type="dxa"/>
          </w:tcPr>
          <w:p w:rsidR="000927E5" w:rsidRPr="007E7925" w:rsidRDefault="000927E5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المعلومات والاتصالات</w:t>
            </w:r>
          </w:p>
        </w:tc>
        <w:tc>
          <w:tcPr>
            <w:tcW w:w="1471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7,035</w:t>
            </w:r>
          </w:p>
        </w:tc>
        <w:tc>
          <w:tcPr>
            <w:tcW w:w="1454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2,523</w:t>
            </w:r>
          </w:p>
        </w:tc>
        <w:tc>
          <w:tcPr>
            <w:tcW w:w="1673" w:type="dxa"/>
            <w:vAlign w:val="bottom"/>
          </w:tcPr>
          <w:p w:rsidR="000927E5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9,558</w:t>
            </w:r>
          </w:p>
        </w:tc>
      </w:tr>
      <w:tr w:rsidR="00461B53" w:rsidRPr="007E7925" w:rsidTr="007E7925">
        <w:trPr>
          <w:trHeight w:val="278"/>
          <w:jc w:val="center"/>
        </w:trPr>
        <w:tc>
          <w:tcPr>
            <w:tcW w:w="2628" w:type="dxa"/>
          </w:tcPr>
          <w:p w:rsidR="000927E5" w:rsidRPr="007E7925" w:rsidRDefault="000927E5" w:rsidP="000927E5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7925">
              <w:rPr>
                <w:rFonts w:asciiTheme="majorBidi" w:hAnsiTheme="majorBidi" w:cstheme="majorBidi"/>
                <w:sz w:val="24"/>
                <w:szCs w:val="24"/>
                <w:rtl/>
              </w:rPr>
              <w:t>أنشطة المالية والتأمين</w:t>
            </w:r>
          </w:p>
        </w:tc>
        <w:tc>
          <w:tcPr>
            <w:tcW w:w="1471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14,449</w:t>
            </w:r>
          </w:p>
        </w:tc>
        <w:tc>
          <w:tcPr>
            <w:tcW w:w="1454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1,648</w:t>
            </w:r>
          </w:p>
        </w:tc>
        <w:tc>
          <w:tcPr>
            <w:tcW w:w="1673" w:type="dxa"/>
            <w:vAlign w:val="bottom"/>
          </w:tcPr>
          <w:p w:rsidR="000927E5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16,097</w:t>
            </w:r>
          </w:p>
        </w:tc>
      </w:tr>
      <w:tr w:rsidR="00461B53" w:rsidRPr="007E7925" w:rsidTr="007E7925">
        <w:trPr>
          <w:trHeight w:val="225"/>
          <w:jc w:val="center"/>
        </w:trPr>
        <w:tc>
          <w:tcPr>
            <w:tcW w:w="2628" w:type="dxa"/>
          </w:tcPr>
          <w:p w:rsidR="000927E5" w:rsidRPr="007E7925" w:rsidRDefault="000927E5" w:rsidP="000927E5">
            <w:pPr>
              <w:pStyle w:val="Heading1"/>
              <w:jc w:val="lef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7E7925">
              <w:rPr>
                <w:rFonts w:asciiTheme="majorBidi" w:hAnsiTheme="majorBidi" w:cstheme="majorBidi"/>
                <w:b w:val="0"/>
                <w:bCs w:val="0"/>
                <w:rtl/>
              </w:rPr>
              <w:t>أنشطة الخدمات</w:t>
            </w:r>
          </w:p>
        </w:tc>
        <w:tc>
          <w:tcPr>
            <w:tcW w:w="1471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105,15</w:t>
            </w:r>
            <w:r w:rsidR="004751F9" w:rsidRPr="007E792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454" w:type="dxa"/>
            <w:vAlign w:val="bottom"/>
          </w:tcPr>
          <w:p w:rsidR="000927E5" w:rsidRPr="007E7925" w:rsidRDefault="002B5E34" w:rsidP="00461B5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7E7925">
              <w:rPr>
                <w:rFonts w:asciiTheme="majorBidi" w:hAnsiTheme="majorBidi" w:cstheme="majorBidi"/>
              </w:rPr>
              <w:t>66,168</w:t>
            </w:r>
          </w:p>
        </w:tc>
        <w:tc>
          <w:tcPr>
            <w:tcW w:w="1673" w:type="dxa"/>
            <w:vAlign w:val="bottom"/>
          </w:tcPr>
          <w:p w:rsidR="000927E5" w:rsidRPr="007E7925" w:rsidRDefault="00907F0C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171,31</w:t>
            </w:r>
            <w:r w:rsidR="004751F9" w:rsidRPr="007E7925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</w:tr>
      <w:tr w:rsidR="00461B53" w:rsidRPr="007E7925" w:rsidTr="007E7925">
        <w:trPr>
          <w:trHeight w:val="243"/>
          <w:jc w:val="center"/>
        </w:trPr>
        <w:tc>
          <w:tcPr>
            <w:tcW w:w="2628" w:type="dxa"/>
          </w:tcPr>
          <w:p w:rsidR="000927E5" w:rsidRPr="007E7925" w:rsidRDefault="000927E5" w:rsidP="000927E5">
            <w:pPr>
              <w:pStyle w:val="Heading1"/>
              <w:jc w:val="left"/>
              <w:rPr>
                <w:rFonts w:asciiTheme="majorBidi" w:hAnsiTheme="majorBidi" w:cstheme="majorBidi"/>
                <w:rtl/>
              </w:rPr>
            </w:pPr>
            <w:r w:rsidRPr="007E7925">
              <w:rPr>
                <w:rFonts w:asciiTheme="majorBidi" w:hAnsiTheme="majorBidi" w:cstheme="majorBidi"/>
                <w:rtl/>
              </w:rPr>
              <w:t>المجموع</w:t>
            </w:r>
          </w:p>
        </w:tc>
        <w:tc>
          <w:tcPr>
            <w:tcW w:w="1471" w:type="dxa"/>
            <w:vAlign w:val="bottom"/>
          </w:tcPr>
          <w:p w:rsidR="000927E5" w:rsidRPr="007E7925" w:rsidRDefault="000927E5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34</w:t>
            </w:r>
            <w:r w:rsidR="002B5E34" w:rsidRPr="007E7925">
              <w:rPr>
                <w:rFonts w:asciiTheme="majorBidi" w:hAnsiTheme="majorBidi" w:cstheme="majorBidi"/>
                <w:b/>
                <w:bCs/>
              </w:rPr>
              <w:t>8</w:t>
            </w:r>
            <w:r w:rsidRPr="007E7925">
              <w:rPr>
                <w:rFonts w:asciiTheme="majorBidi" w:hAnsiTheme="majorBidi" w:cstheme="majorBidi"/>
                <w:b/>
                <w:bCs/>
              </w:rPr>
              <w:t>,</w:t>
            </w:r>
            <w:r w:rsidR="002B5E34" w:rsidRPr="007E7925">
              <w:rPr>
                <w:rFonts w:asciiTheme="majorBidi" w:hAnsiTheme="majorBidi" w:cstheme="majorBidi"/>
                <w:b/>
                <w:bCs/>
              </w:rPr>
              <w:t>793</w:t>
            </w:r>
          </w:p>
        </w:tc>
        <w:tc>
          <w:tcPr>
            <w:tcW w:w="1454" w:type="dxa"/>
            <w:vAlign w:val="bottom"/>
          </w:tcPr>
          <w:p w:rsidR="000927E5" w:rsidRPr="007E7925" w:rsidRDefault="000927E5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17</w:t>
            </w:r>
            <w:r w:rsidR="002B5E34" w:rsidRPr="007E7925">
              <w:rPr>
                <w:rFonts w:asciiTheme="majorBidi" w:hAnsiTheme="majorBidi" w:cstheme="majorBidi"/>
                <w:b/>
                <w:bCs/>
              </w:rPr>
              <w:t>3</w:t>
            </w:r>
            <w:r w:rsidRPr="007E7925">
              <w:rPr>
                <w:rFonts w:asciiTheme="majorBidi" w:hAnsiTheme="majorBidi" w:cstheme="majorBidi"/>
                <w:b/>
                <w:bCs/>
              </w:rPr>
              <w:t>,</w:t>
            </w:r>
            <w:r w:rsidR="002B5E34" w:rsidRPr="007E7925">
              <w:rPr>
                <w:rFonts w:asciiTheme="majorBidi" w:hAnsiTheme="majorBidi" w:cstheme="majorBidi"/>
                <w:b/>
                <w:bCs/>
              </w:rPr>
              <w:t>567</w:t>
            </w:r>
          </w:p>
        </w:tc>
        <w:tc>
          <w:tcPr>
            <w:tcW w:w="1673" w:type="dxa"/>
            <w:vAlign w:val="bottom"/>
          </w:tcPr>
          <w:p w:rsidR="000927E5" w:rsidRPr="007E7925" w:rsidRDefault="000927E5" w:rsidP="00461B5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7925">
              <w:rPr>
                <w:rFonts w:asciiTheme="majorBidi" w:hAnsiTheme="majorBidi" w:cstheme="majorBidi"/>
                <w:b/>
                <w:bCs/>
              </w:rPr>
              <w:t>52</w:t>
            </w:r>
            <w:r w:rsidR="00907F0C" w:rsidRPr="007E7925">
              <w:rPr>
                <w:rFonts w:asciiTheme="majorBidi" w:hAnsiTheme="majorBidi" w:cstheme="majorBidi"/>
                <w:b/>
                <w:bCs/>
              </w:rPr>
              <w:t>2</w:t>
            </w:r>
            <w:r w:rsidRPr="007E7925">
              <w:rPr>
                <w:rFonts w:asciiTheme="majorBidi" w:hAnsiTheme="majorBidi" w:cstheme="majorBidi"/>
                <w:b/>
                <w:bCs/>
              </w:rPr>
              <w:t>,</w:t>
            </w:r>
            <w:r w:rsidR="00907F0C" w:rsidRPr="007E7925">
              <w:rPr>
                <w:rFonts w:asciiTheme="majorBidi" w:hAnsiTheme="majorBidi" w:cstheme="majorBidi"/>
                <w:b/>
                <w:bCs/>
              </w:rPr>
              <w:t>360</w:t>
            </w:r>
          </w:p>
        </w:tc>
      </w:tr>
    </w:tbl>
    <w:p w:rsidR="0043583A" w:rsidRPr="007E7925" w:rsidRDefault="0043583A" w:rsidP="002C00A4">
      <w:pPr>
        <w:jc w:val="lowKashida"/>
        <w:rPr>
          <w:rFonts w:cs="Simplified Arabic"/>
          <w:b/>
          <w:bCs/>
          <w:sz w:val="16"/>
          <w:szCs w:val="16"/>
          <w:rtl/>
        </w:rPr>
      </w:pPr>
    </w:p>
    <w:p w:rsidR="00354285" w:rsidRPr="007E7925" w:rsidRDefault="00354285" w:rsidP="00833320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7E7925">
        <w:rPr>
          <w:rFonts w:cs="Simplified Arabic" w:hint="cs"/>
          <w:b/>
          <w:bCs/>
          <w:sz w:val="28"/>
          <w:szCs w:val="28"/>
          <w:rtl/>
        </w:rPr>
        <w:t xml:space="preserve">أنشطة </w:t>
      </w:r>
      <w:r w:rsidR="00833320" w:rsidRPr="007E7925">
        <w:rPr>
          <w:rFonts w:cs="Simplified Arabic" w:hint="cs"/>
          <w:b/>
          <w:bCs/>
          <w:sz w:val="28"/>
          <w:szCs w:val="28"/>
          <w:rtl/>
        </w:rPr>
        <w:t>الصناعة</w:t>
      </w:r>
      <w:r w:rsidRPr="007E7925">
        <w:rPr>
          <w:rFonts w:cs="Simplified Arabic" w:hint="cs"/>
          <w:b/>
          <w:bCs/>
          <w:sz w:val="28"/>
          <w:szCs w:val="28"/>
          <w:rtl/>
        </w:rPr>
        <w:t xml:space="preserve"> تساهم بالقيمة </w:t>
      </w:r>
      <w:r w:rsidR="00A01ECC" w:rsidRPr="007E7925">
        <w:rPr>
          <w:rFonts w:cs="Simplified Arabic" w:hint="cs"/>
          <w:b/>
          <w:bCs/>
          <w:sz w:val="28"/>
          <w:szCs w:val="28"/>
          <w:rtl/>
        </w:rPr>
        <w:t>الأكبر</w:t>
      </w:r>
      <w:r w:rsidRPr="007E7925">
        <w:rPr>
          <w:rFonts w:cs="Simplified Arabic" w:hint="cs"/>
          <w:b/>
          <w:bCs/>
          <w:sz w:val="28"/>
          <w:szCs w:val="28"/>
          <w:rtl/>
        </w:rPr>
        <w:t xml:space="preserve"> من </w:t>
      </w:r>
      <w:r w:rsidR="00A01ECC" w:rsidRPr="007E7925">
        <w:rPr>
          <w:rFonts w:cs="Simplified Arabic" w:hint="cs"/>
          <w:b/>
          <w:bCs/>
          <w:sz w:val="28"/>
          <w:szCs w:val="28"/>
          <w:rtl/>
        </w:rPr>
        <w:t>الإنتاج</w:t>
      </w:r>
      <w:r w:rsidRPr="007E7925">
        <w:rPr>
          <w:rFonts w:cs="Simplified Arabic" w:hint="cs"/>
          <w:b/>
          <w:bCs/>
          <w:sz w:val="28"/>
          <w:szCs w:val="28"/>
          <w:rtl/>
        </w:rPr>
        <w:t xml:space="preserve"> للأنشطة الاقتصادية في فلسطين</w:t>
      </w:r>
      <w:r w:rsidR="004623C3" w:rsidRPr="007E7925">
        <w:rPr>
          <w:rFonts w:cs="Simplified Arabic" w:hint="cs"/>
          <w:b/>
          <w:bCs/>
          <w:sz w:val="28"/>
          <w:szCs w:val="28"/>
          <w:rtl/>
        </w:rPr>
        <w:t>*</w:t>
      </w:r>
    </w:p>
    <w:p w:rsidR="00354285" w:rsidRPr="007E7925" w:rsidRDefault="00EB0F6C" w:rsidP="00736A9D">
      <w:pPr>
        <w:jc w:val="lowKashida"/>
        <w:rPr>
          <w:rFonts w:cs="Simplified Arabic"/>
          <w:sz w:val="26"/>
          <w:szCs w:val="26"/>
          <w:rtl/>
        </w:rPr>
      </w:pPr>
      <w:r w:rsidRPr="007E7925">
        <w:rPr>
          <w:rFonts w:cs="Simplified Arabic" w:hint="cs"/>
          <w:sz w:val="26"/>
          <w:szCs w:val="26"/>
          <w:rtl/>
        </w:rPr>
        <w:t>سجل</w:t>
      </w:r>
      <w:r w:rsidR="005C4A16" w:rsidRPr="007E7925">
        <w:rPr>
          <w:rFonts w:cs="Simplified Arabic" w:hint="cs"/>
          <w:sz w:val="26"/>
          <w:szCs w:val="26"/>
          <w:rtl/>
        </w:rPr>
        <w:t xml:space="preserve"> الإنتاج المتحقق في المؤسسات الاقتصادية </w:t>
      </w:r>
      <w:r w:rsidR="000927E5" w:rsidRPr="007E7925">
        <w:rPr>
          <w:rFonts w:cs="Simplified Arabic" w:hint="cs"/>
          <w:sz w:val="26"/>
          <w:szCs w:val="26"/>
          <w:rtl/>
        </w:rPr>
        <w:t>ارتفاعا</w:t>
      </w:r>
      <w:r w:rsidR="00833320" w:rsidRPr="007E7925">
        <w:rPr>
          <w:rFonts w:cs="Simplified Arabic" w:hint="cs"/>
          <w:sz w:val="26"/>
          <w:szCs w:val="26"/>
          <w:rtl/>
        </w:rPr>
        <w:t xml:space="preserve"> بمقدار</w:t>
      </w:r>
      <w:r w:rsidR="00A65A79" w:rsidRPr="007E7925">
        <w:rPr>
          <w:rFonts w:cs="Simplified Arabic" w:hint="cs"/>
          <w:sz w:val="26"/>
          <w:szCs w:val="26"/>
          <w:rtl/>
        </w:rPr>
        <w:t>7</w:t>
      </w:r>
      <w:r w:rsidR="001C59C5" w:rsidRPr="007E7925">
        <w:rPr>
          <w:rFonts w:cs="Simplified Arabic" w:hint="cs"/>
          <w:sz w:val="26"/>
          <w:szCs w:val="26"/>
          <w:rtl/>
        </w:rPr>
        <w:t>.</w:t>
      </w:r>
      <w:r w:rsidR="00A65A79" w:rsidRPr="007E7925">
        <w:rPr>
          <w:rFonts w:cs="Simplified Arabic" w:hint="cs"/>
          <w:sz w:val="26"/>
          <w:szCs w:val="26"/>
          <w:rtl/>
        </w:rPr>
        <w:t>1</w:t>
      </w:r>
      <w:r w:rsidR="005C4A16" w:rsidRPr="007E7925">
        <w:rPr>
          <w:rFonts w:cs="Simplified Arabic" w:hint="cs"/>
          <w:sz w:val="26"/>
          <w:szCs w:val="26"/>
          <w:rtl/>
        </w:rPr>
        <w:t xml:space="preserve">% عن العام السابق </w:t>
      </w:r>
      <w:r w:rsidR="00264C29" w:rsidRPr="007E7925">
        <w:rPr>
          <w:rFonts w:cs="Simplified Arabic" w:hint="cs"/>
          <w:sz w:val="26"/>
          <w:szCs w:val="26"/>
          <w:rtl/>
        </w:rPr>
        <w:t>2021</w:t>
      </w:r>
      <w:r w:rsidR="005C4A16" w:rsidRPr="007E7925">
        <w:rPr>
          <w:rFonts w:cs="Simplified Arabic" w:hint="cs"/>
          <w:sz w:val="26"/>
          <w:szCs w:val="26"/>
          <w:rtl/>
        </w:rPr>
        <w:t xml:space="preserve">، حيث بلغت قيمته </w:t>
      </w:r>
      <w:r w:rsidR="00833320" w:rsidRPr="007E7925">
        <w:rPr>
          <w:rFonts w:cs="Simplified Arabic" w:hint="cs"/>
          <w:sz w:val="26"/>
          <w:szCs w:val="26"/>
          <w:rtl/>
        </w:rPr>
        <w:t>1</w:t>
      </w:r>
      <w:r w:rsidR="00A65A79" w:rsidRPr="007E7925">
        <w:rPr>
          <w:rFonts w:cs="Simplified Arabic" w:hint="cs"/>
          <w:sz w:val="26"/>
          <w:szCs w:val="26"/>
          <w:rtl/>
        </w:rPr>
        <w:t>5</w:t>
      </w:r>
      <w:r w:rsidR="005C4A16" w:rsidRPr="007E7925">
        <w:rPr>
          <w:rFonts w:cs="Simplified Arabic" w:hint="cs"/>
          <w:sz w:val="26"/>
          <w:szCs w:val="26"/>
          <w:rtl/>
        </w:rPr>
        <w:t>,</w:t>
      </w:r>
      <w:r w:rsidR="00A65A79" w:rsidRPr="007E7925">
        <w:rPr>
          <w:rFonts w:cs="Simplified Arabic" w:hint="cs"/>
          <w:sz w:val="26"/>
          <w:szCs w:val="26"/>
          <w:rtl/>
        </w:rPr>
        <w:t>405</w:t>
      </w:r>
      <w:r w:rsidR="005C4A16" w:rsidRPr="007E7925">
        <w:rPr>
          <w:rFonts w:cs="Simplified Arabic" w:hint="cs"/>
          <w:sz w:val="26"/>
          <w:szCs w:val="26"/>
          <w:rtl/>
        </w:rPr>
        <w:t>.</w:t>
      </w:r>
      <w:r w:rsidR="00A65A79" w:rsidRPr="007E7925">
        <w:rPr>
          <w:rFonts w:cs="Simplified Arabic" w:hint="cs"/>
          <w:sz w:val="26"/>
          <w:szCs w:val="26"/>
          <w:rtl/>
        </w:rPr>
        <w:t>8</w:t>
      </w:r>
      <w:r w:rsidR="00A01ECC" w:rsidRPr="007E7925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5C4A16" w:rsidRPr="007E7925">
        <w:rPr>
          <w:rFonts w:cs="Simplified Arabic"/>
          <w:sz w:val="26"/>
          <w:szCs w:val="26"/>
          <w:rtl/>
        </w:rPr>
        <w:t>مليون دولار أمريكي</w:t>
      </w:r>
      <w:r w:rsidR="00B040CE" w:rsidRPr="007E7925">
        <w:rPr>
          <w:rFonts w:cs="Simplified Arabic"/>
          <w:sz w:val="26"/>
          <w:szCs w:val="26"/>
          <w:rtl/>
        </w:rPr>
        <w:t>(</w:t>
      </w:r>
      <w:r w:rsidR="00833320" w:rsidRPr="007E7925">
        <w:rPr>
          <w:rFonts w:cs="Simplified Arabic" w:hint="cs"/>
          <w:sz w:val="26"/>
          <w:szCs w:val="26"/>
          <w:rtl/>
        </w:rPr>
        <w:t>1</w:t>
      </w:r>
      <w:r w:rsidR="00A65A79" w:rsidRPr="007E7925">
        <w:rPr>
          <w:rFonts w:cs="Simplified Arabic" w:hint="cs"/>
          <w:sz w:val="26"/>
          <w:szCs w:val="26"/>
          <w:rtl/>
        </w:rPr>
        <w:t>3</w:t>
      </w:r>
      <w:r w:rsidR="00A75E03" w:rsidRPr="007E7925">
        <w:rPr>
          <w:rFonts w:cs="Simplified Arabic" w:hint="cs"/>
          <w:sz w:val="26"/>
          <w:szCs w:val="26"/>
          <w:rtl/>
        </w:rPr>
        <w:t>,</w:t>
      </w:r>
      <w:r w:rsidR="00A65A79" w:rsidRPr="007E7925">
        <w:rPr>
          <w:rFonts w:cs="Simplified Arabic" w:hint="cs"/>
          <w:sz w:val="26"/>
          <w:szCs w:val="26"/>
          <w:rtl/>
        </w:rPr>
        <w:t>053</w:t>
      </w:r>
      <w:r w:rsidR="00A75E03" w:rsidRPr="007E7925">
        <w:rPr>
          <w:rFonts w:cs="Simplified Arabic" w:hint="cs"/>
          <w:sz w:val="26"/>
          <w:szCs w:val="26"/>
          <w:rtl/>
        </w:rPr>
        <w:t>.</w:t>
      </w:r>
      <w:r w:rsidR="00105440" w:rsidRPr="007E7925">
        <w:rPr>
          <w:rFonts w:cs="Simplified Arabic" w:hint="cs"/>
          <w:sz w:val="26"/>
          <w:szCs w:val="26"/>
          <w:rtl/>
        </w:rPr>
        <w:t>6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B040CE" w:rsidRPr="007E7925">
        <w:rPr>
          <w:rFonts w:cs="Simplified Arabic" w:hint="cs"/>
          <w:sz w:val="26"/>
          <w:szCs w:val="26"/>
          <w:rtl/>
        </w:rPr>
        <w:t>مليون دولار أمريكي في الضفة الغربية،</w:t>
      </w:r>
      <w:r w:rsidR="00A75E03" w:rsidRPr="007E7925">
        <w:rPr>
          <w:rFonts w:cs="Simplified Arabic" w:hint="cs"/>
          <w:sz w:val="26"/>
          <w:szCs w:val="26"/>
          <w:rtl/>
        </w:rPr>
        <w:t xml:space="preserve"> 2,</w:t>
      </w:r>
      <w:r w:rsidR="00A65A79" w:rsidRPr="007E7925">
        <w:rPr>
          <w:rFonts w:cs="Simplified Arabic" w:hint="cs"/>
          <w:sz w:val="26"/>
          <w:szCs w:val="26"/>
          <w:rtl/>
        </w:rPr>
        <w:t>352</w:t>
      </w:r>
      <w:r w:rsidR="00A75E03" w:rsidRPr="007E7925">
        <w:rPr>
          <w:rFonts w:cs="Simplified Arabic" w:hint="cs"/>
          <w:sz w:val="26"/>
          <w:szCs w:val="26"/>
          <w:rtl/>
        </w:rPr>
        <w:t>.</w:t>
      </w:r>
      <w:r w:rsidR="00736A9D" w:rsidRPr="007E7925">
        <w:rPr>
          <w:rFonts w:cs="Simplified Arabic" w:hint="cs"/>
          <w:sz w:val="26"/>
          <w:szCs w:val="26"/>
          <w:rtl/>
        </w:rPr>
        <w:t>2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B040CE" w:rsidRPr="007E7925">
        <w:rPr>
          <w:rFonts w:cs="Simplified Arabic" w:hint="cs"/>
          <w:sz w:val="26"/>
          <w:szCs w:val="26"/>
          <w:rtl/>
        </w:rPr>
        <w:t>مليون دولار أمريكي في قطاع غزة)</w:t>
      </w:r>
      <w:r w:rsidR="00333565" w:rsidRPr="007E7925">
        <w:rPr>
          <w:rFonts w:cs="Simplified Arabic" w:hint="cs"/>
          <w:sz w:val="26"/>
          <w:szCs w:val="26"/>
          <w:rtl/>
        </w:rPr>
        <w:t xml:space="preserve">. </w:t>
      </w:r>
      <w:r w:rsidR="009D7DE7" w:rsidRPr="007E7925">
        <w:rPr>
          <w:rFonts w:cs="Simplified Arabic" w:hint="cs"/>
          <w:sz w:val="26"/>
          <w:szCs w:val="26"/>
          <w:rtl/>
        </w:rPr>
        <w:t xml:space="preserve">أما بالنسبة للتوزيع النسبي للأنشطة عام </w:t>
      </w:r>
      <w:r w:rsidR="00A65A79" w:rsidRPr="007E7925">
        <w:rPr>
          <w:rFonts w:cs="Simplified Arabic" w:hint="cs"/>
          <w:sz w:val="26"/>
          <w:szCs w:val="26"/>
          <w:rtl/>
        </w:rPr>
        <w:t>2022</w:t>
      </w:r>
      <w:r w:rsidR="009D7DE7" w:rsidRPr="007E7925">
        <w:rPr>
          <w:rFonts w:cs="Simplified Arabic" w:hint="cs"/>
          <w:sz w:val="26"/>
          <w:szCs w:val="26"/>
          <w:rtl/>
        </w:rPr>
        <w:t xml:space="preserve"> ف</w:t>
      </w:r>
      <w:r w:rsidR="00D30EE7" w:rsidRPr="007E7925">
        <w:rPr>
          <w:rFonts w:cs="Simplified Arabic" w:hint="cs"/>
          <w:sz w:val="26"/>
          <w:szCs w:val="26"/>
          <w:rtl/>
        </w:rPr>
        <w:t xml:space="preserve">قد ساهمت </w:t>
      </w:r>
      <w:r w:rsidR="008A7F84" w:rsidRPr="007E7925">
        <w:rPr>
          <w:rFonts w:cs="Simplified Arabic" w:hint="cs"/>
          <w:sz w:val="26"/>
          <w:szCs w:val="26"/>
          <w:rtl/>
        </w:rPr>
        <w:t>أنشطة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833320" w:rsidRPr="007E7925">
        <w:rPr>
          <w:rFonts w:cs="Simplified Arabic" w:hint="cs"/>
          <w:sz w:val="26"/>
          <w:szCs w:val="26"/>
          <w:rtl/>
        </w:rPr>
        <w:t>الصناعة</w:t>
      </w:r>
      <w:r w:rsidR="00D30EE7" w:rsidRPr="007E7925">
        <w:rPr>
          <w:rFonts w:cs="Simplified Arabic" w:hint="cs"/>
          <w:sz w:val="26"/>
          <w:szCs w:val="26"/>
          <w:rtl/>
        </w:rPr>
        <w:t xml:space="preserve"> بنسبة </w:t>
      </w:r>
      <w:r w:rsidR="00A65A79" w:rsidRPr="007E7925">
        <w:rPr>
          <w:rFonts w:cs="Simplified Arabic" w:hint="cs"/>
          <w:sz w:val="26"/>
          <w:szCs w:val="26"/>
          <w:rtl/>
        </w:rPr>
        <w:t>33</w:t>
      </w:r>
      <w:r w:rsidR="00833320" w:rsidRPr="007E7925">
        <w:rPr>
          <w:rFonts w:cs="Simplified Arabic" w:hint="cs"/>
          <w:sz w:val="26"/>
          <w:szCs w:val="26"/>
          <w:rtl/>
        </w:rPr>
        <w:t>.</w:t>
      </w:r>
      <w:r w:rsidR="00A65A79" w:rsidRPr="007E7925">
        <w:rPr>
          <w:rFonts w:cs="Simplified Arabic" w:hint="cs"/>
          <w:sz w:val="26"/>
          <w:szCs w:val="26"/>
          <w:rtl/>
        </w:rPr>
        <w:t>1</w:t>
      </w:r>
      <w:r w:rsidR="00D30EE7" w:rsidRPr="007E7925">
        <w:rPr>
          <w:rFonts w:cs="Simplified Arabic" w:hint="cs"/>
          <w:sz w:val="26"/>
          <w:szCs w:val="26"/>
          <w:rtl/>
        </w:rPr>
        <w:t xml:space="preserve">% من </w:t>
      </w:r>
      <w:r w:rsidR="00A65A79" w:rsidRPr="007E7925">
        <w:rPr>
          <w:rFonts w:cs="Simplified Arabic" w:hint="cs"/>
          <w:sz w:val="26"/>
          <w:szCs w:val="26"/>
          <w:rtl/>
        </w:rPr>
        <w:t>إجمالي</w:t>
      </w:r>
      <w:r w:rsidR="00D30EE7" w:rsidRPr="007E7925">
        <w:rPr>
          <w:rFonts w:cs="Simplified Arabic" w:hint="cs"/>
          <w:sz w:val="26"/>
          <w:szCs w:val="26"/>
          <w:rtl/>
        </w:rPr>
        <w:t xml:space="preserve"> الإنتاج، </w:t>
      </w:r>
      <w:r w:rsidR="00491408" w:rsidRPr="007E7925">
        <w:rPr>
          <w:rFonts w:cs="Simplified Arabic" w:hint="cs"/>
          <w:sz w:val="26"/>
          <w:szCs w:val="26"/>
          <w:rtl/>
        </w:rPr>
        <w:t xml:space="preserve">بينما ساهمت </w:t>
      </w:r>
      <w:r w:rsidR="00833320" w:rsidRPr="007E7925">
        <w:rPr>
          <w:rFonts w:cs="Simplified Arabic" w:hint="cs"/>
          <w:sz w:val="26"/>
          <w:szCs w:val="26"/>
          <w:rtl/>
        </w:rPr>
        <w:t xml:space="preserve">أنشطة التجارة الداخلية </w:t>
      </w:r>
      <w:r w:rsidR="00491408" w:rsidRPr="007E7925">
        <w:rPr>
          <w:rFonts w:cs="Simplified Arabic" w:hint="cs"/>
          <w:sz w:val="26"/>
          <w:szCs w:val="26"/>
          <w:rtl/>
        </w:rPr>
        <w:t xml:space="preserve">بنسبة </w:t>
      </w:r>
      <w:r w:rsidR="00A65A79" w:rsidRPr="007E7925">
        <w:rPr>
          <w:rFonts w:cs="Simplified Arabic" w:hint="cs"/>
          <w:sz w:val="26"/>
          <w:szCs w:val="26"/>
          <w:rtl/>
        </w:rPr>
        <w:t>32</w:t>
      </w:r>
      <w:r w:rsidR="00491408" w:rsidRPr="007E7925">
        <w:rPr>
          <w:rFonts w:cs="Simplified Arabic" w:hint="cs"/>
          <w:sz w:val="26"/>
          <w:szCs w:val="26"/>
          <w:rtl/>
        </w:rPr>
        <w:t>.</w:t>
      </w:r>
      <w:r w:rsidR="00A65A79" w:rsidRPr="007E7925">
        <w:rPr>
          <w:rFonts w:cs="Simplified Arabic" w:hint="cs"/>
          <w:sz w:val="26"/>
          <w:szCs w:val="26"/>
          <w:rtl/>
        </w:rPr>
        <w:t>9</w:t>
      </w:r>
      <w:r w:rsidR="00491408" w:rsidRPr="007E7925">
        <w:rPr>
          <w:rFonts w:cs="Simplified Arabic" w:hint="cs"/>
          <w:sz w:val="26"/>
          <w:szCs w:val="26"/>
          <w:rtl/>
        </w:rPr>
        <w:t xml:space="preserve">% من </w:t>
      </w:r>
      <w:r w:rsidR="00A65A79" w:rsidRPr="007E7925">
        <w:rPr>
          <w:rFonts w:cs="Simplified Arabic" w:hint="cs"/>
          <w:sz w:val="26"/>
          <w:szCs w:val="26"/>
          <w:rtl/>
        </w:rPr>
        <w:t>إجمالي</w:t>
      </w:r>
      <w:r w:rsidR="00491408" w:rsidRPr="007E7925">
        <w:rPr>
          <w:rFonts w:cs="Simplified Arabic" w:hint="cs"/>
          <w:sz w:val="26"/>
          <w:szCs w:val="26"/>
          <w:rtl/>
        </w:rPr>
        <w:t xml:space="preserve"> </w:t>
      </w:r>
      <w:r w:rsidR="00A65A79" w:rsidRPr="007E7925">
        <w:rPr>
          <w:rFonts w:cs="Simplified Arabic" w:hint="cs"/>
          <w:sz w:val="26"/>
          <w:szCs w:val="26"/>
          <w:rtl/>
        </w:rPr>
        <w:t>الإنتاج</w:t>
      </w:r>
      <w:r w:rsidR="00491408" w:rsidRPr="007E7925">
        <w:rPr>
          <w:rFonts w:cs="Simplified Arabic" w:hint="cs"/>
          <w:sz w:val="26"/>
          <w:szCs w:val="26"/>
          <w:rtl/>
        </w:rPr>
        <w:t xml:space="preserve">، مقابل </w:t>
      </w:r>
      <w:r w:rsidR="00833320" w:rsidRPr="007E7925">
        <w:rPr>
          <w:rFonts w:cs="Simplified Arabic" w:hint="cs"/>
          <w:sz w:val="26"/>
          <w:szCs w:val="26"/>
          <w:rtl/>
        </w:rPr>
        <w:t>20</w:t>
      </w:r>
      <w:r w:rsidR="00491408" w:rsidRPr="007E7925">
        <w:rPr>
          <w:rFonts w:cs="Simplified Arabic" w:hint="cs"/>
          <w:sz w:val="26"/>
          <w:szCs w:val="26"/>
          <w:rtl/>
        </w:rPr>
        <w:t>.</w:t>
      </w:r>
      <w:r w:rsidR="00A65A79" w:rsidRPr="007E7925">
        <w:rPr>
          <w:rFonts w:cs="Simplified Arabic" w:hint="cs"/>
          <w:sz w:val="26"/>
          <w:szCs w:val="26"/>
          <w:rtl/>
        </w:rPr>
        <w:t>5</w:t>
      </w:r>
      <w:r w:rsidR="00491408" w:rsidRPr="007E7925">
        <w:rPr>
          <w:rFonts w:cs="Simplified Arabic" w:hint="cs"/>
          <w:sz w:val="26"/>
          <w:szCs w:val="26"/>
          <w:rtl/>
        </w:rPr>
        <w:t xml:space="preserve">% نسبة مساهمة </w:t>
      </w:r>
      <w:r w:rsidR="008A7F84" w:rsidRPr="007E7925">
        <w:rPr>
          <w:rFonts w:cs="Simplified Arabic" w:hint="cs"/>
          <w:sz w:val="26"/>
          <w:szCs w:val="26"/>
          <w:rtl/>
        </w:rPr>
        <w:t>أنشطة</w:t>
      </w:r>
      <w:r w:rsidR="00491408" w:rsidRPr="007E7925">
        <w:rPr>
          <w:rFonts w:cs="Simplified Arabic" w:hint="cs"/>
          <w:sz w:val="26"/>
          <w:szCs w:val="26"/>
          <w:rtl/>
        </w:rPr>
        <w:t xml:space="preserve"> الخدمات من </w:t>
      </w:r>
      <w:r w:rsidR="00093A2B" w:rsidRPr="007E7925">
        <w:rPr>
          <w:rFonts w:cs="Simplified Arabic" w:hint="cs"/>
          <w:sz w:val="26"/>
          <w:szCs w:val="26"/>
          <w:rtl/>
        </w:rPr>
        <w:t>إجمالي</w:t>
      </w:r>
      <w:r w:rsidR="00491408" w:rsidRPr="007E7925">
        <w:rPr>
          <w:rFonts w:cs="Simplified Arabic" w:hint="cs"/>
          <w:sz w:val="26"/>
          <w:szCs w:val="26"/>
          <w:rtl/>
        </w:rPr>
        <w:t xml:space="preserve"> </w:t>
      </w:r>
      <w:r w:rsidR="00A65A79" w:rsidRPr="007E7925">
        <w:rPr>
          <w:rFonts w:cs="Simplified Arabic" w:hint="cs"/>
          <w:sz w:val="26"/>
          <w:szCs w:val="26"/>
          <w:rtl/>
        </w:rPr>
        <w:t>الإنتاج</w:t>
      </w:r>
      <w:r w:rsidR="00491408" w:rsidRPr="007E7925">
        <w:rPr>
          <w:rFonts w:cs="Simplified Arabic" w:hint="cs"/>
          <w:sz w:val="26"/>
          <w:szCs w:val="26"/>
          <w:rtl/>
        </w:rPr>
        <w:t xml:space="preserve">، فيما </w:t>
      </w:r>
      <w:r w:rsidR="008A7F84" w:rsidRPr="007E7925">
        <w:rPr>
          <w:rFonts w:cs="Simplified Arabic" w:hint="cs"/>
          <w:sz w:val="26"/>
          <w:szCs w:val="26"/>
          <w:rtl/>
        </w:rPr>
        <w:t>ساهمت أنشطة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012881" w:rsidRPr="007E7925">
        <w:rPr>
          <w:rFonts w:cs="Simplified Arabic" w:hint="cs"/>
          <w:sz w:val="26"/>
          <w:szCs w:val="26"/>
          <w:rtl/>
        </w:rPr>
        <w:t>المالية والتأمين</w:t>
      </w:r>
      <w:r w:rsidR="008A7F84" w:rsidRPr="007E7925">
        <w:rPr>
          <w:rFonts w:cs="Simplified Arabic" w:hint="cs"/>
          <w:sz w:val="26"/>
          <w:szCs w:val="26"/>
          <w:rtl/>
        </w:rPr>
        <w:t xml:space="preserve"> بنسبة </w:t>
      </w:r>
      <w:r w:rsidR="00A65A79" w:rsidRPr="007E7925">
        <w:rPr>
          <w:rFonts w:cs="Simplified Arabic" w:hint="cs"/>
          <w:sz w:val="26"/>
          <w:szCs w:val="26"/>
          <w:rtl/>
        </w:rPr>
        <w:t>7.</w:t>
      </w:r>
      <w:r w:rsidR="00C618B7" w:rsidRPr="007E7925">
        <w:rPr>
          <w:rFonts w:cs="Simplified Arabic" w:hint="cs"/>
          <w:sz w:val="26"/>
          <w:szCs w:val="26"/>
          <w:rtl/>
        </w:rPr>
        <w:t>4</w:t>
      </w:r>
      <w:r w:rsidR="008A7F84" w:rsidRPr="007E7925">
        <w:rPr>
          <w:rFonts w:cs="Simplified Arabic" w:hint="cs"/>
          <w:sz w:val="26"/>
          <w:szCs w:val="26"/>
          <w:rtl/>
        </w:rPr>
        <w:t>%</w:t>
      </w:r>
      <w:r w:rsidR="00491408" w:rsidRPr="007E7925">
        <w:rPr>
          <w:rFonts w:cs="Simplified Arabic" w:hint="cs"/>
          <w:sz w:val="26"/>
          <w:szCs w:val="26"/>
          <w:rtl/>
        </w:rPr>
        <w:t>، والمعلومات والاتصالات</w:t>
      </w:r>
      <w:r w:rsidR="008A7F84" w:rsidRPr="007E7925">
        <w:rPr>
          <w:rFonts w:cs="Simplified Arabic" w:hint="cs"/>
          <w:sz w:val="26"/>
          <w:szCs w:val="26"/>
          <w:rtl/>
        </w:rPr>
        <w:t xml:space="preserve"> بنسبة </w:t>
      </w:r>
      <w:r w:rsidR="00833320" w:rsidRPr="007E7925">
        <w:rPr>
          <w:rFonts w:cs="Simplified Arabic" w:hint="cs"/>
          <w:sz w:val="26"/>
          <w:szCs w:val="26"/>
          <w:rtl/>
        </w:rPr>
        <w:t>3</w:t>
      </w:r>
      <w:r w:rsidR="008A7F84" w:rsidRPr="007E7925">
        <w:rPr>
          <w:rFonts w:cs="Simplified Arabic" w:hint="cs"/>
          <w:sz w:val="26"/>
          <w:szCs w:val="26"/>
          <w:rtl/>
        </w:rPr>
        <w:t>.</w:t>
      </w:r>
      <w:r w:rsidR="00C618B7" w:rsidRPr="007E7925">
        <w:rPr>
          <w:rFonts w:cs="Simplified Arabic" w:hint="cs"/>
          <w:sz w:val="26"/>
          <w:szCs w:val="26"/>
          <w:rtl/>
        </w:rPr>
        <w:t>9</w:t>
      </w:r>
      <w:r w:rsidR="008A7F84" w:rsidRPr="007E7925">
        <w:rPr>
          <w:rFonts w:cs="Simplified Arabic" w:hint="cs"/>
          <w:sz w:val="26"/>
          <w:szCs w:val="26"/>
          <w:rtl/>
        </w:rPr>
        <w:t>%</w:t>
      </w:r>
      <w:r w:rsidR="00491408" w:rsidRPr="007E7925">
        <w:rPr>
          <w:rFonts w:cs="Simplified Arabic" w:hint="cs"/>
          <w:sz w:val="26"/>
          <w:szCs w:val="26"/>
          <w:rtl/>
        </w:rPr>
        <w:t xml:space="preserve">، </w:t>
      </w:r>
      <w:r w:rsidR="008545E5" w:rsidRPr="007E7925">
        <w:rPr>
          <w:rFonts w:cs="Simplified Arabic" w:hint="cs"/>
          <w:sz w:val="26"/>
          <w:szCs w:val="26"/>
          <w:rtl/>
        </w:rPr>
        <w:t xml:space="preserve">وبلغت نسبة مساهمة أنشطة </w:t>
      </w:r>
      <w:r w:rsidR="00A65A79" w:rsidRPr="007E7925">
        <w:rPr>
          <w:rFonts w:cs="Simplified Arabic" w:hint="cs"/>
          <w:sz w:val="26"/>
          <w:szCs w:val="26"/>
          <w:rtl/>
        </w:rPr>
        <w:t>الإنشاءات</w:t>
      </w:r>
      <w:r w:rsidR="008545E5" w:rsidRPr="007E7925">
        <w:rPr>
          <w:rFonts w:cs="Simplified Arabic" w:hint="cs"/>
          <w:sz w:val="26"/>
          <w:szCs w:val="26"/>
          <w:rtl/>
        </w:rPr>
        <w:t xml:space="preserve"> وأنشطة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491408" w:rsidRPr="007E7925">
        <w:rPr>
          <w:rFonts w:cs="Simplified Arabic" w:hint="cs"/>
          <w:sz w:val="26"/>
          <w:szCs w:val="26"/>
          <w:rtl/>
        </w:rPr>
        <w:t xml:space="preserve">النقل والتخزين </w:t>
      </w:r>
      <w:r w:rsidR="008545E5" w:rsidRPr="007E7925">
        <w:rPr>
          <w:rFonts w:cs="Simplified Arabic" w:hint="cs"/>
          <w:sz w:val="26"/>
          <w:szCs w:val="26"/>
          <w:rtl/>
        </w:rPr>
        <w:t>بنسبة</w:t>
      </w:r>
      <w:r w:rsidR="00A65A79" w:rsidRPr="007E7925">
        <w:rPr>
          <w:rFonts w:cs="Simplified Arabic" w:hint="cs"/>
          <w:sz w:val="26"/>
          <w:szCs w:val="26"/>
          <w:rtl/>
        </w:rPr>
        <w:t xml:space="preserve"> </w:t>
      </w:r>
      <w:r w:rsidR="00833320" w:rsidRPr="007E7925">
        <w:rPr>
          <w:rFonts w:cs="Simplified Arabic" w:hint="cs"/>
          <w:sz w:val="26"/>
          <w:szCs w:val="26"/>
          <w:rtl/>
        </w:rPr>
        <w:t>1</w:t>
      </w:r>
      <w:r w:rsidR="00491408" w:rsidRPr="007E7925">
        <w:rPr>
          <w:rFonts w:cs="Simplified Arabic" w:hint="cs"/>
          <w:sz w:val="26"/>
          <w:szCs w:val="26"/>
          <w:rtl/>
        </w:rPr>
        <w:t>.</w:t>
      </w:r>
      <w:r w:rsidR="00105440" w:rsidRPr="007E7925">
        <w:rPr>
          <w:rFonts w:cs="Simplified Arabic" w:hint="cs"/>
          <w:sz w:val="26"/>
          <w:szCs w:val="26"/>
          <w:rtl/>
        </w:rPr>
        <w:t>3</w:t>
      </w:r>
      <w:r w:rsidR="00491408" w:rsidRPr="007E7925">
        <w:rPr>
          <w:rFonts w:cs="Simplified Arabic" w:hint="cs"/>
          <w:sz w:val="26"/>
          <w:szCs w:val="26"/>
          <w:rtl/>
        </w:rPr>
        <w:t xml:space="preserve">%، </w:t>
      </w:r>
      <w:r w:rsidR="00833320" w:rsidRPr="007E7925">
        <w:rPr>
          <w:rFonts w:cs="Simplified Arabic" w:hint="cs"/>
          <w:sz w:val="26"/>
          <w:szCs w:val="26"/>
          <w:rtl/>
        </w:rPr>
        <w:t>0.</w:t>
      </w:r>
      <w:r w:rsidR="00A65A79" w:rsidRPr="007E7925">
        <w:rPr>
          <w:rFonts w:cs="Simplified Arabic" w:hint="cs"/>
          <w:sz w:val="26"/>
          <w:szCs w:val="26"/>
          <w:rtl/>
        </w:rPr>
        <w:t>9</w:t>
      </w:r>
      <w:r w:rsidR="00491408" w:rsidRPr="007E7925">
        <w:rPr>
          <w:rFonts w:cs="Simplified Arabic" w:hint="cs"/>
          <w:sz w:val="26"/>
          <w:szCs w:val="26"/>
          <w:rtl/>
        </w:rPr>
        <w:t>% على التوالي.</w:t>
      </w:r>
    </w:p>
    <w:p w:rsidR="00333565" w:rsidRPr="0010688A" w:rsidRDefault="00333565" w:rsidP="00333565">
      <w:pPr>
        <w:jc w:val="lowKashida"/>
        <w:rPr>
          <w:rFonts w:cs="Simplified Arabic"/>
          <w:b/>
          <w:bCs/>
          <w:sz w:val="8"/>
          <w:szCs w:val="8"/>
          <w:rtl/>
        </w:rPr>
      </w:pPr>
    </w:p>
    <w:p w:rsidR="007E7925" w:rsidRDefault="007E7925" w:rsidP="00461B53">
      <w:pPr>
        <w:jc w:val="both"/>
        <w:rPr>
          <w:rFonts w:cs="Simplified Arabic"/>
          <w:b/>
          <w:bCs/>
          <w:sz w:val="26"/>
          <w:szCs w:val="26"/>
          <w:rtl/>
        </w:rPr>
      </w:pPr>
    </w:p>
    <w:p w:rsidR="007E7925" w:rsidRDefault="007E7925" w:rsidP="00461B53">
      <w:pPr>
        <w:jc w:val="both"/>
        <w:rPr>
          <w:rFonts w:cs="Simplified Arabic"/>
          <w:b/>
          <w:bCs/>
          <w:sz w:val="26"/>
          <w:szCs w:val="26"/>
          <w:rtl/>
        </w:rPr>
      </w:pPr>
    </w:p>
    <w:p w:rsidR="00D472C3" w:rsidRPr="007E7925" w:rsidRDefault="00BA09C5" w:rsidP="00461B53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7E7925">
        <w:rPr>
          <w:rFonts w:cs="Simplified Arabic" w:hint="cs"/>
          <w:b/>
          <w:bCs/>
          <w:sz w:val="28"/>
          <w:szCs w:val="28"/>
          <w:rtl/>
        </w:rPr>
        <w:lastRenderedPageBreak/>
        <w:t>ارتفاع</w:t>
      </w:r>
      <w:r w:rsidR="003F1688" w:rsidRPr="007E7925">
        <w:rPr>
          <w:rFonts w:cs="Simplified Arabic" w:hint="cs"/>
          <w:b/>
          <w:bCs/>
          <w:sz w:val="28"/>
          <w:szCs w:val="28"/>
          <w:rtl/>
        </w:rPr>
        <w:t xml:space="preserve"> القيمة المضافة المتولدة من الأنشطة الاقتصادية بنسبة </w:t>
      </w:r>
      <w:r w:rsidR="00B00626" w:rsidRPr="007E7925">
        <w:rPr>
          <w:rFonts w:cs="Simplified Arabic" w:hint="cs"/>
          <w:b/>
          <w:bCs/>
          <w:sz w:val="28"/>
          <w:szCs w:val="28"/>
          <w:rtl/>
        </w:rPr>
        <w:t>6</w:t>
      </w:r>
      <w:r w:rsidRPr="007E7925">
        <w:rPr>
          <w:rFonts w:cs="Simplified Arabic" w:hint="cs"/>
          <w:b/>
          <w:bCs/>
          <w:sz w:val="28"/>
          <w:szCs w:val="28"/>
          <w:rtl/>
        </w:rPr>
        <w:t>.7</w:t>
      </w:r>
      <w:r w:rsidR="003F1688" w:rsidRPr="007E7925">
        <w:rPr>
          <w:rFonts w:cs="Simplified Arabic" w:hint="cs"/>
          <w:b/>
          <w:bCs/>
          <w:sz w:val="28"/>
          <w:szCs w:val="28"/>
          <w:rtl/>
        </w:rPr>
        <w:t xml:space="preserve">% للعام </w:t>
      </w:r>
      <w:r w:rsidR="00B00626" w:rsidRPr="007E7925">
        <w:rPr>
          <w:rFonts w:cs="Simplified Arabic" w:hint="cs"/>
          <w:b/>
          <w:bCs/>
          <w:sz w:val="28"/>
          <w:szCs w:val="28"/>
          <w:rtl/>
        </w:rPr>
        <w:t>2022</w:t>
      </w:r>
      <w:r w:rsidR="003F1688" w:rsidRPr="007E7925">
        <w:rPr>
          <w:rFonts w:cs="Simplified Arabic" w:hint="cs"/>
          <w:b/>
          <w:bCs/>
          <w:sz w:val="28"/>
          <w:szCs w:val="28"/>
          <w:rtl/>
        </w:rPr>
        <w:t xml:space="preserve"> في فلسطين* </w:t>
      </w:r>
      <w:r w:rsidR="007E7925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="003F1688" w:rsidRPr="007E7925">
        <w:rPr>
          <w:rFonts w:cs="Simplified Arabic" w:hint="cs"/>
          <w:b/>
          <w:bCs/>
          <w:sz w:val="28"/>
          <w:szCs w:val="28"/>
          <w:rtl/>
        </w:rPr>
        <w:t xml:space="preserve">مقارنة بالعام </w:t>
      </w:r>
      <w:r w:rsidR="00B00626" w:rsidRPr="007E7925">
        <w:rPr>
          <w:rFonts w:cs="Simplified Arabic" w:hint="cs"/>
          <w:b/>
          <w:bCs/>
          <w:sz w:val="28"/>
          <w:szCs w:val="28"/>
          <w:rtl/>
        </w:rPr>
        <w:t>2021</w:t>
      </w:r>
    </w:p>
    <w:p w:rsidR="00B00626" w:rsidRPr="007E7925" w:rsidRDefault="00F24149" w:rsidP="00B00626">
      <w:pPr>
        <w:jc w:val="lowKashida"/>
        <w:rPr>
          <w:rFonts w:cs="Simplified Arabic"/>
          <w:sz w:val="26"/>
          <w:szCs w:val="26"/>
          <w:rtl/>
        </w:rPr>
      </w:pPr>
      <w:r w:rsidRPr="007E7925">
        <w:rPr>
          <w:rFonts w:cs="Simplified Arabic" w:hint="cs"/>
          <w:sz w:val="26"/>
          <w:szCs w:val="26"/>
          <w:rtl/>
        </w:rPr>
        <w:t xml:space="preserve">أظهرت النتائج أن القيمة المضافة المتحققة في المؤسسات الاقتصادية في فلسطين قد بلغت </w:t>
      </w:r>
      <w:r w:rsidR="00B00626" w:rsidRPr="007E7925">
        <w:rPr>
          <w:rFonts w:cs="Simplified Arabic" w:hint="cs"/>
          <w:sz w:val="26"/>
          <w:szCs w:val="26"/>
          <w:rtl/>
        </w:rPr>
        <w:t>10</w:t>
      </w:r>
      <w:r w:rsidRPr="007E7925">
        <w:rPr>
          <w:rFonts w:cs="Simplified Arabic" w:hint="cs"/>
          <w:sz w:val="26"/>
          <w:szCs w:val="26"/>
          <w:rtl/>
        </w:rPr>
        <w:t>,</w:t>
      </w:r>
      <w:r w:rsidR="00B00626" w:rsidRPr="007E7925">
        <w:rPr>
          <w:rFonts w:cs="Simplified Arabic" w:hint="cs"/>
          <w:sz w:val="26"/>
          <w:szCs w:val="26"/>
          <w:rtl/>
        </w:rPr>
        <w:t>410</w:t>
      </w:r>
      <w:r w:rsidRPr="007E7925">
        <w:rPr>
          <w:rFonts w:cs="Simplified Arabic" w:hint="cs"/>
          <w:sz w:val="26"/>
          <w:szCs w:val="26"/>
          <w:rtl/>
        </w:rPr>
        <w:t>.</w:t>
      </w:r>
      <w:r w:rsidR="00B00626" w:rsidRPr="007E7925">
        <w:rPr>
          <w:rFonts w:cs="Simplified Arabic" w:hint="cs"/>
          <w:sz w:val="26"/>
          <w:szCs w:val="26"/>
          <w:rtl/>
        </w:rPr>
        <w:t xml:space="preserve">5 </w:t>
      </w:r>
      <w:r w:rsidRPr="007E7925">
        <w:rPr>
          <w:rFonts w:cs="Simplified Arabic" w:hint="cs"/>
          <w:sz w:val="26"/>
          <w:szCs w:val="26"/>
          <w:rtl/>
        </w:rPr>
        <w:t xml:space="preserve">مليون دولار أمريكي للعام </w:t>
      </w:r>
      <w:r w:rsidR="00B00626" w:rsidRPr="007E7925">
        <w:rPr>
          <w:rFonts w:cs="Simplified Arabic" w:hint="cs"/>
          <w:sz w:val="26"/>
          <w:szCs w:val="26"/>
          <w:rtl/>
        </w:rPr>
        <w:t>2022</w:t>
      </w:r>
      <w:r w:rsidRPr="007E7925">
        <w:rPr>
          <w:rFonts w:cs="Simplified Arabic" w:hint="cs"/>
          <w:sz w:val="26"/>
          <w:szCs w:val="26"/>
          <w:rtl/>
        </w:rPr>
        <w:t xml:space="preserve">، وقد </w:t>
      </w:r>
      <w:r w:rsidR="00F4085E" w:rsidRPr="007E7925">
        <w:rPr>
          <w:rFonts w:cs="Simplified Arabic" w:hint="cs"/>
          <w:sz w:val="26"/>
          <w:szCs w:val="26"/>
          <w:rtl/>
        </w:rPr>
        <w:t xml:space="preserve">شهدت </w:t>
      </w:r>
      <w:r w:rsidR="00BA09C5" w:rsidRPr="007E7925">
        <w:rPr>
          <w:rFonts w:cs="Simplified Arabic" w:hint="cs"/>
          <w:sz w:val="26"/>
          <w:szCs w:val="26"/>
          <w:rtl/>
        </w:rPr>
        <w:t>ارتفاعا</w:t>
      </w:r>
      <w:r w:rsidRPr="007E7925">
        <w:rPr>
          <w:rFonts w:cs="Simplified Arabic" w:hint="cs"/>
          <w:sz w:val="26"/>
          <w:szCs w:val="26"/>
          <w:rtl/>
        </w:rPr>
        <w:t xml:space="preserve"> بمقدار </w:t>
      </w:r>
      <w:r w:rsidR="00B00626" w:rsidRPr="007E7925">
        <w:rPr>
          <w:rFonts w:cs="Simplified Arabic" w:hint="cs"/>
          <w:sz w:val="26"/>
          <w:szCs w:val="26"/>
          <w:rtl/>
        </w:rPr>
        <w:t>6</w:t>
      </w:r>
      <w:r w:rsidRPr="007E7925">
        <w:rPr>
          <w:rFonts w:cs="Simplified Arabic" w:hint="cs"/>
          <w:sz w:val="26"/>
          <w:szCs w:val="26"/>
          <w:rtl/>
        </w:rPr>
        <w:t>.</w:t>
      </w:r>
      <w:r w:rsidR="00F4085E" w:rsidRPr="007E7925">
        <w:rPr>
          <w:rFonts w:cs="Simplified Arabic" w:hint="cs"/>
          <w:sz w:val="26"/>
          <w:szCs w:val="26"/>
          <w:rtl/>
        </w:rPr>
        <w:t>7</w:t>
      </w:r>
      <w:r w:rsidRPr="007E7925">
        <w:rPr>
          <w:rFonts w:cs="Simplified Arabic" w:hint="cs"/>
          <w:sz w:val="26"/>
          <w:szCs w:val="26"/>
          <w:rtl/>
        </w:rPr>
        <w:t xml:space="preserve">% مقارنة بالعام السابق </w:t>
      </w:r>
      <w:r w:rsidR="00B00626" w:rsidRPr="007E7925">
        <w:rPr>
          <w:rFonts w:cs="Simplified Arabic" w:hint="cs"/>
          <w:sz w:val="26"/>
          <w:szCs w:val="26"/>
          <w:rtl/>
        </w:rPr>
        <w:t>2021</w:t>
      </w:r>
      <w:r w:rsidR="00CB20A9" w:rsidRPr="007E7925">
        <w:rPr>
          <w:rFonts w:cs="Simplified Arabic" w:hint="cs"/>
          <w:sz w:val="26"/>
          <w:szCs w:val="26"/>
          <w:rtl/>
        </w:rPr>
        <w:t>.</w:t>
      </w:r>
    </w:p>
    <w:p w:rsidR="00461B53" w:rsidRPr="00461B53" w:rsidRDefault="00461B53" w:rsidP="00B00626">
      <w:pPr>
        <w:jc w:val="lowKashida"/>
        <w:rPr>
          <w:rFonts w:cs="Simplified Arabic"/>
          <w:sz w:val="16"/>
          <w:szCs w:val="16"/>
          <w:rtl/>
        </w:rPr>
      </w:pPr>
    </w:p>
    <w:p w:rsidR="00D61677" w:rsidRPr="007E7925" w:rsidRDefault="009D7DE7" w:rsidP="007E7925">
      <w:pPr>
        <w:jc w:val="lowKashida"/>
        <w:rPr>
          <w:rFonts w:cs="Simplified Arabic"/>
          <w:sz w:val="26"/>
          <w:szCs w:val="26"/>
          <w:rtl/>
        </w:rPr>
      </w:pPr>
      <w:r w:rsidRPr="007E7925">
        <w:rPr>
          <w:rFonts w:cs="Simplified Arabic" w:hint="cs"/>
          <w:sz w:val="26"/>
          <w:szCs w:val="26"/>
          <w:rtl/>
        </w:rPr>
        <w:t xml:space="preserve">أما بالنسبة للتوزيع النسبي للأنشطة عام </w:t>
      </w:r>
      <w:r w:rsidR="00B00626" w:rsidRPr="007E7925">
        <w:rPr>
          <w:rFonts w:cs="Simplified Arabic" w:hint="cs"/>
          <w:sz w:val="26"/>
          <w:szCs w:val="26"/>
          <w:rtl/>
        </w:rPr>
        <w:t>2022</w:t>
      </w:r>
      <w:r w:rsidRPr="007E7925">
        <w:rPr>
          <w:rFonts w:cs="Simplified Arabic" w:hint="cs"/>
          <w:sz w:val="26"/>
          <w:szCs w:val="26"/>
          <w:rtl/>
        </w:rPr>
        <w:t xml:space="preserve"> ف</w:t>
      </w:r>
      <w:r w:rsidR="00F24149" w:rsidRPr="007E7925">
        <w:rPr>
          <w:rFonts w:cs="Simplified Arabic" w:hint="cs"/>
          <w:sz w:val="26"/>
          <w:szCs w:val="26"/>
          <w:rtl/>
        </w:rPr>
        <w:t xml:space="preserve">قد </w:t>
      </w:r>
      <w:r w:rsidR="000D12BF" w:rsidRPr="007E7925">
        <w:rPr>
          <w:rFonts w:cs="Simplified Arabic" w:hint="cs"/>
          <w:sz w:val="26"/>
          <w:szCs w:val="26"/>
          <w:rtl/>
        </w:rPr>
        <w:t xml:space="preserve">سجلت أنشطة التجارة الداخلية أعلى مساهمة في القيمة المضافة بنسبة وصلت </w:t>
      </w:r>
      <w:r w:rsidR="00B00626" w:rsidRPr="007E7925">
        <w:rPr>
          <w:rFonts w:cs="Simplified Arabic" w:hint="cs"/>
          <w:sz w:val="26"/>
          <w:szCs w:val="26"/>
          <w:rtl/>
        </w:rPr>
        <w:t>إلى</w:t>
      </w:r>
      <w:r w:rsidR="000D12BF" w:rsidRPr="007E7925">
        <w:rPr>
          <w:rFonts w:cs="Simplified Arabic" w:hint="cs"/>
          <w:sz w:val="26"/>
          <w:szCs w:val="26"/>
          <w:rtl/>
        </w:rPr>
        <w:t xml:space="preserve"> </w:t>
      </w:r>
      <w:r w:rsidR="00B00626" w:rsidRPr="007E7925">
        <w:rPr>
          <w:rFonts w:cs="Simplified Arabic" w:hint="cs"/>
          <w:sz w:val="26"/>
          <w:szCs w:val="26"/>
          <w:rtl/>
        </w:rPr>
        <w:t>39</w:t>
      </w:r>
      <w:r w:rsidR="00BA09C5" w:rsidRPr="007E7925">
        <w:rPr>
          <w:rFonts w:cs="Simplified Arabic" w:hint="cs"/>
          <w:sz w:val="26"/>
          <w:szCs w:val="26"/>
          <w:rtl/>
        </w:rPr>
        <w:t>.</w:t>
      </w:r>
      <w:r w:rsidR="00F47B2B" w:rsidRPr="007E7925">
        <w:rPr>
          <w:rFonts w:cs="Simplified Arabic" w:hint="cs"/>
          <w:sz w:val="26"/>
          <w:szCs w:val="26"/>
          <w:rtl/>
        </w:rPr>
        <w:t>5</w:t>
      </w:r>
      <w:r w:rsidR="000D12BF" w:rsidRPr="007E7925">
        <w:rPr>
          <w:rFonts w:cs="Simplified Arabic" w:hint="cs"/>
          <w:sz w:val="26"/>
          <w:szCs w:val="26"/>
          <w:rtl/>
        </w:rPr>
        <w:t>%، تلاها أنشطة</w:t>
      </w:r>
      <w:r w:rsidR="00B00626" w:rsidRPr="007E7925">
        <w:rPr>
          <w:rFonts w:cs="Simplified Arabic" w:hint="cs"/>
          <w:sz w:val="26"/>
          <w:szCs w:val="26"/>
          <w:rtl/>
        </w:rPr>
        <w:t xml:space="preserve"> </w:t>
      </w:r>
      <w:r w:rsidR="000D12BF" w:rsidRPr="007E7925">
        <w:rPr>
          <w:rFonts w:cs="Simplified Arabic" w:hint="cs"/>
          <w:sz w:val="26"/>
          <w:szCs w:val="26"/>
          <w:rtl/>
        </w:rPr>
        <w:t>الصناعة</w:t>
      </w:r>
      <w:r w:rsidR="00F24149" w:rsidRPr="007E7925">
        <w:rPr>
          <w:rFonts w:cs="Simplified Arabic" w:hint="cs"/>
          <w:sz w:val="26"/>
          <w:szCs w:val="26"/>
          <w:rtl/>
        </w:rPr>
        <w:t xml:space="preserve"> بنسبة </w:t>
      </w:r>
      <w:r w:rsidR="00BA09C5" w:rsidRPr="007E7925">
        <w:rPr>
          <w:rFonts w:cs="Simplified Arabic" w:hint="cs"/>
          <w:sz w:val="26"/>
          <w:szCs w:val="26"/>
          <w:rtl/>
        </w:rPr>
        <w:t>2</w:t>
      </w:r>
      <w:r w:rsidR="00B00626" w:rsidRPr="007E7925">
        <w:rPr>
          <w:rFonts w:cs="Simplified Arabic" w:hint="cs"/>
          <w:sz w:val="26"/>
          <w:szCs w:val="26"/>
          <w:rtl/>
        </w:rPr>
        <w:t>3</w:t>
      </w:r>
      <w:r w:rsidR="00BA09C5" w:rsidRPr="007E7925">
        <w:rPr>
          <w:rFonts w:cs="Simplified Arabic" w:hint="cs"/>
          <w:sz w:val="26"/>
          <w:szCs w:val="26"/>
          <w:rtl/>
        </w:rPr>
        <w:t>.</w:t>
      </w:r>
      <w:r w:rsidR="00B00626" w:rsidRPr="007E7925">
        <w:rPr>
          <w:rFonts w:cs="Simplified Arabic" w:hint="cs"/>
          <w:sz w:val="26"/>
          <w:szCs w:val="26"/>
          <w:rtl/>
        </w:rPr>
        <w:t>4</w:t>
      </w:r>
      <w:r w:rsidR="00F24149" w:rsidRPr="007E7925">
        <w:rPr>
          <w:rFonts w:cs="Simplified Arabic" w:hint="cs"/>
          <w:sz w:val="26"/>
          <w:szCs w:val="26"/>
          <w:rtl/>
        </w:rPr>
        <w:t xml:space="preserve">%، بينما ساهمت </w:t>
      </w:r>
      <w:r w:rsidR="000D12BF" w:rsidRPr="007E7925">
        <w:rPr>
          <w:rFonts w:cs="Simplified Arabic" w:hint="cs"/>
          <w:sz w:val="26"/>
          <w:szCs w:val="26"/>
          <w:rtl/>
        </w:rPr>
        <w:t xml:space="preserve">أنشطة الخدمات </w:t>
      </w:r>
      <w:r w:rsidR="00241768" w:rsidRPr="007E7925">
        <w:rPr>
          <w:rFonts w:cs="Simplified Arabic" w:hint="cs"/>
          <w:sz w:val="26"/>
          <w:szCs w:val="26"/>
          <w:rtl/>
        </w:rPr>
        <w:t>بنسبة 23.</w:t>
      </w:r>
      <w:r w:rsidR="00B00626" w:rsidRPr="007E7925">
        <w:rPr>
          <w:rFonts w:cs="Simplified Arabic" w:hint="cs"/>
          <w:sz w:val="26"/>
          <w:szCs w:val="26"/>
          <w:rtl/>
        </w:rPr>
        <w:t>1</w:t>
      </w:r>
      <w:r w:rsidR="000D12BF" w:rsidRPr="007E7925">
        <w:rPr>
          <w:rFonts w:cs="Simplified Arabic" w:hint="cs"/>
          <w:sz w:val="26"/>
          <w:szCs w:val="26"/>
          <w:rtl/>
        </w:rPr>
        <w:t>%،</w:t>
      </w:r>
      <w:r w:rsidR="00F24149" w:rsidRPr="007E7925">
        <w:rPr>
          <w:rFonts w:cs="Simplified Arabic" w:hint="cs"/>
          <w:sz w:val="26"/>
          <w:szCs w:val="26"/>
          <w:rtl/>
        </w:rPr>
        <w:t xml:space="preserve"> فيما بلغت نسبة مساهمة </w:t>
      </w:r>
      <w:r w:rsidR="000D12BF" w:rsidRPr="007E7925">
        <w:rPr>
          <w:rFonts w:cs="Simplified Arabic" w:hint="cs"/>
          <w:sz w:val="26"/>
          <w:szCs w:val="26"/>
          <w:rtl/>
        </w:rPr>
        <w:t>أنشطة</w:t>
      </w:r>
      <w:r w:rsidR="00B00626" w:rsidRPr="007E7925">
        <w:rPr>
          <w:rFonts w:cs="Simplified Arabic" w:hint="cs"/>
          <w:sz w:val="26"/>
          <w:szCs w:val="26"/>
          <w:rtl/>
        </w:rPr>
        <w:t xml:space="preserve"> </w:t>
      </w:r>
      <w:r w:rsidR="00012881" w:rsidRPr="007E7925">
        <w:rPr>
          <w:rFonts w:cs="Simplified Arabic" w:hint="cs"/>
          <w:sz w:val="26"/>
          <w:szCs w:val="26"/>
          <w:rtl/>
        </w:rPr>
        <w:t xml:space="preserve">المالية والتأمين </w:t>
      </w:r>
      <w:r w:rsidR="00BA09C5" w:rsidRPr="007E7925">
        <w:rPr>
          <w:rFonts w:cs="Simplified Arabic" w:hint="cs"/>
          <w:sz w:val="26"/>
          <w:szCs w:val="26"/>
          <w:rtl/>
        </w:rPr>
        <w:t>7.</w:t>
      </w:r>
      <w:r w:rsidR="00B00626" w:rsidRPr="007E7925">
        <w:rPr>
          <w:rFonts w:cs="Simplified Arabic" w:hint="cs"/>
          <w:sz w:val="26"/>
          <w:szCs w:val="26"/>
          <w:rtl/>
        </w:rPr>
        <w:t>6</w:t>
      </w:r>
      <w:r w:rsidR="00494A6F" w:rsidRPr="007E7925">
        <w:rPr>
          <w:rFonts w:cs="Simplified Arabic" w:hint="cs"/>
          <w:sz w:val="26"/>
          <w:szCs w:val="26"/>
          <w:rtl/>
        </w:rPr>
        <w:t>%</w:t>
      </w:r>
      <w:r w:rsidR="000D12BF" w:rsidRPr="007E7925">
        <w:rPr>
          <w:rFonts w:cs="Simplified Arabic" w:hint="cs"/>
          <w:sz w:val="26"/>
          <w:szCs w:val="26"/>
          <w:rtl/>
        </w:rPr>
        <w:t xml:space="preserve">، وأنشطة </w:t>
      </w:r>
      <w:r w:rsidR="00F16DFB" w:rsidRPr="007E7925">
        <w:rPr>
          <w:rFonts w:cs="Simplified Arabic" w:hint="cs"/>
          <w:sz w:val="26"/>
          <w:szCs w:val="26"/>
          <w:rtl/>
        </w:rPr>
        <w:t xml:space="preserve">المعلومات والاتصالات </w:t>
      </w:r>
      <w:r w:rsidR="00494A6F" w:rsidRPr="007E7925">
        <w:rPr>
          <w:rFonts w:cs="Simplified Arabic" w:hint="cs"/>
          <w:sz w:val="26"/>
          <w:szCs w:val="26"/>
          <w:rtl/>
        </w:rPr>
        <w:t xml:space="preserve">بنسبة </w:t>
      </w:r>
      <w:r w:rsidR="00B00626" w:rsidRPr="007E7925">
        <w:rPr>
          <w:rFonts w:cs="Simplified Arabic" w:hint="cs"/>
          <w:sz w:val="26"/>
          <w:szCs w:val="26"/>
          <w:rtl/>
        </w:rPr>
        <w:t>4</w:t>
      </w:r>
      <w:r w:rsidR="00BA09C5" w:rsidRPr="007E7925">
        <w:rPr>
          <w:rFonts w:cs="Simplified Arabic" w:hint="cs"/>
          <w:sz w:val="26"/>
          <w:szCs w:val="26"/>
          <w:rtl/>
        </w:rPr>
        <w:t>.</w:t>
      </w:r>
      <w:r w:rsidR="00B00626" w:rsidRPr="007E7925">
        <w:rPr>
          <w:rFonts w:cs="Simplified Arabic" w:hint="cs"/>
          <w:sz w:val="26"/>
          <w:szCs w:val="26"/>
          <w:rtl/>
        </w:rPr>
        <w:t>5</w:t>
      </w:r>
      <w:r w:rsidR="00494A6F" w:rsidRPr="007E7925">
        <w:rPr>
          <w:rFonts w:cs="Simplified Arabic" w:hint="cs"/>
          <w:sz w:val="26"/>
          <w:szCs w:val="26"/>
          <w:rtl/>
        </w:rPr>
        <w:t>%</w:t>
      </w:r>
      <w:r w:rsidR="00F24149" w:rsidRPr="007E7925">
        <w:rPr>
          <w:rFonts w:cs="Simplified Arabic" w:hint="cs"/>
          <w:sz w:val="26"/>
          <w:szCs w:val="26"/>
          <w:rtl/>
        </w:rPr>
        <w:t xml:space="preserve">، </w:t>
      </w:r>
      <w:r w:rsidR="00B00626" w:rsidRPr="007E7925">
        <w:rPr>
          <w:rFonts w:cs="Simplified Arabic" w:hint="cs"/>
          <w:sz w:val="26"/>
          <w:szCs w:val="26"/>
          <w:rtl/>
        </w:rPr>
        <w:t>إضافة</w:t>
      </w:r>
      <w:r w:rsidR="00494A6F" w:rsidRPr="007E7925">
        <w:rPr>
          <w:rFonts w:cs="Simplified Arabic" w:hint="cs"/>
          <w:sz w:val="26"/>
          <w:szCs w:val="26"/>
          <w:rtl/>
        </w:rPr>
        <w:t xml:space="preserve"> </w:t>
      </w:r>
      <w:r w:rsidR="00B00626" w:rsidRPr="007E7925">
        <w:rPr>
          <w:rFonts w:cs="Simplified Arabic" w:hint="cs"/>
          <w:sz w:val="26"/>
          <w:szCs w:val="26"/>
          <w:rtl/>
        </w:rPr>
        <w:t>إلى</w:t>
      </w:r>
      <w:r w:rsidR="00494A6F" w:rsidRPr="007E7925">
        <w:rPr>
          <w:rFonts w:cs="Simplified Arabic" w:hint="cs"/>
          <w:sz w:val="26"/>
          <w:szCs w:val="26"/>
          <w:rtl/>
        </w:rPr>
        <w:t xml:space="preserve"> نسبة مساهمة </w:t>
      </w:r>
      <w:r w:rsidR="000D12BF" w:rsidRPr="007E7925">
        <w:rPr>
          <w:rFonts w:cs="Simplified Arabic" w:hint="cs"/>
          <w:sz w:val="26"/>
          <w:szCs w:val="26"/>
          <w:rtl/>
        </w:rPr>
        <w:t xml:space="preserve">أنشطة </w:t>
      </w:r>
      <w:r w:rsidR="007C6813" w:rsidRPr="007E7925">
        <w:rPr>
          <w:rFonts w:cs="Simplified Arabic" w:hint="cs"/>
          <w:sz w:val="26"/>
          <w:szCs w:val="26"/>
          <w:rtl/>
        </w:rPr>
        <w:t>الإنشاءات</w:t>
      </w:r>
      <w:r w:rsidR="00F24149" w:rsidRPr="007E7925">
        <w:rPr>
          <w:rFonts w:cs="Simplified Arabic" w:hint="cs"/>
          <w:sz w:val="26"/>
          <w:szCs w:val="26"/>
          <w:rtl/>
        </w:rPr>
        <w:t xml:space="preserve">، والنقل والتخزين من </w:t>
      </w:r>
      <w:r w:rsidR="007C6813" w:rsidRPr="007E7925">
        <w:rPr>
          <w:rFonts w:cs="Simplified Arabic" w:hint="cs"/>
          <w:sz w:val="26"/>
          <w:szCs w:val="26"/>
          <w:rtl/>
        </w:rPr>
        <w:t>إجمالي</w:t>
      </w:r>
      <w:r w:rsidR="00F24149" w:rsidRPr="007E7925">
        <w:rPr>
          <w:rFonts w:cs="Simplified Arabic" w:hint="cs"/>
          <w:sz w:val="26"/>
          <w:szCs w:val="26"/>
          <w:rtl/>
        </w:rPr>
        <w:t xml:space="preserve"> </w:t>
      </w:r>
      <w:r w:rsidR="000D12BF" w:rsidRPr="007E7925">
        <w:rPr>
          <w:rFonts w:cs="Simplified Arabic" w:hint="cs"/>
          <w:sz w:val="26"/>
          <w:szCs w:val="26"/>
          <w:rtl/>
        </w:rPr>
        <w:t>القيمة المضافة</w:t>
      </w:r>
      <w:r w:rsidR="00494A6F" w:rsidRPr="007E7925">
        <w:rPr>
          <w:rFonts w:cs="Simplified Arabic" w:hint="cs"/>
          <w:sz w:val="26"/>
          <w:szCs w:val="26"/>
          <w:rtl/>
        </w:rPr>
        <w:t xml:space="preserve"> قد بلغت</w:t>
      </w:r>
      <w:r w:rsidR="007C6813" w:rsidRPr="007E7925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F4085E" w:rsidRPr="007E7925">
        <w:rPr>
          <w:rFonts w:cs="Simplified Arabic" w:hint="cs"/>
          <w:sz w:val="26"/>
          <w:szCs w:val="26"/>
          <w:rtl/>
        </w:rPr>
        <w:t>1</w:t>
      </w:r>
      <w:r w:rsidR="00F24149" w:rsidRPr="007E7925">
        <w:rPr>
          <w:rFonts w:cs="Simplified Arabic" w:hint="cs"/>
          <w:sz w:val="26"/>
          <w:szCs w:val="26"/>
          <w:rtl/>
        </w:rPr>
        <w:t>.</w:t>
      </w:r>
      <w:r w:rsidR="00BA09C5" w:rsidRPr="007E7925">
        <w:rPr>
          <w:rFonts w:cs="Simplified Arabic" w:hint="cs"/>
          <w:sz w:val="26"/>
          <w:szCs w:val="26"/>
          <w:rtl/>
        </w:rPr>
        <w:t>0</w:t>
      </w:r>
      <w:r w:rsidR="00F24149" w:rsidRPr="007E7925">
        <w:rPr>
          <w:rFonts w:cs="Simplified Arabic" w:hint="cs"/>
          <w:sz w:val="26"/>
          <w:szCs w:val="26"/>
          <w:rtl/>
        </w:rPr>
        <w:t xml:space="preserve">%، </w:t>
      </w:r>
      <w:r w:rsidR="00F4085E" w:rsidRPr="007E7925">
        <w:rPr>
          <w:rFonts w:cs="Simplified Arabic" w:hint="cs"/>
          <w:sz w:val="26"/>
          <w:szCs w:val="26"/>
          <w:rtl/>
        </w:rPr>
        <w:t>0</w:t>
      </w:r>
      <w:r w:rsidR="00F24149" w:rsidRPr="007E7925">
        <w:rPr>
          <w:rFonts w:cs="Simplified Arabic" w:hint="cs"/>
          <w:sz w:val="26"/>
          <w:szCs w:val="26"/>
          <w:rtl/>
        </w:rPr>
        <w:t>.</w:t>
      </w:r>
      <w:r w:rsidR="00F4085E" w:rsidRPr="007E7925">
        <w:rPr>
          <w:rFonts w:cs="Simplified Arabic" w:hint="cs"/>
          <w:sz w:val="26"/>
          <w:szCs w:val="26"/>
          <w:rtl/>
        </w:rPr>
        <w:t>9</w:t>
      </w:r>
      <w:r w:rsidR="00F24149" w:rsidRPr="007E7925">
        <w:rPr>
          <w:rFonts w:cs="Simplified Arabic" w:hint="cs"/>
          <w:sz w:val="26"/>
          <w:szCs w:val="26"/>
          <w:rtl/>
        </w:rPr>
        <w:t>% على التوالي.</w:t>
      </w:r>
    </w:p>
    <w:p w:rsidR="00872A31" w:rsidRPr="0010688A" w:rsidRDefault="00872A31" w:rsidP="002C00A4">
      <w:pPr>
        <w:tabs>
          <w:tab w:val="left" w:pos="-1"/>
          <w:tab w:val="right" w:pos="1133"/>
        </w:tabs>
        <w:rPr>
          <w:rFonts w:cs="Simplified Arabic"/>
          <w:b/>
          <w:bCs/>
          <w:sz w:val="16"/>
          <w:szCs w:val="16"/>
          <w:rtl/>
        </w:rPr>
      </w:pPr>
    </w:p>
    <w:p w:rsidR="00BE603B" w:rsidRPr="00461B53" w:rsidRDefault="002B5617" w:rsidP="007E7925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461B53">
        <w:rPr>
          <w:rFonts w:cs="Simplified Arabic" w:hint="cs"/>
          <w:b/>
          <w:bCs/>
          <w:sz w:val="26"/>
          <w:szCs w:val="26"/>
          <w:rtl/>
        </w:rPr>
        <w:t>القيمة المضافة</w:t>
      </w:r>
      <w:r w:rsidR="00463136" w:rsidRPr="00461B53">
        <w:rPr>
          <w:rFonts w:cs="Simplified Arabic" w:hint="cs"/>
          <w:b/>
          <w:bCs/>
          <w:sz w:val="26"/>
          <w:szCs w:val="26"/>
          <w:rtl/>
        </w:rPr>
        <w:t xml:space="preserve"> للأنشطة الاقتصادية</w:t>
      </w:r>
      <w:r w:rsidRPr="00461B53">
        <w:rPr>
          <w:rFonts w:cs="Simplified Arabic" w:hint="cs"/>
          <w:b/>
          <w:bCs/>
          <w:sz w:val="26"/>
          <w:szCs w:val="26"/>
          <w:rtl/>
        </w:rPr>
        <w:t xml:space="preserve"> في فلسطين</w:t>
      </w:r>
      <w:r w:rsidR="000104C9" w:rsidRPr="00461B53">
        <w:rPr>
          <w:rFonts w:cs="Simplified Arabic" w:hint="cs"/>
          <w:b/>
          <w:bCs/>
          <w:sz w:val="26"/>
          <w:szCs w:val="26"/>
          <w:rtl/>
        </w:rPr>
        <w:t>*</w:t>
      </w:r>
      <w:r w:rsidR="007E7925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463136" w:rsidRPr="00461B53">
        <w:rPr>
          <w:rFonts w:cs="Simplified Arabic" w:hint="cs"/>
          <w:b/>
          <w:bCs/>
          <w:sz w:val="26"/>
          <w:szCs w:val="26"/>
          <w:rtl/>
        </w:rPr>
        <w:t>للأعوام</w:t>
      </w:r>
      <w:r w:rsidR="007C6813" w:rsidRPr="00461B5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47B2B" w:rsidRPr="00461B53">
        <w:rPr>
          <w:rFonts w:cs="Simplified Arabic" w:hint="cs"/>
          <w:b/>
          <w:bCs/>
          <w:sz w:val="26"/>
          <w:szCs w:val="26"/>
          <w:rtl/>
        </w:rPr>
        <w:t>2017</w:t>
      </w:r>
      <w:r w:rsidRPr="00461B53">
        <w:rPr>
          <w:rFonts w:cs="Simplified Arabic" w:hint="cs"/>
          <w:b/>
          <w:bCs/>
          <w:sz w:val="26"/>
          <w:szCs w:val="26"/>
          <w:rtl/>
        </w:rPr>
        <w:t>-</w:t>
      </w:r>
      <w:r w:rsidR="00F47B2B" w:rsidRPr="00461B53">
        <w:rPr>
          <w:rFonts w:cs="Simplified Arabic" w:hint="cs"/>
          <w:b/>
          <w:bCs/>
          <w:sz w:val="26"/>
          <w:szCs w:val="26"/>
          <w:rtl/>
        </w:rPr>
        <w:t>2022</w:t>
      </w:r>
    </w:p>
    <w:p w:rsidR="004623C3" w:rsidRPr="0010688A" w:rsidRDefault="00AB4A62" w:rsidP="007E7925">
      <w:pPr>
        <w:jc w:val="center"/>
        <w:rPr>
          <w:rFonts w:cs="Simplified Arabic"/>
          <w:rtl/>
        </w:rPr>
      </w:pPr>
      <w:r w:rsidRPr="0010688A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3476625" cy="1704975"/>
            <wp:effectExtent l="38100" t="38100" r="47625" b="4762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136" w:rsidRPr="0010688A" w:rsidRDefault="00463136" w:rsidP="009D7DE7">
      <w:pPr>
        <w:jc w:val="both"/>
        <w:rPr>
          <w:rFonts w:cs="Simplified Arabic"/>
          <w:sz w:val="6"/>
          <w:szCs w:val="6"/>
        </w:rPr>
      </w:pPr>
    </w:p>
    <w:p w:rsidR="00D61677" w:rsidRPr="00461B53" w:rsidRDefault="00D61677" w:rsidP="00D61677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461B53" w:rsidRDefault="00D61677" w:rsidP="00F401F2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sz w:val="26"/>
          <w:szCs w:val="26"/>
          <w:rtl/>
        </w:rPr>
      </w:pPr>
      <w:r w:rsidRPr="00461B53">
        <w:rPr>
          <w:rFonts w:cs="Simplified Arabic" w:hint="cs"/>
          <w:b/>
          <w:bCs/>
          <w:sz w:val="26"/>
          <w:szCs w:val="26"/>
          <w:rtl/>
        </w:rPr>
        <w:t xml:space="preserve">التوزيع النسبي للقيمة المضافة للمؤسسات العاملة في القطاع الخاص والاهلي في فلسطين* </w:t>
      </w:r>
    </w:p>
    <w:p w:rsidR="00F401F2" w:rsidRPr="00461B53" w:rsidRDefault="00D61677" w:rsidP="00F401F2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sz w:val="26"/>
          <w:szCs w:val="26"/>
        </w:rPr>
      </w:pPr>
      <w:r w:rsidRPr="00461B53">
        <w:rPr>
          <w:rFonts w:cs="Simplified Arabic" w:hint="cs"/>
          <w:b/>
          <w:bCs/>
          <w:sz w:val="26"/>
          <w:szCs w:val="26"/>
          <w:rtl/>
        </w:rPr>
        <w:t>حسب النشاط الاقتصادي</w:t>
      </w:r>
      <w:r w:rsidR="00F401F2" w:rsidRPr="00461B53">
        <w:rPr>
          <w:rFonts w:cs="Simplified Arabic" w:hint="cs"/>
          <w:b/>
          <w:bCs/>
          <w:sz w:val="26"/>
          <w:szCs w:val="26"/>
          <w:rtl/>
        </w:rPr>
        <w:t>، 2022</w:t>
      </w:r>
    </w:p>
    <w:p w:rsidR="007E7925" w:rsidRPr="007E7925" w:rsidRDefault="00D61677" w:rsidP="007E7925">
      <w:pPr>
        <w:tabs>
          <w:tab w:val="left" w:pos="-1"/>
          <w:tab w:val="right" w:pos="1133"/>
        </w:tabs>
        <w:spacing w:after="120"/>
        <w:jc w:val="center"/>
        <w:rPr>
          <w:rFonts w:cs="Simplified Arabic"/>
          <w:sz w:val="22"/>
          <w:szCs w:val="22"/>
          <w:rtl/>
          <w:lang w:bidi="ar-AE"/>
        </w:rPr>
      </w:pPr>
      <w:r w:rsidRPr="0010688A">
        <w:rPr>
          <w:b/>
          <w:bCs/>
          <w:noProof/>
          <w:sz w:val="16"/>
          <w:szCs w:val="16"/>
          <w:rtl/>
          <w:lang w:eastAsia="en-US"/>
        </w:rPr>
        <w:drawing>
          <wp:inline distT="0" distB="0" distL="0" distR="0">
            <wp:extent cx="3476625" cy="20097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3136" w:rsidRPr="00461B53" w:rsidRDefault="00463136" w:rsidP="0001288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461B53">
        <w:rPr>
          <w:rFonts w:cs="Simplified Arabic" w:hint="cs"/>
          <w:b/>
          <w:bCs/>
          <w:sz w:val="22"/>
          <w:szCs w:val="22"/>
          <w:rtl/>
        </w:rPr>
        <w:t>ملاحظ</w:t>
      </w:r>
      <w:r w:rsidR="00012881" w:rsidRPr="00461B53">
        <w:rPr>
          <w:rFonts w:cs="Simplified Arabic" w:hint="cs"/>
          <w:b/>
          <w:bCs/>
          <w:sz w:val="22"/>
          <w:szCs w:val="22"/>
          <w:rtl/>
        </w:rPr>
        <w:t>ة</w:t>
      </w:r>
      <w:r w:rsidRPr="00461B53">
        <w:rPr>
          <w:rFonts w:cs="Simplified Arabic" w:hint="cs"/>
          <w:b/>
          <w:bCs/>
          <w:sz w:val="22"/>
          <w:szCs w:val="22"/>
          <w:rtl/>
        </w:rPr>
        <w:t>:</w:t>
      </w:r>
    </w:p>
    <w:p w:rsidR="00463136" w:rsidRPr="00461B53" w:rsidRDefault="00463136" w:rsidP="00463136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461B53">
        <w:rPr>
          <w:rFonts w:cs="Simplified Arabic" w:hint="cs"/>
          <w:sz w:val="22"/>
          <w:szCs w:val="22"/>
          <w:rtl/>
        </w:rPr>
        <w:t xml:space="preserve">*: البيانات لا تشمل </w:t>
      </w:r>
      <w:r w:rsidRPr="00461B53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461B53">
        <w:rPr>
          <w:rFonts w:cs="Simplified Arabic" w:hint="cs"/>
          <w:sz w:val="22"/>
          <w:szCs w:val="22"/>
          <w:rtl/>
        </w:rPr>
        <w:t>و</w:t>
      </w:r>
      <w:r w:rsidRPr="00461B53">
        <w:rPr>
          <w:rFonts w:cs="Simplified Arabic"/>
          <w:sz w:val="22"/>
          <w:szCs w:val="22"/>
          <w:rtl/>
        </w:rPr>
        <w:t>الذي ضم</w:t>
      </w:r>
      <w:r w:rsidRPr="00461B53">
        <w:rPr>
          <w:rFonts w:cs="Simplified Arabic" w:hint="cs"/>
          <w:sz w:val="22"/>
          <w:szCs w:val="22"/>
          <w:rtl/>
        </w:rPr>
        <w:t>ه الاحتلال</w:t>
      </w:r>
      <w:r w:rsidR="00055FDF" w:rsidRPr="00461B53">
        <w:rPr>
          <w:rFonts w:cs="Simplified Arabic" w:hint="cs"/>
          <w:sz w:val="22"/>
          <w:szCs w:val="22"/>
          <w:rtl/>
        </w:rPr>
        <w:t xml:space="preserve"> </w:t>
      </w:r>
      <w:r w:rsidRPr="00461B53">
        <w:rPr>
          <w:rFonts w:cs="Simplified Arabic" w:hint="cs"/>
          <w:sz w:val="22"/>
          <w:szCs w:val="22"/>
          <w:rtl/>
        </w:rPr>
        <w:t>الإسرائيل</w:t>
      </w:r>
      <w:r w:rsidRPr="00461B53">
        <w:rPr>
          <w:rFonts w:cs="Simplified Arabic" w:hint="eastAsia"/>
          <w:sz w:val="22"/>
          <w:szCs w:val="22"/>
          <w:rtl/>
        </w:rPr>
        <w:t>ي</w:t>
      </w:r>
      <w:r w:rsidR="00055FDF" w:rsidRPr="00461B53">
        <w:rPr>
          <w:rFonts w:cs="Simplified Arabic" w:hint="cs"/>
          <w:sz w:val="22"/>
          <w:szCs w:val="22"/>
          <w:rtl/>
        </w:rPr>
        <w:t xml:space="preserve"> </w:t>
      </w:r>
      <w:r w:rsidRPr="00461B53">
        <w:rPr>
          <w:rFonts w:cs="Simplified Arabic" w:hint="cs"/>
          <w:sz w:val="22"/>
          <w:szCs w:val="22"/>
          <w:rtl/>
        </w:rPr>
        <w:t xml:space="preserve">إليه </w:t>
      </w:r>
      <w:r w:rsidRPr="00461B53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bookmarkEnd w:id="0"/>
    <w:bookmarkEnd w:id="1"/>
    <w:p w:rsidR="007E7925" w:rsidRDefault="007E7925" w:rsidP="007E7925">
      <w:pPr>
        <w:pStyle w:val="BodyText2"/>
        <w:spacing w:after="0" w:line="240" w:lineRule="auto"/>
        <w:jc w:val="both"/>
        <w:rPr>
          <w:rFonts w:cs="Simplified Arabic"/>
          <w:sz w:val="20"/>
          <w:szCs w:val="20"/>
          <w:rtl/>
        </w:rPr>
      </w:pPr>
    </w:p>
    <w:p w:rsidR="007E7925" w:rsidRPr="0010688A" w:rsidRDefault="007E7925" w:rsidP="007E7925">
      <w:pPr>
        <w:pStyle w:val="BodyText2"/>
        <w:spacing w:after="0" w:line="240" w:lineRule="auto"/>
        <w:jc w:val="both"/>
        <w:rPr>
          <w:rFonts w:cs="Simplified Arabic"/>
          <w:sz w:val="20"/>
          <w:szCs w:val="20"/>
          <w:rtl/>
        </w:rPr>
      </w:pPr>
      <w:bookmarkStart w:id="2" w:name="_GoBack"/>
      <w:bookmarkEnd w:id="2"/>
    </w:p>
    <w:p w:rsidR="0070716A" w:rsidRPr="0010688A" w:rsidRDefault="007E7925" w:rsidP="007E7925">
      <w:pPr>
        <w:tabs>
          <w:tab w:val="left" w:pos="-1"/>
          <w:tab w:val="left" w:pos="282"/>
        </w:tabs>
        <w:jc w:val="center"/>
        <w:rPr>
          <w:rFonts w:ascii="Simplified Arabic" w:hAnsi="Simplified Arabic" w:cs="Simplified Arabic"/>
          <w:sz w:val="20"/>
          <w:szCs w:val="20"/>
        </w:rPr>
      </w:pPr>
      <w:r w:rsidRPr="007E7925">
        <w:rPr>
          <w:rFonts w:ascii="Simplified Arabic" w:hAnsi="Simplified Arabic"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5EC7C229" wp14:editId="30709429">
            <wp:extent cx="619125" cy="771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16A" w:rsidRPr="0010688A" w:rsidSect="007E7925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284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D1" w:rsidRDefault="00D45CD1">
      <w:r>
        <w:separator/>
      </w:r>
    </w:p>
  </w:endnote>
  <w:endnote w:type="continuationSeparator" w:id="0">
    <w:p w:rsidR="00D45CD1" w:rsidRDefault="00D4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33515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335157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7E7925">
      <w:rPr>
        <w:noProof/>
        <w:rtl/>
      </w:rPr>
      <w:t>2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D1" w:rsidRDefault="00D45CD1">
      <w:r>
        <w:separator/>
      </w:r>
    </w:p>
  </w:footnote>
  <w:footnote w:type="continuationSeparator" w:id="0">
    <w:p w:rsidR="00D45CD1" w:rsidRDefault="00D4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Pr="00461B53" w:rsidRDefault="00461B53" w:rsidP="00461B53">
    <w:pPr>
      <w:pStyle w:val="Header"/>
      <w:tabs>
        <w:tab w:val="clear" w:pos="4320"/>
        <w:tab w:val="clear" w:pos="8640"/>
        <w:tab w:val="left" w:pos="1119"/>
      </w:tabs>
      <w:rPr>
        <w:sz w:val="8"/>
        <w:szCs w:val="8"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5FDF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27E5"/>
    <w:rsid w:val="000931E7"/>
    <w:rsid w:val="000934C0"/>
    <w:rsid w:val="000934FC"/>
    <w:rsid w:val="00093A01"/>
    <w:rsid w:val="00093A2B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88A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AC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B7D2B"/>
    <w:rsid w:val="001C01BB"/>
    <w:rsid w:val="001C0242"/>
    <w:rsid w:val="001C0E8E"/>
    <w:rsid w:val="001C0E94"/>
    <w:rsid w:val="001C0F1F"/>
    <w:rsid w:val="001C1E28"/>
    <w:rsid w:val="001C37CA"/>
    <w:rsid w:val="001C59C5"/>
    <w:rsid w:val="001C645C"/>
    <w:rsid w:val="001C6AF5"/>
    <w:rsid w:val="001C75B8"/>
    <w:rsid w:val="001C7E13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7C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4C29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5E34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57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1513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575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4CF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1B53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1F9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836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42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9D5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77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36A9D"/>
    <w:rsid w:val="0074008F"/>
    <w:rsid w:val="007419C3"/>
    <w:rsid w:val="00742854"/>
    <w:rsid w:val="00744DC4"/>
    <w:rsid w:val="00744FCC"/>
    <w:rsid w:val="0074565C"/>
    <w:rsid w:val="00745B0F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813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925"/>
    <w:rsid w:val="007E7C54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31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E9C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396D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F0C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085A"/>
    <w:rsid w:val="009911C4"/>
    <w:rsid w:val="0099157B"/>
    <w:rsid w:val="00992526"/>
    <w:rsid w:val="009925A2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1ECC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2C7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A79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61D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31B1"/>
    <w:rsid w:val="00AF47F4"/>
    <w:rsid w:val="00AF4FD9"/>
    <w:rsid w:val="00AF6449"/>
    <w:rsid w:val="00AF6F0A"/>
    <w:rsid w:val="00AF725E"/>
    <w:rsid w:val="00AF79AE"/>
    <w:rsid w:val="00B00626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905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683D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9C5"/>
    <w:rsid w:val="00BA0D5B"/>
    <w:rsid w:val="00BA1F08"/>
    <w:rsid w:val="00BA26A7"/>
    <w:rsid w:val="00BA3417"/>
    <w:rsid w:val="00BA3485"/>
    <w:rsid w:val="00BA3654"/>
    <w:rsid w:val="00BA36D0"/>
    <w:rsid w:val="00BA5B95"/>
    <w:rsid w:val="00BA6441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165A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675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08DF"/>
    <w:rsid w:val="00C618B7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0655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44B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CD1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C1D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4A4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2F63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43F"/>
    <w:rsid w:val="00F05FCA"/>
    <w:rsid w:val="00F06423"/>
    <w:rsid w:val="00F07C4F"/>
    <w:rsid w:val="00F07C9C"/>
    <w:rsid w:val="00F10A79"/>
    <w:rsid w:val="00F10C0B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1F2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47B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06D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1F93"/>
    <w:rsid w:val="00F920BA"/>
    <w:rsid w:val="00F936DA"/>
    <w:rsid w:val="00F93DF0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10FE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C829A2"/>
  <w15:docId w15:val="{A6D0E76E-2981-431B-B30D-577A3A5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000"/>
            </a:pPr>
            <a:r>
              <a:rPr lang="ar-SA"/>
              <a:t>السنة</a:t>
            </a:r>
          </a:p>
        </c:rich>
      </c:tx>
      <c:layout>
        <c:manualLayout>
          <c:xMode val="edge"/>
          <c:yMode val="edge"/>
          <c:x val="0.46244609041238721"/>
          <c:y val="0.844277673545966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173E-2"/>
          <c:w val="0.78861686786142249"/>
          <c:h val="0.688820532947410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8277.364453675209</c:v>
                </c:pt>
                <c:pt idx="1">
                  <c:v>9310.4388999999901</c:v>
                </c:pt>
                <c:pt idx="2" formatCode="0.0">
                  <c:v>10298.138390541177</c:v>
                </c:pt>
                <c:pt idx="3" formatCode="0.0">
                  <c:v>8891.4</c:v>
                </c:pt>
                <c:pt idx="4" formatCode="0.0">
                  <c:v>9755.1</c:v>
                </c:pt>
                <c:pt idx="5" formatCode="0.0">
                  <c:v>10410.5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55-4AE2-814B-C1678BE72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79456"/>
        <c:axId val="104095744"/>
      </c:lineChart>
      <c:catAx>
        <c:axId val="7377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900" baseline="0"/>
            </a:pPr>
            <a:endParaRPr lang="ar-SA"/>
          </a:p>
        </c:txPr>
        <c:crossAx val="104095744"/>
        <c:crosses val="autoZero"/>
        <c:auto val="1"/>
        <c:lblAlgn val="ctr"/>
        <c:lblOffset val="100"/>
        <c:noMultiLvlLbl val="0"/>
      </c:catAx>
      <c:valAx>
        <c:axId val="104095744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US" sz="900"/>
                </a:pPr>
                <a:r>
                  <a:rPr lang="ar-SA" sz="900" b="1"/>
                  <a:t>بالمليون دولار أمريكي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en-US" sz="850"/>
            </a:pPr>
            <a:endParaRPr lang="ar-SA"/>
          </a:p>
        </c:txPr>
        <c:crossAx val="73779456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0300455864077"/>
          <c:y val="0.11784559005596001"/>
          <c:w val="0.61362446470506982"/>
          <c:h val="0.7039314613975139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1A3-4AD6-B8C9-F0D4D74BFDFD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1A3-4AD6-B8C9-F0D4D74BFDFD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1A3-4AD6-B8C9-F0D4D74BFDFD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1A3-4AD6-B8C9-F0D4D74BFDF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1A3-4AD6-B8C9-F0D4D74BFDFD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822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الصناعة
23.4%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A3-4AD6-B8C9-F0D4D74BFDFD}"/>
                </c:ext>
              </c:extLst>
            </c:dLbl>
            <c:dLbl>
              <c:idx val="1"/>
              <c:layout>
                <c:manualLayout>
                  <c:x val="3.07017543859648E-2"/>
                  <c:y val="0.1648598336972584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الإنشاءات
1.0%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3-4AD6-B8C9-F0D4D74BFDFD}"/>
                </c:ext>
              </c:extLst>
            </c:dLbl>
            <c:dLbl>
              <c:idx val="2"/>
              <c:layout>
                <c:manualLayout>
                  <c:x val="0.1751053322282082"/>
                  <c:y val="-1.5014029534842657E-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التجارة الداخلية
39.5%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3-4AD6-B8C9-F0D4D74BFDFD}"/>
                </c:ext>
              </c:extLst>
            </c:dLbl>
            <c:dLbl>
              <c:idx val="3"/>
              <c:layout>
                <c:manualLayout>
                  <c:x val="6.8608578532946538E-2"/>
                  <c:y val="6.863880476478898E-2"/>
                </c:manualLayout>
              </c:layout>
              <c:tx>
                <c:rich>
                  <a:bodyPr/>
                  <a:lstStyle/>
                  <a:p>
                    <a:r>
                      <a:rPr lang="ar-SA" baseline="0"/>
                      <a:t>النقل والتخزين
0.9%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592105263157895"/>
                      <c:h val="0.184956767196553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1A3-4AD6-B8C9-F0D4D74BFDFD}"/>
                </c:ext>
              </c:extLst>
            </c:dLbl>
            <c:dLbl>
              <c:idx val="4"/>
              <c:layout>
                <c:manualLayout>
                  <c:x val="-3.3206589307915438E-2"/>
                  <c:y val="-1.1047442599086979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المعلومات</a:t>
                    </a:r>
                    <a:r>
                      <a:rPr lang="ar-SA" baseline="0"/>
                      <a:t> والاتصالات
4.5%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3-4AD6-B8C9-F0D4D74BFDFD}"/>
                </c:ext>
              </c:extLst>
            </c:dLbl>
            <c:dLbl>
              <c:idx val="5"/>
              <c:layout>
                <c:manualLayout>
                  <c:x val="-0.13591794446746872"/>
                  <c:y val="-0.24955057540884318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المالية</a:t>
                    </a:r>
                    <a:r>
                      <a:rPr lang="ar-SA" baseline="0"/>
                      <a:t> والتأمين</a:t>
                    </a:r>
                    <a:r>
                      <a:rPr lang="ar-SA"/>
                      <a:t>
7.6%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A3-4AD6-B8C9-F0D4D74BFDFD}"/>
                </c:ext>
              </c:extLst>
            </c:dLbl>
            <c:dLbl>
              <c:idx val="6"/>
              <c:layout>
                <c:manualLayout>
                  <c:x val="-8.7719298245614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الخدمات</a:t>
                    </a:r>
                    <a:r>
                      <a:rPr lang="ar-SA" baseline="0"/>
                      <a:t>
23.1%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A3-4AD6-B8C9-F0D4D74BFDFD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880">
                    <a:latin typeface="Simplified Arabic" panose="02020603050405020304" pitchFamily="18" charset="-78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 الصناعة</c:v>
                </c:pt>
                <c:pt idx="1">
                  <c:v> الإنشاءات</c:v>
                </c:pt>
                <c:pt idx="2">
                  <c:v> التجارة الداخلية</c:v>
                </c:pt>
                <c:pt idx="3">
                  <c:v> النقل والتخزين</c:v>
                </c:pt>
                <c:pt idx="4">
                  <c:v>المالية والتأمين</c:v>
                </c:pt>
                <c:pt idx="5">
                  <c:v> المعلومات والاتصالات</c:v>
                </c:pt>
                <c:pt idx="6">
                  <c:v> الخدمات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2430379.5681250948</c:v>
                </c:pt>
                <c:pt idx="1">
                  <c:v>107185.25865114447</c:v>
                </c:pt>
                <c:pt idx="2">
                  <c:v>4116563.6976314751</c:v>
                </c:pt>
                <c:pt idx="3">
                  <c:v>94288.198651356739</c:v>
                </c:pt>
                <c:pt idx="4">
                  <c:v>790925.03597808199</c:v>
                </c:pt>
                <c:pt idx="5">
                  <c:v>464852.86097123451</c:v>
                </c:pt>
                <c:pt idx="6">
                  <c:v>2406351.8138481686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A3-4AD6-B8C9-F0D4D74BFDF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عمود1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ar-S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 الصناعة</c:v>
                </c:pt>
                <c:pt idx="1">
                  <c:v> الإنشاءات</c:v>
                </c:pt>
                <c:pt idx="2">
                  <c:v> التجارة الداخلية</c:v>
                </c:pt>
                <c:pt idx="3">
                  <c:v> النقل والتخزين</c:v>
                </c:pt>
                <c:pt idx="4">
                  <c:v>المالية والتأمين</c:v>
                </c:pt>
                <c:pt idx="5">
                  <c:v> المعلومات والاتصالات</c:v>
                </c:pt>
                <c:pt idx="6">
                  <c:v> الخدمات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E707-49BE-8146-368FC2EF260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6FC9-3CD3-4A16-A44F-11967827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3094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2023-10-29T07:33:00Z</cp:lastPrinted>
  <dcterms:created xsi:type="dcterms:W3CDTF">2023-10-29T07:34:00Z</dcterms:created>
  <dcterms:modified xsi:type="dcterms:W3CDTF">2023-10-29T07:39:00Z</dcterms:modified>
</cp:coreProperties>
</file>