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2FDB2" w14:textId="0BC1702A" w:rsidR="008B2E0F" w:rsidRPr="00CF08C7" w:rsidRDefault="008B2E0F" w:rsidP="00CF08C7">
      <w:pPr>
        <w:tabs>
          <w:tab w:val="left" w:pos="244"/>
          <w:tab w:val="center" w:pos="5102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6247A4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</w:t>
      </w:r>
      <w:r w:rsidR="00CF08C7" w:rsidRPr="00CF08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الفلسطيني</w:t>
      </w:r>
      <w:r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75501F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247A4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يستعرض</w:t>
      </w:r>
      <w:r w:rsidR="0075501F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247A4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أوضاع</w:t>
      </w:r>
      <w:r w:rsidR="0075501F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247A4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الشباب</w:t>
      </w:r>
      <w:r w:rsidR="0075501F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247A4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="0075501F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247A4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المجتمع</w:t>
      </w:r>
      <w:r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247A4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الفلسطيني</w:t>
      </w:r>
    </w:p>
    <w:p w14:paraId="0DBAF269" w14:textId="71AAE86C" w:rsidR="00605368" w:rsidRPr="00CF08C7" w:rsidRDefault="006247A4" w:rsidP="00CF08C7">
      <w:pPr>
        <w:tabs>
          <w:tab w:val="left" w:pos="244"/>
          <w:tab w:val="center" w:pos="5102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بمناسبة</w:t>
      </w:r>
      <w:r w:rsidR="0075501F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اليوم</w:t>
      </w:r>
      <w:r w:rsidR="0075501F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العالمي</w:t>
      </w:r>
      <w:r w:rsidR="0075501F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للشباب،</w:t>
      </w:r>
      <w:r w:rsidR="0075501F"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32"/>
          <w:szCs w:val="32"/>
          <w:rtl/>
        </w:rPr>
        <w:t>12/08/2025</w:t>
      </w:r>
    </w:p>
    <w:p w14:paraId="44A36AB3" w14:textId="77777777" w:rsidR="00570847" w:rsidRPr="00CF08C7" w:rsidRDefault="00570847" w:rsidP="00CF08C7">
      <w:pPr>
        <w:tabs>
          <w:tab w:val="left" w:pos="244"/>
          <w:tab w:val="center" w:pos="5102"/>
        </w:tabs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7F77134" w14:textId="77777777" w:rsidR="00570847" w:rsidRPr="00CF08C7" w:rsidRDefault="00570847" w:rsidP="00CF08C7">
      <w:pPr>
        <w:jc w:val="center"/>
        <w:rPr>
          <w:lang w:eastAsia="en-US"/>
        </w:rPr>
      </w:pPr>
      <w:r w:rsidRPr="00CF08C7">
        <w:rPr>
          <w:b/>
          <w:bCs/>
          <w:lang w:eastAsia="en-US"/>
        </w:rPr>
        <w:t>"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شباب فلسطين بين الأمل والصمود: تحديات غير مسبوقة في اليوم العالمي للشباب</w:t>
      </w:r>
      <w:r w:rsidRPr="00CF08C7">
        <w:rPr>
          <w:b/>
          <w:bCs/>
          <w:lang w:eastAsia="en-US"/>
        </w:rPr>
        <w:t>"</w:t>
      </w:r>
    </w:p>
    <w:p w14:paraId="0DA0951B" w14:textId="77777777" w:rsidR="00570847" w:rsidRPr="00CF08C7" w:rsidRDefault="00570847" w:rsidP="00CF08C7">
      <w:pPr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14:paraId="05B5CDD6" w14:textId="3BA95ECD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أقرت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الجمعية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العامة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للأمم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المتحدة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قرارها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رقم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54/120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ل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1999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إعلان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12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آب/أغسطس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يوماً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عالمياً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للشباب،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نظراً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لكونهم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شركاء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 xml:space="preserve">أساسيين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التغيير،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ولرفع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مستوى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الوعي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وتسليط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الضوء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التحديات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والمشكلات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تواجه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مختلف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أنحاء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العالم.</w:t>
      </w:r>
    </w:p>
    <w:p w14:paraId="7C26225C" w14:textId="77777777" w:rsidR="008E3516" w:rsidRPr="00CF08C7" w:rsidRDefault="008E3516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4743354A" w14:textId="5FE60957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يُحيي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العالم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يوم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العالمي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ل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2025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تحت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شعار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"إشراك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توطين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أهداف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التنمية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المستدامة"،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وذلك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تأكيد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دور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الحيوي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تحقيق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مستقبل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مزدهر،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و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مستدام،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وعادل.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لكن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الوقت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تحتفل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شعوب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العالم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بتمكين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وتوسيع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مشاركتهم،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يُواجه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الفلسطيني،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وبخاصة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واحدة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أعنف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وأطول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الأزمات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الإنسانية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العصر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الحديث.</w:t>
      </w:r>
    </w:p>
    <w:p w14:paraId="55FA15C8" w14:textId="55F46701" w:rsidR="00570847" w:rsidRPr="00CF08C7" w:rsidRDefault="00570847" w:rsidP="00CF08C7">
      <w:pPr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eastAsia="en-US"/>
        </w:rPr>
      </w:pPr>
    </w:p>
    <w:p w14:paraId="45F2D2B2" w14:textId="66081316" w:rsidR="003973E2" w:rsidRPr="00CF08C7" w:rsidRDefault="003973E2" w:rsidP="00CF08C7">
      <w:pPr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</w:pP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الشباب ركيزة المجتمع الفلسطيني ... رغم الاستهداف</w:t>
      </w:r>
    </w:p>
    <w:p w14:paraId="0F89CAD0" w14:textId="77777777" w:rsidR="003973E2" w:rsidRPr="00CF08C7" w:rsidRDefault="003973E2" w:rsidP="00CF08C7">
      <w:pPr>
        <w:keepNext/>
        <w:jc w:val="both"/>
        <w:outlineLvl w:val="3"/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</w:pP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يُشكّل الشباب الفلسطيني في الفئة العمرية (18–29 سنة) نحو 1.2 مليون شاب وشابة؛ أي ما نسبته 21% من إجمالي سكان فلسطين حتى منتصف العام 2025، بواقع 22% في الضفة الغربية و21% في قطاع غزة.  وتُظهر هذه النسب أن أكثر من خُمس المجتمع الفلسطيني يتكون من فئة الشباب، ما يجعلهم ركيزة أساسية لأي تنمية مستقبلية أو استجابة وطنية للأزمات.</w:t>
      </w:r>
    </w:p>
    <w:p w14:paraId="3436405D" w14:textId="77777777" w:rsidR="003973E2" w:rsidRPr="00CF08C7" w:rsidRDefault="003973E2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20500F79" w14:textId="22CEAD0B" w:rsidR="003973E2" w:rsidRPr="00CF08C7" w:rsidRDefault="003973E2" w:rsidP="00CF08C7">
      <w:pPr>
        <w:keepNext/>
        <w:jc w:val="both"/>
        <w:outlineLvl w:val="3"/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</w:pP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كما بلغت نسبة الجنس بين الشباب حوالي 104 ذكور مقابل كل 100 أنثى، ما يعكس توازناً نسبياً في التوزيع</w:t>
      </w:r>
      <w:r w:rsidR="00CF08C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en-US"/>
        </w:rPr>
        <w:t xml:space="preserve">               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بين الجنسين ضمن هذه الفئة.</w:t>
      </w:r>
    </w:p>
    <w:p w14:paraId="3A6E46B6" w14:textId="77777777" w:rsidR="003973E2" w:rsidRPr="00CF08C7" w:rsidRDefault="003973E2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339B7EF9" w14:textId="11BD1D90" w:rsidR="003973E2" w:rsidRPr="00CF08C7" w:rsidRDefault="003973E2" w:rsidP="00CF08C7">
      <w:pPr>
        <w:keepNext/>
        <w:jc w:val="both"/>
        <w:outlineLvl w:val="3"/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</w:pP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لكن على الرغم من الثقل العددي والديموغرافي الذي يمثله الشباب، فإنهم الأكثر تضرراً في سياق العدوان </w:t>
      </w:r>
      <w:proofErr w:type="gramStart"/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الإسرائيلي،</w:t>
      </w:r>
      <w:r w:rsidR="00CF08C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سواء</w:t>
      </w:r>
      <w:proofErr w:type="gramEnd"/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عبر الاستهداف المباشر أو عبر تداعيات العدوان على فرصهم في التعليم، والعمل، والتنمية.</w:t>
      </w:r>
    </w:p>
    <w:p w14:paraId="6F62DB8A" w14:textId="77777777" w:rsidR="003973E2" w:rsidRPr="00CF08C7" w:rsidRDefault="003973E2" w:rsidP="00CF08C7">
      <w:pPr>
        <w:keepNext/>
        <w:outlineLvl w:val="3"/>
        <w:rPr>
          <w:rFonts w:ascii="Simplified Arabic" w:hAnsi="Simplified Arabic" w:cs="Simplified Arabic"/>
          <w:snapToGrid w:val="0"/>
          <w:sz w:val="10"/>
          <w:szCs w:val="10"/>
          <w:rtl/>
          <w:lang w:eastAsia="en-US"/>
        </w:rPr>
      </w:pPr>
    </w:p>
    <w:p w14:paraId="2F8FD208" w14:textId="34B5BE7A" w:rsidR="003973E2" w:rsidRPr="00CF08C7" w:rsidRDefault="003973E2" w:rsidP="00CF08C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التوزيع النسبي للسكان في فلسطين منتصف </w:t>
      </w:r>
      <w:r w:rsidRPr="00CF08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2025</w:t>
      </w:r>
    </w:p>
    <w:p w14:paraId="3B794151" w14:textId="77777777" w:rsidR="003973E2" w:rsidRPr="00CF08C7" w:rsidRDefault="003973E2" w:rsidP="00CF08C7">
      <w:pPr>
        <w:jc w:val="center"/>
        <w:rPr>
          <w:rFonts w:ascii="Simplified Arabic" w:hAnsi="Simplified Arabic" w:cs="Simplified Arabic"/>
          <w:b/>
          <w:bCs/>
          <w:rtl/>
        </w:rPr>
      </w:pPr>
      <w:r w:rsidRPr="00CF08C7">
        <w:rPr>
          <w:rFonts w:ascii="Simplified Arabic" w:hAnsi="Simplified Arabic" w:cs="Simplified Arabic"/>
          <w:noProof/>
          <w:lang w:eastAsia="en-US"/>
        </w:rPr>
        <w:drawing>
          <wp:inline distT="0" distB="0" distL="0" distR="0" wp14:anchorId="5DFB5F1C" wp14:editId="5271DFB6">
            <wp:extent cx="5695950" cy="179070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4907AC" w14:textId="77777777" w:rsidR="00607902" w:rsidRPr="00CF08C7" w:rsidRDefault="00607902" w:rsidP="00CF08C7">
      <w:pPr>
        <w:rPr>
          <w:b/>
          <w:bCs/>
          <w:lang w:eastAsia="en-US"/>
        </w:rPr>
      </w:pPr>
    </w:p>
    <w:p w14:paraId="3BE33AFE" w14:textId="4D1D9695" w:rsidR="00607902" w:rsidRDefault="00607902" w:rsidP="00CF08C7">
      <w:pPr>
        <w:rPr>
          <w:b/>
          <w:bCs/>
          <w:rtl/>
          <w:lang w:eastAsia="en-US"/>
        </w:rPr>
      </w:pPr>
    </w:p>
    <w:p w14:paraId="0326A2E8" w14:textId="5BA8D820" w:rsidR="00CF08C7" w:rsidRDefault="00CF08C7" w:rsidP="00CF08C7">
      <w:pPr>
        <w:rPr>
          <w:b/>
          <w:bCs/>
          <w:rtl/>
          <w:lang w:eastAsia="en-US"/>
        </w:rPr>
      </w:pPr>
    </w:p>
    <w:p w14:paraId="1982242E" w14:textId="6B68D32C" w:rsidR="00CF08C7" w:rsidRPr="00CF08C7" w:rsidRDefault="00CF08C7" w:rsidP="00CF08C7">
      <w:pPr>
        <w:rPr>
          <w:b/>
          <w:bCs/>
          <w:lang w:eastAsia="en-US"/>
        </w:rPr>
      </w:pPr>
    </w:p>
    <w:p w14:paraId="4CE0F884" w14:textId="6837B337" w:rsidR="00570847" w:rsidRPr="00CF08C7" w:rsidRDefault="00570847" w:rsidP="00CF08C7">
      <w:pPr>
        <w:rPr>
          <w:rFonts w:ascii="Simplified Arabic" w:hAnsi="Simplified Arabic" w:cs="Simplified Arabic"/>
          <w:sz w:val="28"/>
          <w:szCs w:val="28"/>
          <w:lang w:eastAsia="en-US"/>
        </w:rPr>
      </w:pP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lastRenderedPageBreak/>
        <w:t>حرب إبادة في غزة… خسائر بشرية ونزوح كارثي</w:t>
      </w:r>
    </w:p>
    <w:p w14:paraId="25CA45FC" w14:textId="1D73EB28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فمنذ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السابع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تشرين الأول/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أكتوبر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ل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2023،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تمارس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قوات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حرب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إبادة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ضد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الشعب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رافقها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ارتكاب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مجازر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ودمار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للمباني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والمنشآت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والبنية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التحتية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القطاع،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ظل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انعدام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الخدمات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الصحية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والغذائية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الأساسية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راح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ضحيتها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حتى اليوم،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C6A49" w:rsidRPr="00CF08C7">
        <w:rPr>
          <w:rFonts w:ascii="Simplified Arabic" w:hAnsi="Simplified Arabic" w:cs="Simplified Arabic"/>
          <w:sz w:val="26"/>
          <w:szCs w:val="26"/>
          <w:rtl/>
        </w:rPr>
        <w:t>61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ألف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شهيد،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كما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نزح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نحو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مليون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َيْ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فلسطيني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بيوتهم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أصل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نحو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2.2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مليون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فلسطيني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كانوا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يقيمون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عشية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الإسرائيلي.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الأضرار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الطويلة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الأمد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الناتجة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هذا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العدوان،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ستخلف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آثاراً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اقتصادية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وديم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و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غرافية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واجتماعية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ونفسية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سلبية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وعميقة،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ستطال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معظم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فئات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الشعب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القطاع،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والتوقعات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تشير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أنها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ستستمر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لفترات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زمنية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طويلة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بعد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انتهاء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العدوان.</w:t>
      </w:r>
    </w:p>
    <w:p w14:paraId="7D9A669E" w14:textId="35DA4582" w:rsidR="00957317" w:rsidRPr="00CF08C7" w:rsidRDefault="00957317" w:rsidP="00CF08C7">
      <w:pPr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14:paraId="79F5AFFF" w14:textId="7B7CCB91" w:rsidR="00605368" w:rsidRPr="00CF08C7" w:rsidRDefault="006247A4" w:rsidP="00CF08C7">
      <w:pPr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انخفاض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غير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مسبوق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في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عدد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السكان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والشباب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بقطاع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غزة</w:t>
      </w:r>
    </w:p>
    <w:p w14:paraId="616DD321" w14:textId="56014CE9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ظل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المستمر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منذ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7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تشرين الأول/أكتوبر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2023،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شهد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تراجع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مسبوق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عدد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السكان،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أعداد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الشهداء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والمفقودين،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ومغادرة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الآلاف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السكان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خارج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القطاع،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جانب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الانخفاض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الحاد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معدلات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المواليد.</w:t>
      </w:r>
    </w:p>
    <w:p w14:paraId="4D497ED1" w14:textId="77777777" w:rsidR="00605368" w:rsidRPr="00CF08C7" w:rsidRDefault="00605368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1792EC00" w14:textId="0A03BF47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وبحسب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التقديرات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السكانية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الحديثة،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عدد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سكان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نحو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2,129,724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نسمة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ل</w:t>
      </w:r>
      <w:r w:rsidR="00155F4C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ل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2024</w:t>
      </w:r>
      <w:r w:rsidR="00155F4C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بتراجع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نسب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ته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6%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بالتقديرات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السكانية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لمنتصف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ال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2024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وانخفض</w:t>
      </w:r>
      <w:r w:rsidR="0075501F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إلى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2,114,301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نسمة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منتصف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ال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2025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بانخفاض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نسبته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10%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بالتقديرات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المعدة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سابقا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قبل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لمنتصف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ال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2025.</w:t>
      </w:r>
    </w:p>
    <w:p w14:paraId="7A7467D4" w14:textId="77777777" w:rsidR="00605368" w:rsidRPr="00CF08C7" w:rsidRDefault="00605368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5EC03A2F" w14:textId="14180BC3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وتظهر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البيانات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الحديثة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أيض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عدد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(الفئة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العمرية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18–29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عام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)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تُقدّر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gramStart"/>
      <w:r w:rsidRPr="00CF08C7">
        <w:rPr>
          <w:rFonts w:ascii="Simplified Arabic" w:hAnsi="Simplified Arabic" w:cs="Simplified Arabic"/>
          <w:sz w:val="26"/>
          <w:szCs w:val="26"/>
          <w:rtl/>
        </w:rPr>
        <w:t>بـ</w:t>
      </w:r>
      <w:r w:rsidRPr="00CF08C7">
        <w:rPr>
          <w:rFonts w:ascii="Simplified Arabic" w:hAnsi="Simplified Arabic" w:cs="Simplified Arabic"/>
          <w:sz w:val="26"/>
          <w:szCs w:val="26"/>
        </w:rPr>
        <w:t>10</w:t>
      </w:r>
      <w:proofErr w:type="gramEnd"/>
      <w:r w:rsidRPr="00CF08C7">
        <w:rPr>
          <w:rFonts w:ascii="Simplified Arabic" w:hAnsi="Simplified Arabic" w:cs="Simplified Arabic"/>
          <w:sz w:val="26"/>
          <w:szCs w:val="26"/>
          <w:rtl/>
        </w:rPr>
        <w:t>%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التقديرات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السكانية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2025،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وذلك</w:t>
      </w:r>
      <w:r w:rsidR="0075501F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للاستهداف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المباشر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والممنهج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لهذه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الفئة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قبل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قوات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الاحتلال،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ينذر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بتحولات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ديموغرافية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خطيرة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المجتمع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الفلسطيني.</w:t>
      </w:r>
    </w:p>
    <w:p w14:paraId="1A64E519" w14:textId="77777777" w:rsidR="008E3516" w:rsidRPr="00CF08C7" w:rsidRDefault="008E3516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20EB7C26" w14:textId="7F9F08DD" w:rsidR="00605368" w:rsidRPr="00CF08C7" w:rsidRDefault="006247A4" w:rsidP="00CF08C7">
      <w:pPr>
        <w:keepNext/>
        <w:outlineLvl w:val="3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الشباب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الفلسطيني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يدفع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الثمن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الأكبر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في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عدوان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لا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يرحم</w:t>
      </w:r>
    </w:p>
    <w:p w14:paraId="050690FB" w14:textId="20BC81F4" w:rsidR="00605368" w:rsidRPr="00CF08C7" w:rsidRDefault="006247A4" w:rsidP="00CF08C7">
      <w:pPr>
        <w:keepNext/>
        <w:jc w:val="both"/>
        <w:outlineLvl w:val="3"/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</w:pP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ظل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العدوان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الإسرائيلي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المتواصل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على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قطاع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غزة،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تتوالى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الأرقام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الصادمة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التي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تُجسّد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حجم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الكارثة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الإنسانية،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="00155F4C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وب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خاصة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بين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الفئات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الشابة.</w:t>
      </w:r>
      <w:r w:rsidR="00155F4C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فمنذ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بدء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العدوان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7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تشرين الأول/أكتوبر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2023،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استشهد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أكثر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="002C6A49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61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ألف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فلسطيني،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ما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يعادل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2.7%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إجمالي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سكان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القطاع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عشية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العدوان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على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القطاع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="00155F4C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ال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عام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2023،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فبلغت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نسبة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فئة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الشباب</w:t>
      </w:r>
      <w:r w:rsidR="00155F4C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من إجمالي الشهداء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نحو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24%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(26%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الذكور،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و22%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الإناث).</w:t>
      </w:r>
    </w:p>
    <w:p w14:paraId="67F4921F" w14:textId="77777777" w:rsidR="00605368" w:rsidRPr="00CF08C7" w:rsidRDefault="00605368" w:rsidP="00CF08C7">
      <w:pPr>
        <w:keepNext/>
        <w:outlineLvl w:val="3"/>
        <w:rPr>
          <w:rFonts w:ascii="Simplified Arabic" w:hAnsi="Simplified Arabic" w:cs="Simplified Arabic"/>
          <w:snapToGrid w:val="0"/>
          <w:sz w:val="10"/>
          <w:szCs w:val="10"/>
          <w:rtl/>
          <w:lang w:eastAsia="en-US"/>
        </w:rPr>
      </w:pPr>
    </w:p>
    <w:p w14:paraId="2C969E28" w14:textId="27BC6BFD" w:rsidR="00605368" w:rsidRPr="00CF08C7" w:rsidRDefault="006247A4" w:rsidP="00CF08C7">
      <w:pPr>
        <w:keepNext/>
        <w:jc w:val="both"/>
        <w:outlineLvl w:val="3"/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</w:pP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كما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غادر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القطاع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نحو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100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ألف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فلسطيني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منذ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بداية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العدوان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الإسرائيلي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الغاشم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والمتواصل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منذ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السابع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تشرين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الأول/أكتوبر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2023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هرب</w:t>
      </w:r>
      <w:r w:rsidR="008B2E0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اً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الموت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والدمار،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وقتٍ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="00155F4C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لا يزال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يعيش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فيه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2.1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مليون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إنسان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تحت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وطأة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مجاعة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كارثية،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تُعد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الأسوأ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تاريخ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المنطقة.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="00155F4C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وتشير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البيانات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إلى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133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فلسطيني</w:t>
      </w:r>
      <w:r w:rsidR="008B2E0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اً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قضوا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بسبب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الجوع،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بينهم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87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طفل</w:t>
      </w:r>
      <w:r w:rsidR="008B2E0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اً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ظل</w:t>
      </w:r>
      <w:r w:rsidR="00CF08C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انعدام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الغذاء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والمياه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وانهيار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القطاع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الصحي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بالكامل.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موازاة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ذلك،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ارتفع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عدد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الجرحى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إلى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أكثر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145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ألف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جريح،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70%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منهم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النساء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والأطفال،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إضافة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إلى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حوالي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11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ألف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مفقود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لا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يزال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مصيرهم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مجهول</w:t>
      </w:r>
      <w:r w:rsidR="008B2E0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اً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.</w:t>
      </w:r>
    </w:p>
    <w:p w14:paraId="293E37C7" w14:textId="77777777" w:rsidR="00605368" w:rsidRPr="00CF08C7" w:rsidRDefault="00605368" w:rsidP="00CF08C7">
      <w:pPr>
        <w:keepNext/>
        <w:outlineLvl w:val="3"/>
        <w:rPr>
          <w:rFonts w:ascii="Simplified Arabic" w:hAnsi="Simplified Arabic" w:cs="Simplified Arabic"/>
          <w:snapToGrid w:val="0"/>
          <w:sz w:val="16"/>
          <w:szCs w:val="16"/>
          <w:rtl/>
          <w:lang w:eastAsia="en-US"/>
        </w:rPr>
      </w:pPr>
    </w:p>
    <w:p w14:paraId="52EE9F90" w14:textId="509E031E" w:rsidR="00605368" w:rsidRPr="00CF08C7" w:rsidRDefault="006247A4" w:rsidP="00CF08C7">
      <w:pPr>
        <w:keepNext/>
        <w:jc w:val="both"/>
        <w:outlineLvl w:val="3"/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</w:pP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وفي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الضفة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الغربية،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لم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يكن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المشهد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أقل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ألم</w:t>
      </w:r>
      <w:r w:rsidR="008B2E0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اً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؛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فقد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بلغ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عدد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الشهداء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منذ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السابع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تشرين الأول/أكتوبر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2023</w:t>
      </w:r>
      <w:r w:rsidR="00155F4C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>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 w:bidi="ar-JO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1,</w:t>
      </w:r>
      <w:r w:rsidR="008B4954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030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شهيد</w:t>
      </w:r>
      <w:r w:rsidR="008B2E0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اً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75%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منهم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دون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سن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30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عام</w:t>
      </w:r>
      <w:r w:rsidR="008B2E0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اً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ما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يؤكد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أن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الشباب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الفلسطيني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يُستهدف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بشكل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مباشر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في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الجغرافيا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الفلسطينية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كافة،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ضمن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سياسات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تدمير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proofErr w:type="spellStart"/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ممنهجة</w:t>
      </w:r>
      <w:proofErr w:type="spellEnd"/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للبنية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السكانية</w:t>
      </w:r>
      <w:r w:rsidR="0075501F"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snapToGrid w:val="0"/>
          <w:sz w:val="26"/>
          <w:szCs w:val="26"/>
          <w:rtl/>
          <w:lang w:eastAsia="en-US"/>
        </w:rPr>
        <w:t>المستقبلية.</w:t>
      </w:r>
    </w:p>
    <w:p w14:paraId="41B0DE5C" w14:textId="523A335D" w:rsidR="00570847" w:rsidRPr="00CF08C7" w:rsidRDefault="00570847" w:rsidP="00CF08C7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438737C0" w14:textId="77777777" w:rsidR="00CF08C7" w:rsidRDefault="00CF08C7" w:rsidP="00CF08C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0B85F67" w14:textId="5CD3C707" w:rsidR="00605368" w:rsidRPr="00CF08C7" w:rsidRDefault="006247A4" w:rsidP="00CF08C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العدوان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الإسرائيلي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يهدد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مستقبل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التركيبة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السكانية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قطاع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غزة</w:t>
      </w:r>
    </w:p>
    <w:p w14:paraId="6C30EFD8" w14:textId="4AE16CB2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أدى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المستمر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تحولات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ديموغرافية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خطيرة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أبرزها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التأثير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المباشر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التركيب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العمري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للسكان،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وب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خاصة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الفئات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الشابة،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بفعل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الانخفاض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الكبير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معدلات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الإنجاب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والولادات.</w:t>
      </w:r>
    </w:p>
    <w:p w14:paraId="21C5CCBD" w14:textId="77777777" w:rsidR="008E3516" w:rsidRPr="00CF08C7" w:rsidRDefault="008E3516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1ADBE094" w14:textId="6A2C4B4B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وترتبط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هذه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التحولات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بعوامل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متداخلة،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منها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تراجع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حالات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الزواج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الجديدة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مستويات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متدنية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للغاية،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وتردد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الأزواج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الإنجاب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نظر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للأوضاع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الكارثية،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وخوف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صحة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الأمهات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والأطفال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ظل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الانهيار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الكامل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للنظام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الصحي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والخدمات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الأساسية.</w:t>
      </w:r>
    </w:p>
    <w:p w14:paraId="00434CDC" w14:textId="77777777" w:rsidR="00605368" w:rsidRPr="00CF08C7" w:rsidRDefault="00605368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30E84527" w14:textId="1C3CACA0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السياق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ذاته،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يتوقع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يتشوه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شكل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الهرم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السكاني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الاستهداف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الممنهج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للأطفال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والشباب،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سيؤثر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قاعدته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العمرية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مباشر.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كما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المنتظر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يمتد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هذا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التأثير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لسنوات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قادمة،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بفعل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تناقص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عدد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المواليد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المرتقبين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  <w:lang w:bidi="ar-JO"/>
        </w:rPr>
        <w:t>استشهاد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أو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تهجير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فئة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القادرة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الإنجاب.</w:t>
      </w:r>
    </w:p>
    <w:p w14:paraId="33E2327C" w14:textId="77777777" w:rsidR="00155F4C" w:rsidRPr="00CF08C7" w:rsidRDefault="00155F4C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0FC48FA1" w14:textId="15F6E61B" w:rsidR="00605368" w:rsidRPr="00CF08C7" w:rsidRDefault="006247A4" w:rsidP="00CF08C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الطلبة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الفلسطينيون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قلب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الاستهداف: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آلاف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الشهداء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والجرحى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بفعل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العدوان</w:t>
      </w:r>
    </w:p>
    <w:p w14:paraId="02C6D1AF" w14:textId="4E13A523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منذ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بدء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7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تشرين الأول/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أكتوبر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2023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وحتى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8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5F4C" w:rsidRPr="00CF08C7">
        <w:rPr>
          <w:rFonts w:ascii="Simplified Arabic" w:hAnsi="Simplified Arabic" w:cs="Simplified Arabic"/>
          <w:sz w:val="26"/>
          <w:szCs w:val="26"/>
          <w:rtl/>
        </w:rPr>
        <w:t>تموز/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يوليو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2025،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استشهد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17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ألف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طالب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وطالبة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المدارس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والجامعات،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واحدة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أكبر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الكوارث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التعليمية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التاريخ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الحديث.</w:t>
      </w:r>
    </w:p>
    <w:p w14:paraId="2066D0E9" w14:textId="77777777" w:rsidR="00605368" w:rsidRPr="00CF08C7" w:rsidRDefault="00605368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2369462D" w14:textId="40517688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فقد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بلغ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عدد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الشهداء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طلبة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المدارس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16,124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شهيد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وشهيدة،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16,019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و105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الغربية.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كما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بلغ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عدد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الجرحى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الطلبة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الملتحقين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المدارس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24,614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جريح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وجريحة،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23,913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و701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الغربية.</w:t>
      </w:r>
    </w:p>
    <w:p w14:paraId="18B5FA6D" w14:textId="77777777" w:rsidR="00605368" w:rsidRPr="00CF08C7" w:rsidRDefault="00605368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1854E56B" w14:textId="0FC27CCF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أما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مؤسسات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التعليم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العالي،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فقد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استشهد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1,191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طالب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وطالبة،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بينهم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1,156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و35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الغربية،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جرح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2,577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طالب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وطالبة،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بينهم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2,351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و226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الغربية.</w:t>
      </w:r>
    </w:p>
    <w:p w14:paraId="0BF1E7BB" w14:textId="77777777" w:rsidR="00605368" w:rsidRPr="00CF08C7" w:rsidRDefault="00605368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5A53AAB4" w14:textId="31CBF9DD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وفي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سياق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الاستهداف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المنهجي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التعليمي،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اعتقال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367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طالب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المدارس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و401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طالب</w:t>
      </w:r>
      <w:r w:rsidR="008B2E0F" w:rsidRPr="00CF08C7">
        <w:rPr>
          <w:rFonts w:ascii="Simplified Arabic" w:hAnsi="Simplified Arabic" w:cs="Simplified Arabic"/>
          <w:sz w:val="26"/>
          <w:szCs w:val="26"/>
          <w:rtl/>
        </w:rPr>
        <w:t>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وطالبة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الجامعات،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جميعهم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الغربية،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يعكس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حجم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القمع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يطال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الطلبة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مختلف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المراحل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التعليمية.</w:t>
      </w:r>
    </w:p>
    <w:p w14:paraId="56C896F4" w14:textId="77777777" w:rsidR="00605368" w:rsidRPr="00CF08C7" w:rsidRDefault="00605368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6853E721" w14:textId="70918F16" w:rsidR="00605368" w:rsidRPr="00CF08C7" w:rsidRDefault="006247A4" w:rsidP="00CF08C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تؤكد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هذه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الأرقام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المنظومة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التعليمية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الفلسطينية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باتت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قلب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الاستهداف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العسكري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الإسرائيلي،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محاولة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لتدمير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مستقبل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الأجيال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القادمة،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وحرمانهم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أبسط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حقوقهم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التعليم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والأمان.</w:t>
      </w:r>
    </w:p>
    <w:p w14:paraId="690712B6" w14:textId="0CC7B5BA" w:rsidR="00CF08C7" w:rsidRPr="00CF08C7" w:rsidRDefault="00CF08C7" w:rsidP="00CF08C7">
      <w:pPr>
        <w:rPr>
          <w:rFonts w:ascii="Simplified Arabic" w:hAnsi="Simplified Arabic" w:cs="Simplified Arabic"/>
          <w:sz w:val="16"/>
          <w:szCs w:val="16"/>
          <w:rtl/>
        </w:rPr>
      </w:pPr>
    </w:p>
    <w:p w14:paraId="4C2A726A" w14:textId="40B362C9" w:rsidR="00605368" w:rsidRPr="00CF08C7" w:rsidRDefault="006247A4" w:rsidP="00CF08C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88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ألف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طالب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وطالبة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قطاع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غزة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حرموا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حقهم</w:t>
      </w:r>
      <w:r w:rsidR="0075501F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E3516"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التعليم </w:t>
      </w:r>
      <w:r w:rsidRPr="00CF08C7">
        <w:rPr>
          <w:rFonts w:ascii="Simplified Arabic" w:hAnsi="Simplified Arabic" w:cs="Simplified Arabic"/>
          <w:b/>
          <w:bCs/>
          <w:sz w:val="28"/>
          <w:szCs w:val="28"/>
          <w:rtl/>
        </w:rPr>
        <w:t>الجامعي</w:t>
      </w:r>
    </w:p>
    <w:p w14:paraId="13743A6E" w14:textId="3AEC5E74" w:rsidR="00605368" w:rsidRPr="00CF08C7" w:rsidRDefault="006247A4" w:rsidP="00CF08C7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كرد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فعل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طبيعي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للقصف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المستمر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بالغارات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العنيفة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وحصيلة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الشهداء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 xml:space="preserve">المرتفعة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الطلبة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والعاملين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وتدمير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البنية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التحتية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لعدد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بأس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الجامعات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فقد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تعطيل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جميع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مؤسسات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التعليم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العالي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منذ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بدء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وحرمان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88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ألف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طالب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وطالبة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الذهاب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جامعاتهم،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حرم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39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ألف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طالب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وطالبة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حقهم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تقديم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امتحان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شهادة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الثانوية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العامة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لعامين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متتاليين.</w:t>
      </w:r>
    </w:p>
    <w:p w14:paraId="6CF25358" w14:textId="77777777" w:rsidR="00605368" w:rsidRPr="00CF08C7" w:rsidRDefault="00605368" w:rsidP="00CF08C7">
      <w:pPr>
        <w:rPr>
          <w:rFonts w:ascii="Simplified Arabic" w:hAnsi="Simplified Arabic" w:cs="Simplified Arabic"/>
          <w:b/>
          <w:bCs/>
          <w:snapToGrid w:val="0"/>
          <w:sz w:val="16"/>
          <w:szCs w:val="16"/>
          <w:lang w:eastAsia="en-US"/>
        </w:rPr>
      </w:pPr>
    </w:p>
    <w:p w14:paraId="72084293" w14:textId="77777777" w:rsidR="00CF08C7" w:rsidRDefault="00CF08C7" w:rsidP="00CF08C7">
      <w:pPr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</w:pPr>
    </w:p>
    <w:p w14:paraId="224259C5" w14:textId="77777777" w:rsidR="00CF08C7" w:rsidRDefault="00CF08C7" w:rsidP="00CF08C7">
      <w:pPr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</w:pPr>
    </w:p>
    <w:p w14:paraId="27743874" w14:textId="1B082363" w:rsidR="00605368" w:rsidRPr="00CF08C7" w:rsidRDefault="006247A4" w:rsidP="00CF08C7">
      <w:pPr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</w:pP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مستوى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تعليمي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مرتفع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يقابله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بطالة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خانقة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بين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الشباب</w:t>
      </w:r>
      <w:r w:rsidR="0075501F"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 xml:space="preserve"> </w:t>
      </w:r>
      <w:r w:rsidRPr="00CF08C7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eastAsia="en-US"/>
        </w:rPr>
        <w:t>الفلسطيني</w:t>
      </w:r>
    </w:p>
    <w:p w14:paraId="30A679C2" w14:textId="0393F3D4" w:rsidR="00605368" w:rsidRPr="00CF08C7" w:rsidRDefault="008E3516" w:rsidP="00CF08C7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على ال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رغم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 xml:space="preserve">من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أن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التعليم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يُعدّ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الاستثمار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الأهم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للفلسطينيين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المستويين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الفردي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والمجتمعي،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إن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العائد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هذا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الاستثمار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يواجه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تحديات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صارخة،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أبرزها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تفشي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البطالة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بين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فئة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47A4" w:rsidRPr="00CF08C7">
        <w:rPr>
          <w:rFonts w:ascii="Simplified Arabic" w:hAnsi="Simplified Arabic" w:cs="Simplified Arabic"/>
          <w:sz w:val="26"/>
          <w:szCs w:val="26"/>
          <w:rtl/>
        </w:rPr>
        <w:t>الشباب.</w:t>
      </w:r>
    </w:p>
    <w:p w14:paraId="7D99C31E" w14:textId="77777777" w:rsidR="00605368" w:rsidRPr="00CF08C7" w:rsidRDefault="00605368" w:rsidP="00CF08C7">
      <w:pPr>
        <w:pStyle w:val="NoSpacing"/>
        <w:rPr>
          <w:rFonts w:ascii="Simplified Arabic" w:hAnsi="Simplified Arabic" w:cs="Simplified Arabic"/>
          <w:sz w:val="16"/>
          <w:szCs w:val="16"/>
          <w:rtl/>
        </w:rPr>
      </w:pPr>
    </w:p>
    <w:p w14:paraId="0EDF4638" w14:textId="25D3A123" w:rsidR="00605368" w:rsidRPr="00CF08C7" w:rsidRDefault="006247A4" w:rsidP="00CF08C7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تشير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بيانات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2024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كل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100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شاب/شابة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الفئة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العمرية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18–29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سنة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الغربية،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هناك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19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حاصل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ون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شهادة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بكالوريوس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أو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أعلى.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وتُظهر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الأرقام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الشابات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تحصيلاً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علمياً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إذ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25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شابة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كل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100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يحملن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شهادة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بكالوريوس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فأعلى،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مقابل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14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شاباً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فقط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الذكور.</w:t>
      </w:r>
    </w:p>
    <w:p w14:paraId="2695909C" w14:textId="77777777" w:rsidR="00605368" w:rsidRPr="00CF08C7" w:rsidRDefault="00605368" w:rsidP="00CF08C7">
      <w:pPr>
        <w:pStyle w:val="NoSpacing"/>
        <w:rPr>
          <w:rFonts w:ascii="Simplified Arabic" w:hAnsi="Simplified Arabic" w:cs="Simplified Arabic"/>
          <w:sz w:val="16"/>
          <w:szCs w:val="16"/>
          <w:rtl/>
        </w:rPr>
      </w:pPr>
    </w:p>
    <w:p w14:paraId="52D98856" w14:textId="42D9928F" w:rsidR="00605368" w:rsidRPr="00CF08C7" w:rsidRDefault="006247A4" w:rsidP="00CF08C7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لكن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المقابل،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تُشكل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البطالة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العائق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الأكبر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أمام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هؤلاء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الشباب.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فقد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بلغت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معدلات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البطالة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ال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2024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نحو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49%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الإناث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و38%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الذكور.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وسُجّلت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أعلى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معدلات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البطالة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الخريجين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حملة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الدبلوم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المتوسط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فأعلى،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حيث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وصلت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42%،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تباين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لافت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بين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الجنسين: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27%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للذكور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مقابل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55%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للإناث.</w:t>
      </w:r>
    </w:p>
    <w:p w14:paraId="7E503902" w14:textId="77777777" w:rsidR="00605368" w:rsidRPr="00CF08C7" w:rsidRDefault="00605368" w:rsidP="00CF08C7">
      <w:pPr>
        <w:pStyle w:val="NoSpacing"/>
        <w:rPr>
          <w:rFonts w:ascii="Simplified Arabic" w:hAnsi="Simplified Arabic" w:cs="Simplified Arabic"/>
          <w:sz w:val="16"/>
          <w:szCs w:val="16"/>
          <w:rtl/>
        </w:rPr>
      </w:pPr>
    </w:p>
    <w:p w14:paraId="66A805E6" w14:textId="160643BE" w:rsidR="00605368" w:rsidRPr="00CF08C7" w:rsidRDefault="006247A4" w:rsidP="00CF08C7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08C7">
        <w:rPr>
          <w:rFonts w:ascii="Simplified Arabic" w:hAnsi="Simplified Arabic" w:cs="Simplified Arabic"/>
          <w:sz w:val="26"/>
          <w:szCs w:val="26"/>
          <w:rtl/>
        </w:rPr>
        <w:t>أما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فإن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الأزمة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تبدو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حدة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فوفقاً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لمسح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القوى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العاملة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للربع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E3516" w:rsidRPr="00CF08C7">
        <w:rPr>
          <w:rFonts w:ascii="Simplified Arabic" w:hAnsi="Simplified Arabic" w:cs="Simplified Arabic"/>
          <w:sz w:val="26"/>
          <w:szCs w:val="26"/>
          <w:rtl/>
        </w:rPr>
        <w:t>ال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عام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2024،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بلغ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معدل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البطالة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نحو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69%،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فيما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سجل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الشباب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عمر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15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29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عاماً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معدلات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بطالة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كارثية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وصلت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إلى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80%،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في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ظل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الحصار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والعدوان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المتواصل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وتدمير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البنية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الاقتصادية</w:t>
      </w:r>
      <w:r w:rsidR="0075501F" w:rsidRPr="00CF08C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08C7">
        <w:rPr>
          <w:rFonts w:ascii="Simplified Arabic" w:hAnsi="Simplified Arabic" w:cs="Simplified Arabic"/>
          <w:sz w:val="26"/>
          <w:szCs w:val="26"/>
          <w:rtl/>
        </w:rPr>
        <w:t>للقطاع.</w:t>
      </w:r>
    </w:p>
    <w:p w14:paraId="2CD5BB70" w14:textId="2612793C" w:rsidR="00605368" w:rsidRDefault="00605368" w:rsidP="00CF08C7">
      <w:pPr>
        <w:rPr>
          <w:rFonts w:ascii="Simplified Arabic" w:hAnsi="Simplified Arabic" w:cs="Simplified Arabic"/>
          <w:sz w:val="22"/>
          <w:szCs w:val="22"/>
          <w:rtl/>
        </w:rPr>
      </w:pPr>
    </w:p>
    <w:p w14:paraId="2DC1C478" w14:textId="77777777" w:rsidR="007356E2" w:rsidRDefault="007356E2" w:rsidP="00CF08C7">
      <w:pPr>
        <w:rPr>
          <w:rFonts w:ascii="Simplified Arabic" w:hAnsi="Simplified Arabic" w:cs="Simplified Arabic"/>
          <w:sz w:val="22"/>
          <w:szCs w:val="22"/>
          <w:rtl/>
        </w:rPr>
      </w:pPr>
    </w:p>
    <w:p w14:paraId="4453602C" w14:textId="77777777" w:rsidR="007356E2" w:rsidRPr="00CF08C7" w:rsidRDefault="007356E2" w:rsidP="00CF08C7">
      <w:pPr>
        <w:rPr>
          <w:rFonts w:ascii="Simplified Arabic" w:hAnsi="Simplified Arabic" w:cs="Simplified Arabic"/>
          <w:sz w:val="22"/>
          <w:szCs w:val="22"/>
          <w:rtl/>
        </w:rPr>
      </w:pPr>
      <w:bookmarkStart w:id="0" w:name="_GoBack"/>
      <w:bookmarkEnd w:id="0"/>
    </w:p>
    <w:sectPr w:rsidR="007356E2" w:rsidRPr="00CF08C7" w:rsidSect="00CF08C7">
      <w:footerReference w:type="default" r:id="rId8"/>
      <w:pgSz w:w="11906" w:h="16838"/>
      <w:pgMar w:top="900" w:right="1138" w:bottom="1138" w:left="1138" w:header="270" w:footer="27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51174" w14:textId="77777777" w:rsidR="008806D1" w:rsidRDefault="008806D1">
      <w:r>
        <w:separator/>
      </w:r>
    </w:p>
  </w:endnote>
  <w:endnote w:type="continuationSeparator" w:id="0">
    <w:p w14:paraId="7F3E35D1" w14:textId="77777777" w:rsidR="008806D1" w:rsidRDefault="0088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to Naskh Arabic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DDD4" w14:textId="5F713E7E" w:rsidR="00605368" w:rsidRDefault="006247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EB3">
      <w:rPr>
        <w:noProof/>
        <w:rtl/>
      </w:rPr>
      <w:t>3</w:t>
    </w:r>
    <w:r>
      <w:fldChar w:fldCharType="end"/>
    </w:r>
  </w:p>
  <w:p w14:paraId="3018D7AC" w14:textId="77777777" w:rsidR="00605368" w:rsidRDefault="0060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57F1" w14:textId="77777777" w:rsidR="008806D1" w:rsidRDefault="008806D1">
      <w:r>
        <w:separator/>
      </w:r>
    </w:p>
  </w:footnote>
  <w:footnote w:type="continuationSeparator" w:id="0">
    <w:p w14:paraId="0034861A" w14:textId="77777777" w:rsidR="008806D1" w:rsidRDefault="0088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AA"/>
    <w:rsid w:val="00002F67"/>
    <w:rsid w:val="00015D93"/>
    <w:rsid w:val="00015F92"/>
    <w:rsid w:val="000165EB"/>
    <w:rsid w:val="00033F64"/>
    <w:rsid w:val="000642CE"/>
    <w:rsid w:val="00064BF6"/>
    <w:rsid w:val="00065FCB"/>
    <w:rsid w:val="0006642F"/>
    <w:rsid w:val="0009135A"/>
    <w:rsid w:val="000A09C4"/>
    <w:rsid w:val="000A2986"/>
    <w:rsid w:val="000B2C5E"/>
    <w:rsid w:val="000B45D5"/>
    <w:rsid w:val="000B6F22"/>
    <w:rsid w:val="000D70F9"/>
    <w:rsid w:val="000E12FC"/>
    <w:rsid w:val="000E3E06"/>
    <w:rsid w:val="000F2AE0"/>
    <w:rsid w:val="00111208"/>
    <w:rsid w:val="00117227"/>
    <w:rsid w:val="00120145"/>
    <w:rsid w:val="00121E00"/>
    <w:rsid w:val="00124427"/>
    <w:rsid w:val="00130C63"/>
    <w:rsid w:val="0013481C"/>
    <w:rsid w:val="00153D99"/>
    <w:rsid w:val="00155F4C"/>
    <w:rsid w:val="00170A49"/>
    <w:rsid w:val="001831BF"/>
    <w:rsid w:val="00192516"/>
    <w:rsid w:val="00194720"/>
    <w:rsid w:val="001971B6"/>
    <w:rsid w:val="00197222"/>
    <w:rsid w:val="001A63C5"/>
    <w:rsid w:val="001B0F4F"/>
    <w:rsid w:val="001B153B"/>
    <w:rsid w:val="001B1643"/>
    <w:rsid w:val="001B22F4"/>
    <w:rsid w:val="001C62C4"/>
    <w:rsid w:val="001E03F8"/>
    <w:rsid w:val="001E0949"/>
    <w:rsid w:val="001E4CBA"/>
    <w:rsid w:val="001F2AE3"/>
    <w:rsid w:val="002049BC"/>
    <w:rsid w:val="002073EA"/>
    <w:rsid w:val="00217A81"/>
    <w:rsid w:val="00227AF4"/>
    <w:rsid w:val="0024203B"/>
    <w:rsid w:val="00245A3E"/>
    <w:rsid w:val="002563B2"/>
    <w:rsid w:val="00256804"/>
    <w:rsid w:val="00260F27"/>
    <w:rsid w:val="00273BEB"/>
    <w:rsid w:val="00287043"/>
    <w:rsid w:val="002904E2"/>
    <w:rsid w:val="002A24C7"/>
    <w:rsid w:val="002A254C"/>
    <w:rsid w:val="002A4938"/>
    <w:rsid w:val="002C1C70"/>
    <w:rsid w:val="002C6A49"/>
    <w:rsid w:val="002D02A9"/>
    <w:rsid w:val="002D1BB0"/>
    <w:rsid w:val="002D6E14"/>
    <w:rsid w:val="002F4BFA"/>
    <w:rsid w:val="00307713"/>
    <w:rsid w:val="00310B67"/>
    <w:rsid w:val="003171FF"/>
    <w:rsid w:val="003270AF"/>
    <w:rsid w:val="0032766D"/>
    <w:rsid w:val="00330A7C"/>
    <w:rsid w:val="003413B1"/>
    <w:rsid w:val="00345DF2"/>
    <w:rsid w:val="003470BB"/>
    <w:rsid w:val="003479E9"/>
    <w:rsid w:val="00394336"/>
    <w:rsid w:val="0039694F"/>
    <w:rsid w:val="003973E2"/>
    <w:rsid w:val="003A6250"/>
    <w:rsid w:val="003C3EB3"/>
    <w:rsid w:val="003C5118"/>
    <w:rsid w:val="003D2F05"/>
    <w:rsid w:val="003D4199"/>
    <w:rsid w:val="003D56B4"/>
    <w:rsid w:val="003D65B9"/>
    <w:rsid w:val="003F41C6"/>
    <w:rsid w:val="004103A1"/>
    <w:rsid w:val="0041190A"/>
    <w:rsid w:val="00412275"/>
    <w:rsid w:val="00415591"/>
    <w:rsid w:val="00427081"/>
    <w:rsid w:val="004334FC"/>
    <w:rsid w:val="004353BF"/>
    <w:rsid w:val="00436F2E"/>
    <w:rsid w:val="0044749D"/>
    <w:rsid w:val="004478A2"/>
    <w:rsid w:val="00455A0B"/>
    <w:rsid w:val="00462524"/>
    <w:rsid w:val="00470382"/>
    <w:rsid w:val="00473CA6"/>
    <w:rsid w:val="00487215"/>
    <w:rsid w:val="00492FD9"/>
    <w:rsid w:val="00493112"/>
    <w:rsid w:val="004A1E0A"/>
    <w:rsid w:val="004B00C2"/>
    <w:rsid w:val="004C1692"/>
    <w:rsid w:val="004C7AF6"/>
    <w:rsid w:val="004C7FC1"/>
    <w:rsid w:val="004D1078"/>
    <w:rsid w:val="004D589F"/>
    <w:rsid w:val="004D5CCC"/>
    <w:rsid w:val="004E32F1"/>
    <w:rsid w:val="004F0333"/>
    <w:rsid w:val="00501107"/>
    <w:rsid w:val="005061C9"/>
    <w:rsid w:val="00510611"/>
    <w:rsid w:val="00517D3F"/>
    <w:rsid w:val="00542902"/>
    <w:rsid w:val="0055062D"/>
    <w:rsid w:val="005560DB"/>
    <w:rsid w:val="00556183"/>
    <w:rsid w:val="00556303"/>
    <w:rsid w:val="00570847"/>
    <w:rsid w:val="00580EE4"/>
    <w:rsid w:val="005834BC"/>
    <w:rsid w:val="00586CC3"/>
    <w:rsid w:val="0059699E"/>
    <w:rsid w:val="005B52E9"/>
    <w:rsid w:val="005B759C"/>
    <w:rsid w:val="005C7310"/>
    <w:rsid w:val="005D20F3"/>
    <w:rsid w:val="005D4AB4"/>
    <w:rsid w:val="005D76CC"/>
    <w:rsid w:val="005F2BA6"/>
    <w:rsid w:val="00605368"/>
    <w:rsid w:val="00607902"/>
    <w:rsid w:val="00610F10"/>
    <w:rsid w:val="006110C0"/>
    <w:rsid w:val="006247A4"/>
    <w:rsid w:val="006320DF"/>
    <w:rsid w:val="00636FDE"/>
    <w:rsid w:val="00654377"/>
    <w:rsid w:val="00656768"/>
    <w:rsid w:val="006652B7"/>
    <w:rsid w:val="006775DD"/>
    <w:rsid w:val="006853B2"/>
    <w:rsid w:val="00687BB7"/>
    <w:rsid w:val="006B207F"/>
    <w:rsid w:val="006B27C7"/>
    <w:rsid w:val="006C0C1B"/>
    <w:rsid w:val="006C14E0"/>
    <w:rsid w:val="006C4E26"/>
    <w:rsid w:val="006D1E25"/>
    <w:rsid w:val="006E210B"/>
    <w:rsid w:val="00706E08"/>
    <w:rsid w:val="00707C38"/>
    <w:rsid w:val="00712F67"/>
    <w:rsid w:val="00726212"/>
    <w:rsid w:val="007352B8"/>
    <w:rsid w:val="007356E2"/>
    <w:rsid w:val="0075501F"/>
    <w:rsid w:val="00755417"/>
    <w:rsid w:val="00755B9F"/>
    <w:rsid w:val="0078738A"/>
    <w:rsid w:val="00791581"/>
    <w:rsid w:val="007A72E7"/>
    <w:rsid w:val="007C3F50"/>
    <w:rsid w:val="007C7149"/>
    <w:rsid w:val="007D439C"/>
    <w:rsid w:val="007E0A03"/>
    <w:rsid w:val="007E30A0"/>
    <w:rsid w:val="008318F7"/>
    <w:rsid w:val="00846EF2"/>
    <w:rsid w:val="008525A8"/>
    <w:rsid w:val="008607CB"/>
    <w:rsid w:val="00872D8F"/>
    <w:rsid w:val="008806D1"/>
    <w:rsid w:val="00881BA6"/>
    <w:rsid w:val="00890BD0"/>
    <w:rsid w:val="00892D0D"/>
    <w:rsid w:val="008950A7"/>
    <w:rsid w:val="008B0E75"/>
    <w:rsid w:val="008B13C2"/>
    <w:rsid w:val="008B2E0F"/>
    <w:rsid w:val="008B3AF8"/>
    <w:rsid w:val="008B4954"/>
    <w:rsid w:val="008B6C53"/>
    <w:rsid w:val="008B71FE"/>
    <w:rsid w:val="008D2A7C"/>
    <w:rsid w:val="008D612E"/>
    <w:rsid w:val="008E3516"/>
    <w:rsid w:val="008E7F64"/>
    <w:rsid w:val="008F4BF1"/>
    <w:rsid w:val="008F4F04"/>
    <w:rsid w:val="0091121F"/>
    <w:rsid w:val="0091406D"/>
    <w:rsid w:val="00922061"/>
    <w:rsid w:val="00923DB5"/>
    <w:rsid w:val="00950F66"/>
    <w:rsid w:val="00951F20"/>
    <w:rsid w:val="00952400"/>
    <w:rsid w:val="0095385D"/>
    <w:rsid w:val="00957317"/>
    <w:rsid w:val="009917D8"/>
    <w:rsid w:val="009B0AB8"/>
    <w:rsid w:val="009B224A"/>
    <w:rsid w:val="009B26B5"/>
    <w:rsid w:val="009B3FBF"/>
    <w:rsid w:val="009D72F6"/>
    <w:rsid w:val="009E00C4"/>
    <w:rsid w:val="009E612C"/>
    <w:rsid w:val="009F01A3"/>
    <w:rsid w:val="009F5339"/>
    <w:rsid w:val="00A12BDC"/>
    <w:rsid w:val="00A50AA8"/>
    <w:rsid w:val="00A609F6"/>
    <w:rsid w:val="00A7181C"/>
    <w:rsid w:val="00A876AE"/>
    <w:rsid w:val="00A93969"/>
    <w:rsid w:val="00A95E20"/>
    <w:rsid w:val="00A96B86"/>
    <w:rsid w:val="00AA4F66"/>
    <w:rsid w:val="00AB15EF"/>
    <w:rsid w:val="00AC26F5"/>
    <w:rsid w:val="00AC4959"/>
    <w:rsid w:val="00AC782F"/>
    <w:rsid w:val="00AD10A9"/>
    <w:rsid w:val="00AD4373"/>
    <w:rsid w:val="00AD7D0A"/>
    <w:rsid w:val="00B0406E"/>
    <w:rsid w:val="00B108F0"/>
    <w:rsid w:val="00B20594"/>
    <w:rsid w:val="00B235A6"/>
    <w:rsid w:val="00B37153"/>
    <w:rsid w:val="00B3792D"/>
    <w:rsid w:val="00B55382"/>
    <w:rsid w:val="00B55427"/>
    <w:rsid w:val="00B95E75"/>
    <w:rsid w:val="00B96B9E"/>
    <w:rsid w:val="00BA19A2"/>
    <w:rsid w:val="00BB1458"/>
    <w:rsid w:val="00BE03BE"/>
    <w:rsid w:val="00BE5FC8"/>
    <w:rsid w:val="00BE7BC0"/>
    <w:rsid w:val="00BF15B3"/>
    <w:rsid w:val="00BF5477"/>
    <w:rsid w:val="00C02E64"/>
    <w:rsid w:val="00C07CAA"/>
    <w:rsid w:val="00C2124A"/>
    <w:rsid w:val="00C3683D"/>
    <w:rsid w:val="00C55407"/>
    <w:rsid w:val="00C55F01"/>
    <w:rsid w:val="00C632BF"/>
    <w:rsid w:val="00C65E3A"/>
    <w:rsid w:val="00C70AB6"/>
    <w:rsid w:val="00C72365"/>
    <w:rsid w:val="00C7471C"/>
    <w:rsid w:val="00C97ACB"/>
    <w:rsid w:val="00CB0878"/>
    <w:rsid w:val="00CB33FD"/>
    <w:rsid w:val="00CB7685"/>
    <w:rsid w:val="00CD7BB4"/>
    <w:rsid w:val="00CE637B"/>
    <w:rsid w:val="00CF08C7"/>
    <w:rsid w:val="00CF7D27"/>
    <w:rsid w:val="00D006E3"/>
    <w:rsid w:val="00D17B55"/>
    <w:rsid w:val="00D25BD4"/>
    <w:rsid w:val="00D47274"/>
    <w:rsid w:val="00D60527"/>
    <w:rsid w:val="00D63648"/>
    <w:rsid w:val="00D64E04"/>
    <w:rsid w:val="00D6503C"/>
    <w:rsid w:val="00D673BA"/>
    <w:rsid w:val="00D678F6"/>
    <w:rsid w:val="00D760FF"/>
    <w:rsid w:val="00D76116"/>
    <w:rsid w:val="00D836F9"/>
    <w:rsid w:val="00D932A8"/>
    <w:rsid w:val="00D97657"/>
    <w:rsid w:val="00DB684B"/>
    <w:rsid w:val="00DC158B"/>
    <w:rsid w:val="00DC2C5F"/>
    <w:rsid w:val="00DC4D13"/>
    <w:rsid w:val="00DD33E8"/>
    <w:rsid w:val="00DE0C9A"/>
    <w:rsid w:val="00DF3C17"/>
    <w:rsid w:val="00DF4404"/>
    <w:rsid w:val="00DF688B"/>
    <w:rsid w:val="00E168DD"/>
    <w:rsid w:val="00E32B9E"/>
    <w:rsid w:val="00E42E07"/>
    <w:rsid w:val="00E5290E"/>
    <w:rsid w:val="00E837AB"/>
    <w:rsid w:val="00E85808"/>
    <w:rsid w:val="00EA4FA6"/>
    <w:rsid w:val="00EB180E"/>
    <w:rsid w:val="00EB6E98"/>
    <w:rsid w:val="00EC65A8"/>
    <w:rsid w:val="00ED6055"/>
    <w:rsid w:val="00EE3D11"/>
    <w:rsid w:val="00EE46EB"/>
    <w:rsid w:val="00F00C8E"/>
    <w:rsid w:val="00F257DD"/>
    <w:rsid w:val="00F3077B"/>
    <w:rsid w:val="00F604D0"/>
    <w:rsid w:val="00F62319"/>
    <w:rsid w:val="00F62F8F"/>
    <w:rsid w:val="00F64E21"/>
    <w:rsid w:val="00F66142"/>
    <w:rsid w:val="00F8774E"/>
    <w:rsid w:val="00F9696A"/>
    <w:rsid w:val="00FA72B7"/>
    <w:rsid w:val="00FB6242"/>
    <w:rsid w:val="00FC00CB"/>
    <w:rsid w:val="00FC4B76"/>
    <w:rsid w:val="00FC79A6"/>
    <w:rsid w:val="00FD7218"/>
    <w:rsid w:val="00FE5DBD"/>
    <w:rsid w:val="42A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CFDCA"/>
  <w15:docId w15:val="{75303BA4-A5A2-4D7A-A8DF-E282AE69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pPr>
      <w:keepNext/>
      <w:jc w:val="lowKashida"/>
      <w:outlineLvl w:val="3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qFormat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bidi w:val="0"/>
      <w:spacing w:after="180"/>
    </w:pPr>
    <w:rPr>
      <w:rFonts w:ascii="Noto Naskh Arabic" w:hAnsi="Noto Naskh Arabic"/>
      <w:color w:val="454545"/>
      <w:spacing w:val="-5"/>
      <w:lang w:eastAsia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link w:val="BodyText"/>
    <w:semiHidden/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paragraph" w:styleId="Revision">
    <w:name w:val="Revision"/>
    <w:hidden/>
    <w:uiPriority w:val="99"/>
    <w:semiHidden/>
    <w:rsid w:val="008B2E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5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8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7356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356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3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14111523964099"/>
          <c:y val="0"/>
          <c:w val="0.73700322383041095"/>
          <c:h val="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النسبة</c:v>
                </c:pt>
              </c:strCache>
            </c:strRef>
          </c:tx>
          <c:spPr>
            <a:solidFill>
              <a:srgbClr val="5B9BD5"/>
            </a:solidFill>
            <a:ln w="25402">
              <a:noFill/>
            </a:ln>
          </c:spPr>
          <c:invertIfNegative val="0"/>
          <c:dLbls>
            <c:spPr>
              <a:noFill/>
              <a:ln w="25402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17-0</c:v>
                </c:pt>
                <c:pt idx="1">
                  <c:v>29-18</c:v>
                </c:pt>
                <c:pt idx="2">
                  <c:v>59-30</c:v>
                </c:pt>
                <c:pt idx="3">
                  <c:v>60+</c:v>
                </c:pt>
              </c:strCache>
            </c:strRef>
          </c:cat>
          <c:val>
            <c:numRef>
              <c:f>Sheet1!$B$2:$B$5</c:f>
              <c:numCache>
                <c:formatCode>#,##0.0</c:formatCode>
                <c:ptCount val="4"/>
                <c:pt idx="0">
                  <c:v>43.1</c:v>
                </c:pt>
                <c:pt idx="1">
                  <c:v>21.2</c:v>
                </c:pt>
                <c:pt idx="2">
                  <c:v>29.8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6D-4EA7-8BDB-2C346F85B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5829680"/>
        <c:axId val="1"/>
      </c:barChart>
      <c:catAx>
        <c:axId val="18582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rgbClr val="333333"/>
                </a:solidFill>
                <a:latin typeface="Arial" panose="020B0604020202020204" pitchFamily="2" charset="0"/>
                <a:ea typeface="Calibri" panose="020F0502020204030204"/>
                <a:cs typeface="Arial" panose="020B0604020202020204" pitchFamily="2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rgbClr val="333333"/>
                </a:solidFill>
                <a:latin typeface="Arial" panose="020B0604020202020204" pitchFamily="2" charset="0"/>
                <a:ea typeface="Calibri" panose="020F0502020204030204"/>
                <a:cs typeface="Arial" panose="020B0604020202020204" pitchFamily="2" charset="0"/>
              </a:defRPr>
            </a:pPr>
            <a:endParaRPr lang="en-US"/>
          </a:p>
        </c:txPr>
        <c:crossAx val="185829680"/>
        <c:crosses val="autoZero"/>
        <c:crossBetween val="between"/>
      </c:valAx>
      <c:spPr>
        <a:noFill/>
        <a:ln w="25402">
          <a:noFill/>
        </a:ln>
      </c:spPr>
    </c:plotArea>
    <c:plotVisOnly val="1"/>
    <c:dispBlanksAs val="gap"/>
    <c:showDLblsOverMax val="0"/>
    <c:extLst>
      <c:ext uri="{0b15fc19-7d7d-44ad-8c2d-2c3a37ce22c3}">
        <chartProps xmlns="https://web.wps.cn/et/2018/main" chartId="{5efd9bd5-6b36-4d1d-a3e4-3410d96e8845}"/>
      </c:ext>
    </c:extLst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en-US" sz="1000" b="0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7175-628D-4567-94DC-69AD5951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Hadeel Badran</cp:lastModifiedBy>
  <cp:revision>12</cp:revision>
  <cp:lastPrinted>2025-08-11T09:49:00Z</cp:lastPrinted>
  <dcterms:created xsi:type="dcterms:W3CDTF">2025-08-07T12:05:00Z</dcterms:created>
  <dcterms:modified xsi:type="dcterms:W3CDTF">2025-08-11T09:59:00Z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7F50F1041FDC451C9A78C0857C972357_13</vt:lpwstr>
  </property>
</Properties>
</file>