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BD" w:rsidRPr="00E641D5" w:rsidRDefault="005D69BD" w:rsidP="00A96904">
      <w:pPr>
        <w:tabs>
          <w:tab w:val="left" w:pos="244"/>
          <w:tab w:val="center" w:pos="5102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641D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يستعرض أوضاع </w:t>
      </w:r>
      <w:r w:rsidR="00A96904" w:rsidRPr="00E641D5">
        <w:rPr>
          <w:rFonts w:ascii="Simplified Arabic" w:hAnsi="Simplified Arabic" w:cs="Simplified Arabic"/>
          <w:b/>
          <w:bCs/>
          <w:sz w:val="32"/>
          <w:szCs w:val="32"/>
          <w:rtl/>
        </w:rPr>
        <w:t>المسنين</w:t>
      </w:r>
      <w:r w:rsidRPr="00E641D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المجتمع الفلسطيني </w:t>
      </w:r>
    </w:p>
    <w:p w:rsidR="005D69BD" w:rsidRPr="00E641D5" w:rsidRDefault="005D69BD" w:rsidP="005D69BD">
      <w:pPr>
        <w:tabs>
          <w:tab w:val="left" w:pos="244"/>
          <w:tab w:val="center" w:pos="5102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641D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بمناسبة اليوم العالمي للمسنين، </w:t>
      </w:r>
      <w:r w:rsidR="00E641D5" w:rsidRPr="00E641D5">
        <w:rPr>
          <w:rFonts w:ascii="Simplified Arabic" w:hAnsi="Simplified Arabic" w:cs="Simplified Arabic"/>
          <w:b/>
          <w:bCs/>
          <w:sz w:val="32"/>
          <w:szCs w:val="32"/>
          <w:rtl/>
        </w:rPr>
        <w:t>0</w:t>
      </w:r>
      <w:r w:rsidRPr="00E641D5">
        <w:rPr>
          <w:rFonts w:ascii="Simplified Arabic" w:hAnsi="Simplified Arabic" w:cs="Simplified Arabic"/>
          <w:b/>
          <w:bCs/>
          <w:sz w:val="32"/>
          <w:szCs w:val="32"/>
          <w:rtl/>
        </w:rPr>
        <w:t>1/10/2023</w:t>
      </w:r>
    </w:p>
    <w:p w:rsidR="005D69BD" w:rsidRPr="00E641D5" w:rsidRDefault="005D69BD" w:rsidP="005D69BD">
      <w:pPr>
        <w:tabs>
          <w:tab w:val="left" w:pos="244"/>
          <w:tab w:val="center" w:pos="5102"/>
        </w:tabs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</w:p>
    <w:p w:rsidR="0003388D" w:rsidRPr="00E641D5" w:rsidRDefault="005D69BD" w:rsidP="003947D2">
      <w:pPr>
        <w:tabs>
          <w:tab w:val="left" w:pos="244"/>
          <w:tab w:val="center" w:pos="5102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تحت </w:t>
      </w:r>
      <w:r w:rsidR="002810B7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شعار الوفاء بوعود الإعلان العال</w:t>
      </w:r>
      <w:r w:rsidR="0009587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مي لحقوق الإنسان الخاصة بالمسني</w:t>
      </w:r>
      <w:bookmarkStart w:id="0" w:name="_GoBack"/>
      <w:bookmarkEnd w:id="0"/>
      <w:r w:rsidR="002810B7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ن عبر الأجيال يستعرض </w:t>
      </w:r>
      <w:r w:rsidR="00A907EE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الإحصاء الفلسطيني أوضاع المسنين في المجتمع الفلسطيني بمناسبة اليوم العالمي للمسنين</w:t>
      </w:r>
      <w:r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، </w:t>
      </w:r>
      <w:r w:rsidR="003F56B7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يحتفل العالم في الاول من أكتوبر </w:t>
      </w:r>
      <w:r w:rsidR="00BC0AC3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من كل عام </w:t>
      </w:r>
      <w:r w:rsidR="007B0D3A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في </w:t>
      </w:r>
      <w:r w:rsidR="003F56B7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اليوم العالمي للمسنين تقديراً لجهودهم وتسليط الضوء على الاسهامات الكبيرة التي يقدمها المسنون في المجتمع، ورفع مستوى الوعي بالمشكلات و</w:t>
      </w:r>
      <w:r w:rsidR="00F151DA" w:rsidRPr="00E641D5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التحديات التي يواجهها كبار السن.</w:t>
      </w:r>
    </w:p>
    <w:p w:rsidR="004D7CE1" w:rsidRPr="00E641D5" w:rsidRDefault="004D7CE1" w:rsidP="004D7CE1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24389" w:rsidRPr="00E641D5" w:rsidRDefault="00947070" w:rsidP="005D69BD">
      <w:p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</w:rPr>
        <w:t>6</w:t>
      </w:r>
      <w:r w:rsidR="00A24389"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% من السكان في فلسطين </w:t>
      </w:r>
      <w:r w:rsidR="00893099"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في العمر 60 سنة فأكثر</w:t>
      </w:r>
    </w:p>
    <w:p w:rsidR="00A24389" w:rsidRPr="00E641D5" w:rsidRDefault="00A24389" w:rsidP="002305D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المجتمع الفلسطيني في فلسطين مجتمع فتي حيث تشكل فئة صغار السن نسبة مرتفعة من المجتمع في حين تشكل فئة كبار السن نسبة قليلة من حجم السكان</w:t>
      </w:r>
      <w:r w:rsidR="001A34DB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1A34DB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إذ </w:t>
      </w:r>
      <w:r w:rsidR="00C57BEA" w:rsidRPr="00E641D5">
        <w:rPr>
          <w:rFonts w:ascii="Simplified Arabic" w:hAnsi="Simplified Arabic" w:cs="Simplified Arabic"/>
          <w:sz w:val="26"/>
          <w:szCs w:val="26"/>
          <w:rtl/>
        </w:rPr>
        <w:t xml:space="preserve">بلغ عدد </w:t>
      </w:r>
      <w:r w:rsidR="00233C4E" w:rsidRPr="00E641D5">
        <w:rPr>
          <w:rFonts w:ascii="Simplified Arabic" w:hAnsi="Simplified Arabic" w:cs="Simplified Arabic"/>
          <w:sz w:val="26"/>
          <w:szCs w:val="26"/>
          <w:rtl/>
        </w:rPr>
        <w:t>كبار السن</w:t>
      </w:r>
      <w:r w:rsidR="00C57BEA" w:rsidRPr="00E641D5">
        <w:rPr>
          <w:rFonts w:ascii="Simplified Arabic" w:hAnsi="Simplified Arabic" w:cs="Simplified Arabic"/>
          <w:sz w:val="26"/>
          <w:szCs w:val="26"/>
          <w:rtl/>
        </w:rPr>
        <w:t xml:space="preserve"> في فلسطين </w:t>
      </w:r>
      <w:r w:rsidR="00BE5653" w:rsidRPr="00E641D5">
        <w:rPr>
          <w:rFonts w:ascii="Simplified Arabic" w:hAnsi="Simplified Arabic" w:cs="Simplified Arabic"/>
          <w:sz w:val="26"/>
          <w:szCs w:val="26"/>
          <w:rtl/>
        </w:rPr>
        <w:t xml:space="preserve">حوالي 313 ألف </w:t>
      </w:r>
      <w:r w:rsidR="00233C4E" w:rsidRPr="00E641D5">
        <w:rPr>
          <w:rFonts w:ascii="Simplified Arabic" w:hAnsi="Simplified Arabic" w:cs="Simplified Arabic"/>
          <w:sz w:val="26"/>
          <w:szCs w:val="26"/>
          <w:rtl/>
        </w:rPr>
        <w:t xml:space="preserve">فرداً </w:t>
      </w:r>
      <w:r w:rsidR="001A34DB" w:rsidRPr="00E641D5">
        <w:rPr>
          <w:rFonts w:ascii="Simplified Arabic" w:hAnsi="Simplified Arabic" w:cs="Simplified Arabic"/>
          <w:sz w:val="26"/>
          <w:szCs w:val="26"/>
          <w:rtl/>
        </w:rPr>
        <w:t xml:space="preserve">بما نسبته نحو </w:t>
      </w:r>
      <w:r w:rsidR="00E34769" w:rsidRPr="00E641D5">
        <w:rPr>
          <w:rFonts w:ascii="Simplified Arabic" w:hAnsi="Simplified Arabic" w:cs="Simplified Arabic"/>
          <w:sz w:val="26"/>
          <w:szCs w:val="26"/>
          <w:rtl/>
        </w:rPr>
        <w:t>6</w:t>
      </w:r>
      <w:r w:rsidR="002320ED" w:rsidRPr="00E641D5">
        <w:rPr>
          <w:rFonts w:ascii="Simplified Arabic" w:hAnsi="Simplified Arabic" w:cs="Simplified Arabic"/>
          <w:sz w:val="26"/>
          <w:szCs w:val="26"/>
          <w:rtl/>
        </w:rPr>
        <w:t>%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1A34DB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 إجمالي السكان </w:t>
      </w:r>
      <w:r w:rsidR="002320ED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منتصف العام </w:t>
      </w:r>
      <w:r w:rsidR="007D0A11" w:rsidRPr="00E641D5">
        <w:rPr>
          <w:rFonts w:ascii="Simplified Arabic" w:hAnsi="Simplified Arabic" w:cs="Simplified Arabic"/>
          <w:sz w:val="26"/>
          <w:szCs w:val="26"/>
          <w:lang w:bidi="ar-EG"/>
        </w:rPr>
        <w:t>2023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</w:t>
      </w:r>
      <w:r w:rsidR="00BE5653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حوالي 206 الآف </w:t>
      </w:r>
      <w:r w:rsidR="00711393" w:rsidRPr="00E641D5">
        <w:rPr>
          <w:rFonts w:ascii="Simplified Arabic" w:hAnsi="Simplified Arabic" w:cs="Simplified Arabic"/>
          <w:sz w:val="26"/>
          <w:szCs w:val="26"/>
          <w:rtl/>
        </w:rPr>
        <w:t>فرداً</w:t>
      </w:r>
      <w:r w:rsidR="001A34DB" w:rsidRPr="00E641D5">
        <w:rPr>
          <w:rFonts w:ascii="Simplified Arabic" w:hAnsi="Simplified Arabic" w:cs="Simplified Arabic"/>
          <w:sz w:val="26"/>
          <w:szCs w:val="26"/>
          <w:rtl/>
        </w:rPr>
        <w:t xml:space="preserve"> يشكلون نحو</w:t>
      </w:r>
      <w:r w:rsidR="00C57BEA" w:rsidRPr="00E641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0A11" w:rsidRPr="00E641D5">
        <w:rPr>
          <w:rFonts w:ascii="Simplified Arabic" w:hAnsi="Simplified Arabic" w:cs="Simplified Arabic"/>
          <w:sz w:val="26"/>
          <w:szCs w:val="26"/>
          <w:rtl/>
        </w:rPr>
        <w:t>6</w:t>
      </w:r>
      <w:r w:rsidR="00E250EA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%</w:t>
      </w:r>
      <w:r w:rsidR="00E70631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من إجمالي السكان</w:t>
      </w:r>
      <w:r w:rsidR="002320ED" w:rsidRPr="00E641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5653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في الضفة الغربية وحوالي 107 الآف</w:t>
      </w:r>
      <w:r w:rsidR="007D0A11" w:rsidRPr="00E641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75E1" w:rsidRPr="00E641D5">
        <w:rPr>
          <w:rFonts w:ascii="Simplified Arabic" w:hAnsi="Simplified Arabic" w:cs="Simplified Arabic"/>
          <w:sz w:val="26"/>
          <w:szCs w:val="26"/>
          <w:rtl/>
        </w:rPr>
        <w:t>فرداً</w:t>
      </w:r>
      <w:r w:rsidR="00233C4E" w:rsidRPr="00E641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4769" w:rsidRPr="00E641D5">
        <w:rPr>
          <w:rFonts w:ascii="Simplified Arabic" w:hAnsi="Simplified Arabic" w:cs="Simplified Arabic"/>
          <w:sz w:val="26"/>
          <w:szCs w:val="26"/>
          <w:rtl/>
        </w:rPr>
        <w:t>5</w:t>
      </w:r>
      <w:r w:rsidR="00E250EA" w:rsidRPr="00E641D5">
        <w:rPr>
          <w:rFonts w:ascii="Simplified Arabic" w:hAnsi="Simplified Arabic" w:cs="Simplified Arabic"/>
          <w:sz w:val="26"/>
          <w:szCs w:val="26"/>
          <w:rtl/>
        </w:rPr>
        <w:t>%</w:t>
      </w:r>
      <w:r w:rsidR="005A1C5B" w:rsidRPr="00E641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631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 إجمالي السكان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في قطاع غزة.  </w:t>
      </w:r>
    </w:p>
    <w:p w:rsidR="00A24389" w:rsidRPr="00E641D5" w:rsidRDefault="00A24389" w:rsidP="00A24389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A24389" w:rsidRPr="00E641D5" w:rsidRDefault="00A24389" w:rsidP="00E70631">
      <w:pPr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ورغم الزيادة المتوقعة في أعداد </w:t>
      </w:r>
      <w:r w:rsidR="00233C4E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في فلسطين خلال السنوات القادمة إلا انه يتوقع أن تبقى نسبتهم منخفضة وفي ثبات إذ لن تتجاوز </w:t>
      </w:r>
      <w:r w:rsidR="00E70631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6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خلال سنوات العقد الحالي، </w:t>
      </w:r>
      <w:r w:rsidR="005A02C5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ومن المتوقع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أن تبد</w:t>
      </w:r>
      <w:r w:rsidR="005E0AFD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أ هذه النسبة في الارتفاع بعد منتصف العقد القادم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. </w:t>
      </w:r>
    </w:p>
    <w:p w:rsidR="00924103" w:rsidRPr="00E641D5" w:rsidRDefault="00924103" w:rsidP="002320ED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A24389" w:rsidRPr="00E641D5" w:rsidRDefault="00A24389" w:rsidP="005D69B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التوزيع النسبي للسكان في فلسطين حسب </w:t>
      </w:r>
      <w:r w:rsidR="00843B6C"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</w:t>
      </w: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فئات </w:t>
      </w:r>
      <w:r w:rsidR="00843B6C"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</w:t>
      </w: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عمرية </w:t>
      </w:r>
      <w:r w:rsidR="002320ED"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منتصف العام</w:t>
      </w: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022117" w:rsidRPr="00E641D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2023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19"/>
      </w:tblGrid>
      <w:tr w:rsidR="00E641D5" w:rsidRPr="00E641D5" w:rsidTr="00995117">
        <w:trPr>
          <w:jc w:val="center"/>
        </w:trPr>
        <w:tc>
          <w:tcPr>
            <w:tcW w:w="7319" w:type="dxa"/>
            <w:vAlign w:val="center"/>
          </w:tcPr>
          <w:p w:rsidR="00A24389" w:rsidRPr="00E641D5" w:rsidRDefault="00A24389" w:rsidP="008601D9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641D5">
              <w:rPr>
                <w:rFonts w:ascii="Simplified Arabic" w:hAnsi="Simplified Arabic" w:cs="Simplified Arabic"/>
                <w:noProof/>
                <w:sz w:val="26"/>
                <w:szCs w:val="26"/>
                <w:rtl/>
                <w:lang w:eastAsia="en-US"/>
              </w:rPr>
              <w:drawing>
                <wp:inline distT="0" distB="0" distL="0" distR="0">
                  <wp:extent cx="4510405" cy="1781175"/>
                  <wp:effectExtent l="0" t="0" r="0" b="0"/>
                  <wp:docPr id="6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95117" w:rsidRPr="00E641D5" w:rsidRDefault="00995117" w:rsidP="00995117">
      <w:pPr>
        <w:ind w:left="360"/>
        <w:jc w:val="both"/>
        <w:rPr>
          <w:rFonts w:ascii="Simplified Arabic" w:hAnsi="Simplified Arabic" w:cs="Simplified Arabic"/>
          <w:noProof/>
          <w:sz w:val="20"/>
          <w:szCs w:val="20"/>
          <w:rtl/>
        </w:rPr>
      </w:pPr>
      <w:r w:rsidRPr="00E641D5">
        <w:rPr>
          <w:rFonts w:ascii="Simplified Arabic" w:hAnsi="Simplified Arabic" w:cs="Simplified Arabic"/>
          <w:b/>
          <w:bCs/>
          <w:noProof/>
          <w:sz w:val="20"/>
          <w:szCs w:val="20"/>
          <w:rtl/>
        </w:rPr>
        <w:t>المصدر: الجهاز المركزي للإحصاء الفلسطيني، 2023</w:t>
      </w:r>
      <w:r w:rsidRPr="00E641D5">
        <w:rPr>
          <w:rFonts w:ascii="Simplified Arabic" w:hAnsi="Simplified Arabic" w:cs="Simplified Arabic"/>
          <w:noProof/>
          <w:sz w:val="20"/>
          <w:szCs w:val="20"/>
          <w:rtl/>
        </w:rPr>
        <w:t>.  تقديرات منقحة مبنية على النتائج النهائية للتعداد العام للسكان والمساكن والمنشات، 2017.</w:t>
      </w:r>
      <w:r w:rsidR="00E641D5">
        <w:rPr>
          <w:rFonts w:ascii="Simplified Arabic" w:hAnsi="Simplified Arabic" w:cs="Simplified Arabic"/>
          <w:noProof/>
          <w:sz w:val="20"/>
          <w:szCs w:val="20"/>
          <w:rtl/>
        </w:rPr>
        <w:t xml:space="preserve"> </w:t>
      </w:r>
      <w:r w:rsidRPr="00E641D5">
        <w:rPr>
          <w:rFonts w:ascii="Simplified Arabic" w:hAnsi="Simplified Arabic" w:cs="Simplified Arabic"/>
          <w:noProof/>
          <w:sz w:val="20"/>
          <w:szCs w:val="20"/>
          <w:rtl/>
        </w:rPr>
        <w:t xml:space="preserve">رام الله - فلسطين. </w:t>
      </w:r>
    </w:p>
    <w:p w:rsidR="00947070" w:rsidRPr="00E641D5" w:rsidRDefault="00947070" w:rsidP="00E641D5">
      <w:pPr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A24389" w:rsidRPr="00E641D5" w:rsidRDefault="00A24389" w:rsidP="005D69B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نسبة الإناث </w:t>
      </w:r>
      <w:r w:rsidR="00673176" w:rsidRPr="00E641D5">
        <w:rPr>
          <w:rFonts w:ascii="Simplified Arabic" w:hAnsi="Simplified Arabic" w:cs="Simplified Arabic"/>
          <w:b/>
          <w:bCs/>
          <w:sz w:val="28"/>
          <w:szCs w:val="28"/>
          <w:rtl/>
        </w:rPr>
        <w:t>60 سنة فأكثر</w:t>
      </w:r>
      <w:r w:rsidRPr="00E641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مقابل الذكور </w:t>
      </w:r>
    </w:p>
    <w:p w:rsidR="00E641D5" w:rsidRDefault="00B348DC" w:rsidP="008201BD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بلغ عد</w:t>
      </w:r>
      <w:r w:rsidR="008D3C85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د </w:t>
      </w:r>
      <w:r w:rsidR="00673176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631401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الذكور </w:t>
      </w:r>
      <w:r w:rsidR="002320ED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منتصف 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العام </w:t>
      </w:r>
      <w:r w:rsidR="003858CC" w:rsidRPr="00E641D5">
        <w:rPr>
          <w:rFonts w:ascii="Simplified Arabic" w:hAnsi="Simplified Arabic" w:cs="Simplified Arabic"/>
          <w:sz w:val="26"/>
          <w:szCs w:val="26"/>
          <w:lang w:bidi="ar-EG"/>
        </w:rPr>
        <w:t>2023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في فلسطين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حوالي </w:t>
      </w:r>
      <w:r w:rsidR="003858CC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152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ألف </w:t>
      </w:r>
      <w:r w:rsidR="00673176" w:rsidRPr="00E641D5">
        <w:rPr>
          <w:rFonts w:ascii="Simplified Arabic" w:hAnsi="Simplified Arabic" w:cs="Simplified Arabic"/>
          <w:sz w:val="26"/>
          <w:szCs w:val="26"/>
          <w:rtl/>
        </w:rPr>
        <w:t xml:space="preserve">فرد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أي </w:t>
      </w:r>
      <w:r w:rsidR="002B148C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ما نسبته </w:t>
      </w:r>
      <w:r w:rsidR="00FE3E0D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حوالي 6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%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من اجمالي الذكور في فلسطين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مقابل</w:t>
      </w:r>
      <w:r w:rsidR="003128D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3858CC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161</w:t>
      </w:r>
      <w:r w:rsidR="003128D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9A0857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ألف</w:t>
      </w:r>
      <w:r w:rsidR="003128D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673176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أنثى</w:t>
      </w:r>
      <w:r w:rsidR="003128D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4875E1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ب</w:t>
      </w:r>
      <w:r w:rsidR="003128D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ما نسبته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3858CC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6.0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</w:t>
      </w:r>
      <w:r w:rsidR="003128D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من اجمالي الاناث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بنسبة جنس مقدارها </w:t>
      </w:r>
      <w:r w:rsidR="00E3476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95</w:t>
      </w:r>
      <w:r w:rsidR="00AD4770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ذكر</w:t>
      </w:r>
      <w:r w:rsidR="004875E1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اً</w:t>
      </w:r>
      <w:r w:rsidR="00A24389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لكل 100 أنثى.  </w:t>
      </w:r>
    </w:p>
    <w:p w:rsidR="008201BD" w:rsidRDefault="008201BD" w:rsidP="008201B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564835" w:rsidRDefault="00564835" w:rsidP="008201B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564835" w:rsidRPr="008201BD" w:rsidRDefault="00564835" w:rsidP="008201B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DA2DE4" w:rsidRPr="00E641D5" w:rsidRDefault="00DA2DE4" w:rsidP="005D69BD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أسرة من بين كل خمس أسر في فلسطين يرأسها فرد من كبار السن </w:t>
      </w:r>
    </w:p>
    <w:p w:rsidR="00DA2DE4" w:rsidRPr="00E641D5" w:rsidRDefault="00DA2DE4" w:rsidP="00DA2DE4">
      <w:pPr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24% من الأسر يرأسها </w:t>
      </w:r>
      <w:r w:rsidRPr="00E641D5">
        <w:rPr>
          <w:rFonts w:ascii="Simplified Arabic" w:hAnsi="Simplified Arabic" w:cs="Simplified Arabic"/>
          <w:sz w:val="26"/>
          <w:szCs w:val="26"/>
          <w:rtl/>
        </w:rPr>
        <w:t>كبار السن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لعام 2022، بواقع 25% في الضفة الغربية و21% في قطاع غزة، علماً بأن متوسط حجم الأسر التي يرأسها كبار السن يكون في العادة صغيراً نسبيا، إذ بلغ متوسط حجم الأسرة التي يرأسها كبار السن في فلسطين 3.4 فردا.</w:t>
      </w:r>
    </w:p>
    <w:p w:rsidR="00995117" w:rsidRPr="00E641D5" w:rsidRDefault="00995117" w:rsidP="00DA2DE4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DA2DE4" w:rsidRPr="00E641D5" w:rsidRDefault="00DA2DE4" w:rsidP="00DA2DE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متوسط حجم الأسرة التي يرأسها كبار السن حسب المنطقة، 2022</w:t>
      </w:r>
    </w:p>
    <w:p w:rsidR="00DA2DE4" w:rsidRPr="00E641D5" w:rsidRDefault="00DA2DE4" w:rsidP="00DA2DE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641D5">
        <w:rPr>
          <w:rFonts w:ascii="Simplified Arabic" w:hAnsi="Simplified Arabic" w:cs="Simplified Arabic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0ED8A5DD" wp14:editId="285FCE14">
            <wp:extent cx="3672205" cy="17049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2DE4" w:rsidRPr="00E641D5" w:rsidRDefault="00DA2DE4" w:rsidP="00DA2DE4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16"/>
          <w:szCs w:val="16"/>
          <w:rtl/>
          <w:lang w:eastAsia="ar-SA"/>
        </w:rPr>
      </w:pPr>
    </w:p>
    <w:p w:rsidR="00995117" w:rsidRPr="00E641D5" w:rsidRDefault="00995117" w:rsidP="00E641D5">
      <w:pPr>
        <w:ind w:right="-142" w:hanging="286"/>
        <w:jc w:val="both"/>
        <w:rPr>
          <w:rFonts w:ascii="Simplified Arabic" w:eastAsia="Calibri" w:hAnsi="Simplified Arabic" w:cs="Simplified Arabic"/>
          <w:b/>
          <w:bCs/>
          <w:sz w:val="20"/>
          <w:szCs w:val="20"/>
          <w:rtl/>
          <w:lang w:eastAsia="en-US"/>
        </w:rPr>
      </w:pPr>
      <w:r w:rsidRPr="00E641D5">
        <w:rPr>
          <w:rFonts w:ascii="Simplified Arabic" w:eastAsia="Calibri" w:hAnsi="Simplified Arabic" w:cs="Simplified Arabic"/>
          <w:b/>
          <w:bCs/>
          <w:sz w:val="26"/>
          <w:szCs w:val="26"/>
          <w:rtl/>
          <w:lang w:eastAsia="en-US"/>
        </w:rPr>
        <w:t xml:space="preserve">   </w:t>
      </w:r>
      <w:r w:rsidRPr="00E641D5">
        <w:rPr>
          <w:rFonts w:ascii="Simplified Arabic" w:eastAsia="Calibri" w:hAnsi="Simplified Arabic" w:cs="Simplified Arabic"/>
          <w:b/>
          <w:bCs/>
          <w:sz w:val="20"/>
          <w:szCs w:val="20"/>
          <w:rtl/>
          <w:lang w:eastAsia="en-US"/>
        </w:rPr>
        <w:t xml:space="preserve">المصدر: الجهاز المركزي للإحصاء الفلسطيني، </w:t>
      </w:r>
      <w:r w:rsidRPr="00E641D5">
        <w:rPr>
          <w:rFonts w:ascii="Simplified Arabic" w:eastAsia="Calibri" w:hAnsi="Simplified Arabic" w:cs="Simplified Arabic"/>
          <w:b/>
          <w:bCs/>
          <w:sz w:val="20"/>
          <w:szCs w:val="20"/>
          <w:lang w:eastAsia="en-US"/>
        </w:rPr>
        <w:t>2023</w:t>
      </w:r>
      <w:r w:rsidRPr="00E641D5">
        <w:rPr>
          <w:rFonts w:ascii="Simplified Arabic" w:eastAsia="Calibri" w:hAnsi="Simplified Arabic" w:cs="Simplified Arabic"/>
          <w:sz w:val="20"/>
          <w:szCs w:val="20"/>
          <w:rtl/>
          <w:lang w:eastAsia="en-US"/>
        </w:rPr>
        <w:t>.  تقديرات مبنية على نتائج مسح القوى العاملة</w:t>
      </w:r>
      <w:r w:rsidR="00965A2A" w:rsidRPr="00E641D5">
        <w:rPr>
          <w:rFonts w:ascii="Simplified Arabic" w:eastAsia="Calibri" w:hAnsi="Simplified Arabic" w:cs="Simplified Arabic"/>
          <w:sz w:val="20"/>
          <w:szCs w:val="20"/>
          <w:rtl/>
          <w:lang w:eastAsia="en-US"/>
        </w:rPr>
        <w:t xml:space="preserve"> 2022</w:t>
      </w:r>
      <w:r w:rsidR="00A47BC7" w:rsidRPr="00E641D5">
        <w:rPr>
          <w:rFonts w:ascii="Simplified Arabic" w:eastAsia="Calibri" w:hAnsi="Simplified Arabic" w:cs="Simplified Arabic"/>
          <w:sz w:val="20"/>
          <w:szCs w:val="20"/>
          <w:rtl/>
          <w:lang w:eastAsia="en-US"/>
        </w:rPr>
        <w:t xml:space="preserve">، </w:t>
      </w:r>
      <w:r w:rsidRPr="00E641D5">
        <w:rPr>
          <w:rFonts w:ascii="Simplified Arabic" w:eastAsia="Calibri" w:hAnsi="Simplified Arabic" w:cs="Simplified Arabic"/>
          <w:sz w:val="20"/>
          <w:szCs w:val="20"/>
          <w:rtl/>
          <w:lang w:eastAsia="en-US"/>
        </w:rPr>
        <w:t>ونتائج التعداد العام للسكان والمساكن والمنشآت، 2017، رام الله - فلسطين.</w:t>
      </w:r>
    </w:p>
    <w:p w:rsidR="005D69BD" w:rsidRPr="00E641D5" w:rsidRDefault="005D69BD" w:rsidP="00E641D5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2DE4" w:rsidRPr="00E641D5" w:rsidRDefault="00DA2DE4" w:rsidP="00E641D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حوالي نصف كبار السن من الاناث متزوجات مقابل </w:t>
      </w:r>
      <w:r w:rsidR="009670A2"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92%</w:t>
      </w: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من الذكور </w:t>
      </w:r>
    </w:p>
    <w:p w:rsidR="00DA2DE4" w:rsidRPr="00E641D5" w:rsidRDefault="00DA2DE4" w:rsidP="00CA7C62">
      <w:pPr>
        <w:jc w:val="lowKashida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92% من كبار السن </w:t>
      </w:r>
      <w:r w:rsidR="00CA7C62"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الذكور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في</w:t>
      </w:r>
      <w:r w:rsidRPr="00E641D5">
        <w:rPr>
          <w:rFonts w:ascii="Simplified Arabic" w:hAnsi="Simplified Arabic" w:cs="Simplified Arabic"/>
          <w:sz w:val="26"/>
          <w:szCs w:val="26"/>
          <w:lang w:bidi="ar-EG"/>
        </w:rPr>
        <w:t xml:space="preserve">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فلسطين متزوجون مقابل 48% من الاناث متزوجات، في حين بلغت نسبة الترمل 7% بين كبار السن الذكور مقابل 42% بين الإناث لعام </w:t>
      </w:r>
      <w:r w:rsidRPr="00E641D5">
        <w:rPr>
          <w:rFonts w:ascii="Simplified Arabic" w:hAnsi="Simplified Arabic" w:cs="Simplified Arabic"/>
          <w:sz w:val="26"/>
          <w:szCs w:val="26"/>
          <w:lang w:bidi="ar-EG"/>
        </w:rPr>
        <w:t>2022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. مع العلم ان نسبة الترمل بين الذكور كبار السن كانت لعام 2007 في فلسطين 8% مقابل 43% بين الإناث كبار السن.</w:t>
      </w:r>
    </w:p>
    <w:p w:rsidR="00FB656E" w:rsidRPr="00E641D5" w:rsidRDefault="00FB656E" w:rsidP="00DA2DE4">
      <w:pPr>
        <w:jc w:val="lowKashida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FB656E" w:rsidRPr="00E641D5" w:rsidRDefault="00FB656E" w:rsidP="00FB656E">
      <w:p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حوالي 71% من كبار السن يعانون من أمراض مزمنة</w:t>
      </w:r>
    </w:p>
    <w:p w:rsidR="008201BD" w:rsidRDefault="00FB656E" w:rsidP="00564835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641D5">
        <w:rPr>
          <w:rFonts w:ascii="Simplified Arabic" w:hAnsi="Simplified Arabic" w:cs="Simplified Arabic"/>
          <w:sz w:val="26"/>
          <w:szCs w:val="26"/>
          <w:rtl/>
        </w:rPr>
        <w:t>حوالي 71% من كبار السن يعانون من أمراض مزمنه، بواقع حوالي 72% في الضفة الغربية مقابل 69% في قطاع غزة.  كما بلغت هذه النسبة حوالي 66% بين الذكور و76% بين الاناث.</w:t>
      </w:r>
    </w:p>
    <w:p w:rsidR="00564835" w:rsidRPr="00564835" w:rsidRDefault="00564835" w:rsidP="00564835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FB656E" w:rsidRPr="008201BD" w:rsidRDefault="00FB656E" w:rsidP="00FB656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201B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مدخن واحد من كل خمسة من كبار السن </w:t>
      </w:r>
    </w:p>
    <w:p w:rsidR="00FB656E" w:rsidRPr="00E641D5" w:rsidRDefault="00FB656E" w:rsidP="00FB656E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641D5">
        <w:rPr>
          <w:rFonts w:ascii="Simplified Arabic" w:hAnsi="Simplified Arabic" w:cs="Simplified Arabic"/>
          <w:sz w:val="26"/>
          <w:szCs w:val="26"/>
          <w:rtl/>
        </w:rPr>
        <w:t xml:space="preserve">حوالي 21% من كبار السن مدخنون، حيث بلغت هذه النسبة حوالي 38% بين الذكور من كبار السن وحوالي 5% مدخنات بين النساء كبيارات السن، كما بلغت نسبة كبار السن المدخنين في الضفة الغربية حوالي 26% (حوالي 45% بين الذكور و8% بين الإناث)، وحوالي 12% من كبار السن في قطاع غزة مدخنون (حوالي 25% بين الذكور و1% بين الإناث).  </w:t>
      </w:r>
    </w:p>
    <w:p w:rsidR="00E641D5" w:rsidRPr="00E641D5" w:rsidRDefault="00E641D5" w:rsidP="005D69BD">
      <w:pPr>
        <w:pStyle w:val="Head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2DE4" w:rsidRPr="008201BD" w:rsidRDefault="00DA2DE4" w:rsidP="005D69BD">
      <w:pPr>
        <w:pStyle w:val="Header"/>
        <w:rPr>
          <w:rFonts w:ascii="Simplified Arabic" w:hAnsi="Simplified Arabic" w:cs="Simplified Arabic"/>
          <w:b/>
          <w:bCs/>
          <w:sz w:val="28"/>
          <w:szCs w:val="28"/>
        </w:rPr>
      </w:pPr>
      <w:r w:rsidRPr="008201BD">
        <w:rPr>
          <w:rFonts w:ascii="Simplified Arabic" w:hAnsi="Simplified Arabic" w:cs="Simplified Arabic"/>
          <w:b/>
          <w:bCs/>
          <w:sz w:val="28"/>
          <w:szCs w:val="28"/>
          <w:rtl/>
        </w:rPr>
        <w:t>17% من كبار السن في فلسطين أنهوا دبلوم متوسط فأكثر</w:t>
      </w:r>
    </w:p>
    <w:p w:rsidR="00DA2DE4" w:rsidRPr="00E641D5" w:rsidRDefault="00DA2DE4" w:rsidP="00DA2DE4">
      <w:pPr>
        <w:pStyle w:val="Header"/>
        <w:jc w:val="both"/>
        <w:rPr>
          <w:rFonts w:ascii="Simplified Arabic" w:hAnsi="Simplified Arabic" w:cs="Simplified Arabic"/>
          <w:sz w:val="26"/>
          <w:szCs w:val="26"/>
          <w:lang w:eastAsia="ar-SA" w:bidi="ar-EG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حوالي 30% من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كبار السن </w:t>
      </w:r>
      <w:r w:rsidRPr="00E641D5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في فلسطين لـم ينهوا أي مرحلة تعليمية (امي/ ملم) (19% للذكور و41% للإناث)، في حين لم تتجاوز نسبة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كبار السن </w:t>
      </w:r>
      <w:r w:rsidRPr="00E641D5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الذين أنهوا دبلوم متوسط فأعلى 17% وذلك لعام 2022. </w:t>
      </w:r>
    </w:p>
    <w:p w:rsidR="00DA2DE4" w:rsidRPr="00E641D5" w:rsidRDefault="00DA2DE4" w:rsidP="00DA2DE4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  <w:lang w:eastAsia="ar-SA" w:bidi="ar-EG"/>
        </w:rPr>
      </w:pPr>
    </w:p>
    <w:p w:rsidR="00DA2DE4" w:rsidRPr="00E641D5" w:rsidRDefault="00DA2DE4" w:rsidP="00DA2DE4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  <w:lang w:eastAsia="ar-SA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كما أظهرت بيانات الحالة التعليمية لعام 2022 أن هناك فرقاً واضحاً بين الذكور والإناث في التحصيل العلمي، حيث بلغت نسبة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الذكور </w:t>
      </w:r>
      <w:r w:rsidRPr="00E641D5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>كبار السن</w:t>
      </w:r>
      <w:r w:rsidRPr="00E641D5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 الذين أنهوا دبلوم متوسط فأعلى في فلسطين 26%، بينما انخفضت لدى 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الاناث من كبار السن </w:t>
      </w:r>
      <w:r w:rsidRPr="00E641D5">
        <w:rPr>
          <w:rFonts w:ascii="Simplified Arabic" w:hAnsi="Simplified Arabic" w:cs="Simplified Arabic"/>
          <w:sz w:val="26"/>
          <w:szCs w:val="26"/>
          <w:rtl/>
          <w:lang w:eastAsia="ar-SA" w:bidi="ar-EG"/>
        </w:rPr>
        <w:t xml:space="preserve">لتصل إلى 10% فقط، مع العلم أن نسبة الأفراد 18 سنة فأكثر الذين يحملون الدبلوم المتوسط فأعلى في فلسطين 26% من مجمل السكان 18 سنة فأكثر (24% للذكور و29% للإناث). </w:t>
      </w:r>
    </w:p>
    <w:p w:rsidR="00DA2DE4" w:rsidRPr="00E641D5" w:rsidRDefault="00DA2DE4" w:rsidP="00DA2DE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A2DE4" w:rsidRPr="00E641D5" w:rsidRDefault="00DA2DE4" w:rsidP="005D69BD">
      <w:pPr>
        <w:pStyle w:val="Caption"/>
        <w:jc w:val="left"/>
        <w:rPr>
          <w:rFonts w:ascii="Simplified Arabic" w:hAnsi="Simplified Arabic"/>
          <w:sz w:val="28"/>
          <w:szCs w:val="28"/>
          <w:rtl/>
        </w:rPr>
      </w:pPr>
      <w:r w:rsidRPr="00E641D5">
        <w:rPr>
          <w:rFonts w:ascii="Simplified Arabic" w:hAnsi="Simplified Arabic"/>
          <w:sz w:val="28"/>
          <w:szCs w:val="28"/>
          <w:rtl/>
        </w:rPr>
        <w:t>تباين في نسبة مشاركة كبار السن في سوق العمل بين الضفة الغربية وقطاع غزة</w:t>
      </w:r>
    </w:p>
    <w:p w:rsidR="00DA2DE4" w:rsidRPr="00E641D5" w:rsidRDefault="00DA2DE4" w:rsidP="00DA2DE4">
      <w:pPr>
        <w:pStyle w:val="Header"/>
        <w:jc w:val="both"/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</w:pPr>
      <w:r w:rsidRPr="00E641D5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بلغت نسبة المشاركة في القوى العاملة بين كبار السن 15% خلال العام </w:t>
      </w:r>
      <w:r w:rsidRPr="00E641D5">
        <w:rPr>
          <w:rFonts w:ascii="Simplified Arabic" w:hAnsi="Simplified Arabic" w:cs="Simplified Arabic"/>
          <w:snapToGrid/>
          <w:sz w:val="26"/>
          <w:szCs w:val="26"/>
          <w:lang w:eastAsia="ar-SA" w:bidi="ar-EG"/>
        </w:rPr>
        <w:t>2022</w:t>
      </w:r>
      <w:r w:rsidRPr="00E641D5">
        <w:rPr>
          <w:rFonts w:ascii="Simplified Arabic" w:hAnsi="Simplified Arabic" w:cs="Simplified Arabic"/>
          <w:snapToGrid/>
          <w:sz w:val="26"/>
          <w:szCs w:val="26"/>
          <w:rtl/>
          <w:lang w:eastAsia="ar-SA" w:bidi="ar-EG"/>
        </w:rPr>
        <w:t xml:space="preserve"> حيث توزعت بواقع 20% في الضفة الغربية مقابل 6% في قطاع غزة.</w:t>
      </w:r>
    </w:p>
    <w:p w:rsidR="005D69BD" w:rsidRPr="00E641D5" w:rsidRDefault="005D69BD" w:rsidP="00DA2DE4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rtl/>
          <w:lang w:eastAsia="ar-SA" w:bidi="ar-EG"/>
        </w:rPr>
      </w:pPr>
    </w:p>
    <w:p w:rsidR="00014594" w:rsidRPr="00E641D5" w:rsidRDefault="00014594" w:rsidP="005D69BD">
      <w:pPr>
        <w:pStyle w:val="BodyText2"/>
        <w:jc w:val="left"/>
        <w:rPr>
          <w:rFonts w:ascii="Simplified Arabic" w:hAnsi="Simplified Arabic" w:cs="Simplified Arabic"/>
          <w:b/>
          <w:bCs/>
          <w:sz w:val="28"/>
        </w:rPr>
      </w:pPr>
      <w:r w:rsidRPr="00E641D5">
        <w:rPr>
          <w:rFonts w:ascii="Simplified Arabic" w:hAnsi="Simplified Arabic" w:cs="Simplified Arabic"/>
          <w:b/>
          <w:bCs/>
          <w:sz w:val="28"/>
          <w:rtl/>
        </w:rPr>
        <w:t xml:space="preserve">أكثر من ثلاثة ارباع كبار السن يمتلكون هاتف خلوي نقال </w:t>
      </w:r>
    </w:p>
    <w:p w:rsidR="00014594" w:rsidRPr="00E641D5" w:rsidRDefault="00014594" w:rsidP="00014594">
      <w:pPr>
        <w:jc w:val="lowKashida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حوالي 79% من كبار السن (60 سنة فأكثر) يمتلكون هاتف خلوي نقال في فلسطين </w:t>
      </w:r>
      <w:r w:rsidRPr="00E641D5">
        <w:rPr>
          <w:rFonts w:ascii="Simplified Arabic" w:hAnsi="Simplified Arabic" w:cs="Simplified Arabic"/>
          <w:sz w:val="26"/>
          <w:szCs w:val="26"/>
          <w:rtl/>
        </w:rPr>
        <w:t>في العام 2022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بواقع 83% في الضفة الغربية و72% في قطاع غزة، مع وجود فجوة بين الجنسين من كبار السن في نسبة امتلاك الهاتف الخلوي النقال حيث بلغت النسبة بين الذكور حوالي 87% مقابل 72% للاناث.  في حين بلغت نسبة كبار السن الذين يمتلكون هاتف ذكي حوالي 55% في فلسطين </w:t>
      </w:r>
      <w:r w:rsidRPr="00E641D5">
        <w:rPr>
          <w:rFonts w:ascii="Simplified Arabic" w:hAnsi="Simplified Arabic" w:cs="Simplified Arabic"/>
          <w:sz w:val="26"/>
          <w:szCs w:val="26"/>
          <w:rtl/>
        </w:rPr>
        <w:t>في العام 2022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بواقع 64% في الضفة الغربية و39% في قطاع غزة وعلى صعيد الجنس فقد بلغت هذه النسبة بين الذكور من كبار السن حوالي 58% وبين الاناث من كبار السن حوالي 53%. </w:t>
      </w:r>
    </w:p>
    <w:p w:rsidR="00014594" w:rsidRPr="00E641D5" w:rsidRDefault="00014594" w:rsidP="00014594">
      <w:pPr>
        <w:jc w:val="lowKashida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014594" w:rsidRPr="00E641D5" w:rsidRDefault="00014594" w:rsidP="005D69B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641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أكثر من نصف كبار السن يستخدمون الانترنت</w:t>
      </w:r>
    </w:p>
    <w:p w:rsidR="00014594" w:rsidRPr="00E641D5" w:rsidRDefault="00014594" w:rsidP="00014594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تشير البيانات الى أن نسبة كبار الذين استخدموا الانترنت من أي مكان بلغت حوالي 56% في فلسطين </w:t>
      </w:r>
      <w:r w:rsidRPr="00E641D5">
        <w:rPr>
          <w:rFonts w:ascii="Simplified Arabic" w:hAnsi="Simplified Arabic" w:cs="Simplified Arabic"/>
          <w:sz w:val="26"/>
          <w:szCs w:val="26"/>
          <w:rtl/>
        </w:rPr>
        <w:t>في العام 2022</w:t>
      </w:r>
      <w:r w:rsidRPr="00E641D5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بواقع 62% في الضفة الغربية و45% في قطاع غزة.  وعلى صعيد الجنس فقد بلغت هذه النسبة بين الذكور حوالي 61% مقابل 52% للاناث. </w:t>
      </w:r>
    </w:p>
    <w:p w:rsidR="008201BD" w:rsidRDefault="008201BD" w:rsidP="008201BD">
      <w:pPr>
        <w:rPr>
          <w:rFonts w:ascii="Simplified Arabic" w:hAnsi="Simplified Arabic" w:cs="Simplified Arabic"/>
          <w:sz w:val="26"/>
          <w:szCs w:val="26"/>
          <w:rtl/>
        </w:rPr>
      </w:pPr>
    </w:p>
    <w:p w:rsidR="000B5CE4" w:rsidRDefault="000B5CE4" w:rsidP="008201BD">
      <w:pPr>
        <w:rPr>
          <w:rFonts w:ascii="Simplified Arabic" w:hAnsi="Simplified Arabic" w:cs="Simplified Arabic"/>
          <w:sz w:val="26"/>
          <w:szCs w:val="26"/>
          <w:rtl/>
        </w:rPr>
      </w:pPr>
    </w:p>
    <w:p w:rsidR="000B5CE4" w:rsidRDefault="000B5CE4" w:rsidP="008201BD">
      <w:pPr>
        <w:rPr>
          <w:rFonts w:ascii="Simplified Arabic" w:hAnsi="Simplified Arabic" w:cs="Simplified Arabic"/>
          <w:sz w:val="26"/>
          <w:szCs w:val="26"/>
          <w:rtl/>
        </w:rPr>
      </w:pPr>
    </w:p>
    <w:p w:rsidR="00564835" w:rsidRPr="00E641D5" w:rsidRDefault="000B5CE4" w:rsidP="000B5CE4">
      <w:pPr>
        <w:jc w:val="center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E641D5">
        <w:rPr>
          <w:rFonts w:ascii="Simplified Arabic" w:hAnsi="Simplified Arabic" w:cs="Simplified Arabic"/>
          <w:noProof/>
          <w:sz w:val="20"/>
          <w:szCs w:val="20"/>
          <w:lang w:eastAsia="en-US"/>
        </w:rPr>
        <w:drawing>
          <wp:inline distT="0" distB="0" distL="0" distR="0" wp14:anchorId="2D13AE84" wp14:editId="671ACF19">
            <wp:extent cx="923925" cy="1076325"/>
            <wp:effectExtent l="0" t="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2" w:rsidRPr="00E641D5" w:rsidRDefault="00226AE2" w:rsidP="00AE1432">
      <w:pPr>
        <w:pStyle w:val="BodyText"/>
        <w:jc w:val="left"/>
        <w:rPr>
          <w:rFonts w:ascii="Simplified Arabic" w:hAnsi="Simplified Arabic"/>
          <w:b/>
          <w:bCs/>
          <w:sz w:val="26"/>
          <w:szCs w:val="26"/>
          <w:rtl/>
        </w:rPr>
      </w:pPr>
    </w:p>
    <w:p w:rsidR="00226AE2" w:rsidRPr="00E641D5" w:rsidRDefault="00226AE2" w:rsidP="00AE1432">
      <w:pPr>
        <w:pStyle w:val="BodyText"/>
        <w:jc w:val="left"/>
        <w:rPr>
          <w:rFonts w:ascii="Simplified Arabic" w:hAnsi="Simplified Arabic"/>
          <w:b/>
          <w:bCs/>
          <w:sz w:val="26"/>
          <w:szCs w:val="26"/>
        </w:rPr>
      </w:pPr>
    </w:p>
    <w:sectPr w:rsidR="00226AE2" w:rsidRPr="00E641D5" w:rsidSect="00E641D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93" w:right="1134" w:bottom="1134" w:left="1134" w:header="0" w:footer="107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28" w:rsidRDefault="00CE6F28">
      <w:r>
        <w:separator/>
      </w:r>
    </w:p>
  </w:endnote>
  <w:endnote w:type="continuationSeparator" w:id="0">
    <w:p w:rsidR="00CE6F28" w:rsidRDefault="00CE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12" w:rsidRDefault="006C0509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D43B1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D43B1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43B12" w:rsidRDefault="00D43B12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33443850"/>
      <w:docPartObj>
        <w:docPartGallery w:val="Page Numbers (Bottom of Page)"/>
        <w:docPartUnique/>
      </w:docPartObj>
    </w:sdtPr>
    <w:sdtEndPr/>
    <w:sdtContent>
      <w:p w:rsidR="008201BD" w:rsidRDefault="00820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87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43B12" w:rsidRDefault="00D43B12" w:rsidP="000D7742">
    <w:pPr>
      <w:pStyle w:val="Footer"/>
      <w:jc w:val="right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28" w:rsidRDefault="00CE6F28">
      <w:r>
        <w:separator/>
      </w:r>
    </w:p>
  </w:footnote>
  <w:footnote w:type="continuationSeparator" w:id="0">
    <w:p w:rsidR="00CE6F28" w:rsidRDefault="00CE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D5" w:rsidRDefault="00E641D5">
    <w:pPr>
      <w:pStyle w:val="Header"/>
    </w:pPr>
  </w:p>
  <w:p w:rsidR="00E641D5" w:rsidRDefault="00E641D5">
    <w:pPr>
      <w:pStyle w:val="Header"/>
    </w:pPr>
  </w:p>
  <w:p w:rsidR="00E641D5" w:rsidRDefault="00E64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72"/>
      <w:gridCol w:w="3474"/>
      <w:gridCol w:w="3474"/>
    </w:tblGrid>
    <w:tr w:rsidR="00D43B12" w:rsidTr="00B10EE0">
      <w:tc>
        <w:tcPr>
          <w:tcW w:w="3473" w:type="dxa"/>
          <w:vAlign w:val="center"/>
        </w:tcPr>
        <w:p w:rsidR="00D43B12" w:rsidRDefault="00D43B1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D43B12" w:rsidRDefault="00D43B1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D43B12" w:rsidRDefault="00D43B1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D43B12" w:rsidRDefault="00D43B12" w:rsidP="00311432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01/10/2019</w:t>
          </w:r>
        </w:p>
      </w:tc>
    </w:tr>
  </w:tbl>
  <w:p w:rsidR="00D43B12" w:rsidRPr="00237AA1" w:rsidRDefault="00D43B12" w:rsidP="00237AA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 w15:restartNumberingAfterBreak="0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 w15:restartNumberingAfterBreak="0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 w15:restartNumberingAfterBreak="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 w15:restartNumberingAfterBreak="0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 w15:restartNumberingAfterBreak="0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 w15:restartNumberingAfterBreak="0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 w15:restartNumberingAfterBreak="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 w15:restartNumberingAfterBreak="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 w15:restartNumberingAfterBreak="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 w15:restartNumberingAfterBreak="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2" w15:restartNumberingAfterBreak="0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6" w15:restartNumberingAfterBreak="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 w15:restartNumberingAfterBreak="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0" w15:restartNumberingAfterBreak="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 w15:restartNumberingAfterBreak="0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 w15:restartNumberingAfterBreak="0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40"/>
  </w:num>
  <w:num w:numId="5">
    <w:abstractNumId w:val="41"/>
  </w:num>
  <w:num w:numId="6">
    <w:abstractNumId w:val="28"/>
  </w:num>
  <w:num w:numId="7">
    <w:abstractNumId w:val="45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0"/>
  </w:num>
  <w:num w:numId="15">
    <w:abstractNumId w:val="22"/>
  </w:num>
  <w:num w:numId="16">
    <w:abstractNumId w:val="2"/>
  </w:num>
  <w:num w:numId="17">
    <w:abstractNumId w:val="34"/>
  </w:num>
  <w:num w:numId="18">
    <w:abstractNumId w:val="31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4"/>
  </w:num>
  <w:num w:numId="26">
    <w:abstractNumId w:val="36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7"/>
  </w:num>
  <w:num w:numId="34">
    <w:abstractNumId w:val="33"/>
  </w:num>
  <w:num w:numId="35">
    <w:abstractNumId w:val="13"/>
  </w:num>
  <w:num w:numId="36">
    <w:abstractNumId w:val="29"/>
  </w:num>
  <w:num w:numId="37">
    <w:abstractNumId w:val="0"/>
  </w:num>
  <w:num w:numId="38">
    <w:abstractNumId w:val="26"/>
  </w:num>
  <w:num w:numId="39">
    <w:abstractNumId w:val="20"/>
  </w:num>
  <w:num w:numId="40">
    <w:abstractNumId w:val="42"/>
  </w:num>
  <w:num w:numId="41">
    <w:abstractNumId w:val="19"/>
  </w:num>
  <w:num w:numId="42">
    <w:abstractNumId w:val="24"/>
  </w:num>
  <w:num w:numId="43">
    <w:abstractNumId w:val="38"/>
  </w:num>
  <w:num w:numId="44">
    <w:abstractNumId w:val="32"/>
  </w:num>
  <w:num w:numId="45">
    <w:abstractNumId w:val="4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D"/>
    <w:rsid w:val="000009B3"/>
    <w:rsid w:val="0000499B"/>
    <w:rsid w:val="0001262F"/>
    <w:rsid w:val="00014594"/>
    <w:rsid w:val="00020A4E"/>
    <w:rsid w:val="00022117"/>
    <w:rsid w:val="00024A21"/>
    <w:rsid w:val="0002728C"/>
    <w:rsid w:val="0003198B"/>
    <w:rsid w:val="0003388D"/>
    <w:rsid w:val="00040B20"/>
    <w:rsid w:val="00047F4B"/>
    <w:rsid w:val="000512B5"/>
    <w:rsid w:val="000515A8"/>
    <w:rsid w:val="00052163"/>
    <w:rsid w:val="0005652C"/>
    <w:rsid w:val="000655F8"/>
    <w:rsid w:val="00066492"/>
    <w:rsid w:val="00066BA2"/>
    <w:rsid w:val="00075C85"/>
    <w:rsid w:val="000776BD"/>
    <w:rsid w:val="00081D12"/>
    <w:rsid w:val="00084A0F"/>
    <w:rsid w:val="00086739"/>
    <w:rsid w:val="0009101D"/>
    <w:rsid w:val="00091AA8"/>
    <w:rsid w:val="0009306C"/>
    <w:rsid w:val="00095875"/>
    <w:rsid w:val="0009735B"/>
    <w:rsid w:val="000A0A38"/>
    <w:rsid w:val="000A0AB9"/>
    <w:rsid w:val="000A120B"/>
    <w:rsid w:val="000A2143"/>
    <w:rsid w:val="000A236A"/>
    <w:rsid w:val="000A31C1"/>
    <w:rsid w:val="000B1CDF"/>
    <w:rsid w:val="000B2899"/>
    <w:rsid w:val="000B2EAA"/>
    <w:rsid w:val="000B33DA"/>
    <w:rsid w:val="000B5CE4"/>
    <w:rsid w:val="000C0CC7"/>
    <w:rsid w:val="000C36D5"/>
    <w:rsid w:val="000C3718"/>
    <w:rsid w:val="000C3FE8"/>
    <w:rsid w:val="000C5633"/>
    <w:rsid w:val="000D0C52"/>
    <w:rsid w:val="000D21E7"/>
    <w:rsid w:val="000D41AC"/>
    <w:rsid w:val="000D4428"/>
    <w:rsid w:val="000D7742"/>
    <w:rsid w:val="000D7BAF"/>
    <w:rsid w:val="000E2DC1"/>
    <w:rsid w:val="000E4CBF"/>
    <w:rsid w:val="000F3790"/>
    <w:rsid w:val="000F405B"/>
    <w:rsid w:val="000F51A2"/>
    <w:rsid w:val="000F7982"/>
    <w:rsid w:val="0010426D"/>
    <w:rsid w:val="0010591C"/>
    <w:rsid w:val="00110AF6"/>
    <w:rsid w:val="0011450A"/>
    <w:rsid w:val="001204F0"/>
    <w:rsid w:val="00131839"/>
    <w:rsid w:val="00131F76"/>
    <w:rsid w:val="00132472"/>
    <w:rsid w:val="00134EB4"/>
    <w:rsid w:val="001354E9"/>
    <w:rsid w:val="00136C49"/>
    <w:rsid w:val="001409DB"/>
    <w:rsid w:val="00144C3B"/>
    <w:rsid w:val="00145391"/>
    <w:rsid w:val="00145FE2"/>
    <w:rsid w:val="00150BD1"/>
    <w:rsid w:val="0015215B"/>
    <w:rsid w:val="0016201D"/>
    <w:rsid w:val="00171D42"/>
    <w:rsid w:val="00171F39"/>
    <w:rsid w:val="00173AF0"/>
    <w:rsid w:val="001804CD"/>
    <w:rsid w:val="00180C66"/>
    <w:rsid w:val="00190759"/>
    <w:rsid w:val="00192EA5"/>
    <w:rsid w:val="00194761"/>
    <w:rsid w:val="001954BF"/>
    <w:rsid w:val="001A0EC2"/>
    <w:rsid w:val="001A2E41"/>
    <w:rsid w:val="001A34DB"/>
    <w:rsid w:val="001A41C2"/>
    <w:rsid w:val="001A6C06"/>
    <w:rsid w:val="001B0642"/>
    <w:rsid w:val="001B0C9B"/>
    <w:rsid w:val="001B0F25"/>
    <w:rsid w:val="001B5534"/>
    <w:rsid w:val="001B7C09"/>
    <w:rsid w:val="001C3E7E"/>
    <w:rsid w:val="001D06DC"/>
    <w:rsid w:val="001D1D2A"/>
    <w:rsid w:val="001D502F"/>
    <w:rsid w:val="001E37BA"/>
    <w:rsid w:val="001E5AE2"/>
    <w:rsid w:val="001F05DD"/>
    <w:rsid w:val="001F24F9"/>
    <w:rsid w:val="001F32D8"/>
    <w:rsid w:val="001F3B0A"/>
    <w:rsid w:val="001F4677"/>
    <w:rsid w:val="001F65D6"/>
    <w:rsid w:val="001F7C37"/>
    <w:rsid w:val="002013DE"/>
    <w:rsid w:val="00203025"/>
    <w:rsid w:val="002067FB"/>
    <w:rsid w:val="00210E7A"/>
    <w:rsid w:val="002113E4"/>
    <w:rsid w:val="002132AA"/>
    <w:rsid w:val="00213EBE"/>
    <w:rsid w:val="00222055"/>
    <w:rsid w:val="00226AE2"/>
    <w:rsid w:val="002276F8"/>
    <w:rsid w:val="002305D0"/>
    <w:rsid w:val="00230A9C"/>
    <w:rsid w:val="002320ED"/>
    <w:rsid w:val="002327EE"/>
    <w:rsid w:val="00233C4E"/>
    <w:rsid w:val="0023786A"/>
    <w:rsid w:val="00237AA1"/>
    <w:rsid w:val="00240F18"/>
    <w:rsid w:val="0025203D"/>
    <w:rsid w:val="0025768C"/>
    <w:rsid w:val="00267642"/>
    <w:rsid w:val="00273617"/>
    <w:rsid w:val="00277089"/>
    <w:rsid w:val="00277788"/>
    <w:rsid w:val="002810B7"/>
    <w:rsid w:val="00281D66"/>
    <w:rsid w:val="00282C72"/>
    <w:rsid w:val="00287E2D"/>
    <w:rsid w:val="00291FD6"/>
    <w:rsid w:val="00297A9F"/>
    <w:rsid w:val="002A0A0E"/>
    <w:rsid w:val="002A293C"/>
    <w:rsid w:val="002A3556"/>
    <w:rsid w:val="002A3BFC"/>
    <w:rsid w:val="002A6913"/>
    <w:rsid w:val="002B148C"/>
    <w:rsid w:val="002C219C"/>
    <w:rsid w:val="002C4877"/>
    <w:rsid w:val="002E38E1"/>
    <w:rsid w:val="002E767D"/>
    <w:rsid w:val="002E7D96"/>
    <w:rsid w:val="002F0058"/>
    <w:rsid w:val="002F5C78"/>
    <w:rsid w:val="003079F0"/>
    <w:rsid w:val="00311432"/>
    <w:rsid w:val="00311D59"/>
    <w:rsid w:val="003128D0"/>
    <w:rsid w:val="0031407A"/>
    <w:rsid w:val="0031564A"/>
    <w:rsid w:val="00315F61"/>
    <w:rsid w:val="0032018D"/>
    <w:rsid w:val="00323578"/>
    <w:rsid w:val="00325025"/>
    <w:rsid w:val="00325D6B"/>
    <w:rsid w:val="003304DF"/>
    <w:rsid w:val="0033155E"/>
    <w:rsid w:val="00337654"/>
    <w:rsid w:val="00343144"/>
    <w:rsid w:val="00347F6E"/>
    <w:rsid w:val="00352912"/>
    <w:rsid w:val="003533CD"/>
    <w:rsid w:val="003540E4"/>
    <w:rsid w:val="003553B3"/>
    <w:rsid w:val="00356CE0"/>
    <w:rsid w:val="003609DD"/>
    <w:rsid w:val="00365826"/>
    <w:rsid w:val="00366182"/>
    <w:rsid w:val="003735DD"/>
    <w:rsid w:val="00375995"/>
    <w:rsid w:val="003771DC"/>
    <w:rsid w:val="003858CC"/>
    <w:rsid w:val="00393593"/>
    <w:rsid w:val="003947D2"/>
    <w:rsid w:val="00395A4D"/>
    <w:rsid w:val="003A0BA4"/>
    <w:rsid w:val="003B13C8"/>
    <w:rsid w:val="003B2271"/>
    <w:rsid w:val="003C0865"/>
    <w:rsid w:val="003C526E"/>
    <w:rsid w:val="003C7A14"/>
    <w:rsid w:val="003D154B"/>
    <w:rsid w:val="003D3D4E"/>
    <w:rsid w:val="003D4941"/>
    <w:rsid w:val="003D6D1C"/>
    <w:rsid w:val="003E0351"/>
    <w:rsid w:val="003E0904"/>
    <w:rsid w:val="003E2012"/>
    <w:rsid w:val="003E253A"/>
    <w:rsid w:val="003F28EF"/>
    <w:rsid w:val="003F4698"/>
    <w:rsid w:val="003F56B7"/>
    <w:rsid w:val="003F5D73"/>
    <w:rsid w:val="003F6DAC"/>
    <w:rsid w:val="00402DFA"/>
    <w:rsid w:val="00410898"/>
    <w:rsid w:val="00412214"/>
    <w:rsid w:val="00423C6E"/>
    <w:rsid w:val="00433E7F"/>
    <w:rsid w:val="0043511A"/>
    <w:rsid w:val="00443A95"/>
    <w:rsid w:val="00443C21"/>
    <w:rsid w:val="0045177A"/>
    <w:rsid w:val="00453F57"/>
    <w:rsid w:val="00461B9D"/>
    <w:rsid w:val="00462315"/>
    <w:rsid w:val="00462BF3"/>
    <w:rsid w:val="00465B22"/>
    <w:rsid w:val="00470051"/>
    <w:rsid w:val="00470611"/>
    <w:rsid w:val="00471326"/>
    <w:rsid w:val="004735FF"/>
    <w:rsid w:val="0047396B"/>
    <w:rsid w:val="00474CC7"/>
    <w:rsid w:val="00474CDE"/>
    <w:rsid w:val="004818AC"/>
    <w:rsid w:val="00484B43"/>
    <w:rsid w:val="00485A39"/>
    <w:rsid w:val="00485BCD"/>
    <w:rsid w:val="004875E1"/>
    <w:rsid w:val="0049613B"/>
    <w:rsid w:val="004970F9"/>
    <w:rsid w:val="004974D1"/>
    <w:rsid w:val="004A1EBB"/>
    <w:rsid w:val="004A4083"/>
    <w:rsid w:val="004A42A8"/>
    <w:rsid w:val="004A4E84"/>
    <w:rsid w:val="004A69E3"/>
    <w:rsid w:val="004A7F0F"/>
    <w:rsid w:val="004B2084"/>
    <w:rsid w:val="004B2D88"/>
    <w:rsid w:val="004C2149"/>
    <w:rsid w:val="004C330A"/>
    <w:rsid w:val="004D1D1A"/>
    <w:rsid w:val="004D1E53"/>
    <w:rsid w:val="004D2F70"/>
    <w:rsid w:val="004D5FA5"/>
    <w:rsid w:val="004D7CE1"/>
    <w:rsid w:val="004E03B7"/>
    <w:rsid w:val="004E0CA7"/>
    <w:rsid w:val="004E1748"/>
    <w:rsid w:val="004E6593"/>
    <w:rsid w:val="004E689C"/>
    <w:rsid w:val="004F08F9"/>
    <w:rsid w:val="004F676C"/>
    <w:rsid w:val="005016E0"/>
    <w:rsid w:val="00504FF6"/>
    <w:rsid w:val="00514504"/>
    <w:rsid w:val="00521AD3"/>
    <w:rsid w:val="00531D6D"/>
    <w:rsid w:val="005368CC"/>
    <w:rsid w:val="00536E23"/>
    <w:rsid w:val="00537F57"/>
    <w:rsid w:val="00546089"/>
    <w:rsid w:val="005516C5"/>
    <w:rsid w:val="005528BA"/>
    <w:rsid w:val="005532E3"/>
    <w:rsid w:val="00555DB1"/>
    <w:rsid w:val="00556710"/>
    <w:rsid w:val="005579D0"/>
    <w:rsid w:val="00560306"/>
    <w:rsid w:val="00561952"/>
    <w:rsid w:val="00561962"/>
    <w:rsid w:val="00564554"/>
    <w:rsid w:val="00564835"/>
    <w:rsid w:val="00570ABF"/>
    <w:rsid w:val="00584C10"/>
    <w:rsid w:val="00584D08"/>
    <w:rsid w:val="00585285"/>
    <w:rsid w:val="00591418"/>
    <w:rsid w:val="00591945"/>
    <w:rsid w:val="00591D40"/>
    <w:rsid w:val="00591F1D"/>
    <w:rsid w:val="00593E0C"/>
    <w:rsid w:val="00594A0A"/>
    <w:rsid w:val="00595E96"/>
    <w:rsid w:val="005A02C5"/>
    <w:rsid w:val="005A0771"/>
    <w:rsid w:val="005A17ED"/>
    <w:rsid w:val="005A19DF"/>
    <w:rsid w:val="005A1C5B"/>
    <w:rsid w:val="005B5E1E"/>
    <w:rsid w:val="005C4A93"/>
    <w:rsid w:val="005C51AC"/>
    <w:rsid w:val="005D3082"/>
    <w:rsid w:val="005D3AAE"/>
    <w:rsid w:val="005D69BD"/>
    <w:rsid w:val="005D716B"/>
    <w:rsid w:val="005D71CA"/>
    <w:rsid w:val="005E0AFD"/>
    <w:rsid w:val="005E0B17"/>
    <w:rsid w:val="005E12F5"/>
    <w:rsid w:val="005E2918"/>
    <w:rsid w:val="005E62C4"/>
    <w:rsid w:val="005E7C14"/>
    <w:rsid w:val="005F520E"/>
    <w:rsid w:val="006009B1"/>
    <w:rsid w:val="006013DB"/>
    <w:rsid w:val="00605201"/>
    <w:rsid w:val="006076F6"/>
    <w:rsid w:val="00611A50"/>
    <w:rsid w:val="006153F2"/>
    <w:rsid w:val="006153F3"/>
    <w:rsid w:val="00617884"/>
    <w:rsid w:val="00621400"/>
    <w:rsid w:val="00623240"/>
    <w:rsid w:val="00623E3E"/>
    <w:rsid w:val="00631401"/>
    <w:rsid w:val="00632E80"/>
    <w:rsid w:val="006336C3"/>
    <w:rsid w:val="00641A9B"/>
    <w:rsid w:val="00644D08"/>
    <w:rsid w:val="006503F5"/>
    <w:rsid w:val="00651865"/>
    <w:rsid w:val="0065352C"/>
    <w:rsid w:val="006571A9"/>
    <w:rsid w:val="0066603D"/>
    <w:rsid w:val="00666124"/>
    <w:rsid w:val="00670CEB"/>
    <w:rsid w:val="00670F21"/>
    <w:rsid w:val="00673176"/>
    <w:rsid w:val="00685FC2"/>
    <w:rsid w:val="00690179"/>
    <w:rsid w:val="006973AE"/>
    <w:rsid w:val="006A140E"/>
    <w:rsid w:val="006A35C5"/>
    <w:rsid w:val="006A6901"/>
    <w:rsid w:val="006B08FC"/>
    <w:rsid w:val="006B09E2"/>
    <w:rsid w:val="006B7417"/>
    <w:rsid w:val="006B798C"/>
    <w:rsid w:val="006B79B9"/>
    <w:rsid w:val="006C0509"/>
    <w:rsid w:val="006C176A"/>
    <w:rsid w:val="006C39D7"/>
    <w:rsid w:val="006C4696"/>
    <w:rsid w:val="006C633D"/>
    <w:rsid w:val="006D1684"/>
    <w:rsid w:val="006D19E0"/>
    <w:rsid w:val="006D7FE3"/>
    <w:rsid w:val="006E0C76"/>
    <w:rsid w:val="006E2267"/>
    <w:rsid w:val="006E3D2A"/>
    <w:rsid w:val="006E3E08"/>
    <w:rsid w:val="006F2CD9"/>
    <w:rsid w:val="006F2DC8"/>
    <w:rsid w:val="006F443E"/>
    <w:rsid w:val="00700255"/>
    <w:rsid w:val="00700A89"/>
    <w:rsid w:val="00705ABA"/>
    <w:rsid w:val="00705FD3"/>
    <w:rsid w:val="007060CC"/>
    <w:rsid w:val="00707FBC"/>
    <w:rsid w:val="00711393"/>
    <w:rsid w:val="007119FC"/>
    <w:rsid w:val="00713646"/>
    <w:rsid w:val="00713A45"/>
    <w:rsid w:val="0071494F"/>
    <w:rsid w:val="00715D55"/>
    <w:rsid w:val="0071615B"/>
    <w:rsid w:val="007161A4"/>
    <w:rsid w:val="0071624D"/>
    <w:rsid w:val="007166B8"/>
    <w:rsid w:val="00716CA2"/>
    <w:rsid w:val="00716E2A"/>
    <w:rsid w:val="0072454E"/>
    <w:rsid w:val="007247D9"/>
    <w:rsid w:val="00730A00"/>
    <w:rsid w:val="0073317A"/>
    <w:rsid w:val="00734C11"/>
    <w:rsid w:val="007411B9"/>
    <w:rsid w:val="0074189B"/>
    <w:rsid w:val="00743116"/>
    <w:rsid w:val="007458EE"/>
    <w:rsid w:val="00746B86"/>
    <w:rsid w:val="0075266A"/>
    <w:rsid w:val="00762035"/>
    <w:rsid w:val="007654B8"/>
    <w:rsid w:val="00766F5C"/>
    <w:rsid w:val="007672C9"/>
    <w:rsid w:val="00770501"/>
    <w:rsid w:val="00771DAD"/>
    <w:rsid w:val="00772FCA"/>
    <w:rsid w:val="00773629"/>
    <w:rsid w:val="00774F8E"/>
    <w:rsid w:val="0077633D"/>
    <w:rsid w:val="0077683C"/>
    <w:rsid w:val="00781745"/>
    <w:rsid w:val="00787067"/>
    <w:rsid w:val="00791CEA"/>
    <w:rsid w:val="00791FBA"/>
    <w:rsid w:val="0079230F"/>
    <w:rsid w:val="00792CE9"/>
    <w:rsid w:val="00793116"/>
    <w:rsid w:val="00797BB8"/>
    <w:rsid w:val="007A07E4"/>
    <w:rsid w:val="007A1DF0"/>
    <w:rsid w:val="007B0D3A"/>
    <w:rsid w:val="007B1A57"/>
    <w:rsid w:val="007B2387"/>
    <w:rsid w:val="007B24FC"/>
    <w:rsid w:val="007B5915"/>
    <w:rsid w:val="007B5E27"/>
    <w:rsid w:val="007B7FD3"/>
    <w:rsid w:val="007C2298"/>
    <w:rsid w:val="007C29B5"/>
    <w:rsid w:val="007C40ED"/>
    <w:rsid w:val="007C6F91"/>
    <w:rsid w:val="007D038C"/>
    <w:rsid w:val="007D0A11"/>
    <w:rsid w:val="007D7730"/>
    <w:rsid w:val="007E0F9C"/>
    <w:rsid w:val="007E7120"/>
    <w:rsid w:val="007F0628"/>
    <w:rsid w:val="007F623C"/>
    <w:rsid w:val="007F6B11"/>
    <w:rsid w:val="007F6E11"/>
    <w:rsid w:val="00803D6D"/>
    <w:rsid w:val="0080509D"/>
    <w:rsid w:val="00805437"/>
    <w:rsid w:val="00805B4B"/>
    <w:rsid w:val="00810281"/>
    <w:rsid w:val="00810D16"/>
    <w:rsid w:val="00812375"/>
    <w:rsid w:val="0081532D"/>
    <w:rsid w:val="008159D2"/>
    <w:rsid w:val="008201BD"/>
    <w:rsid w:val="00821D7B"/>
    <w:rsid w:val="00823DA0"/>
    <w:rsid w:val="0082421A"/>
    <w:rsid w:val="0084197F"/>
    <w:rsid w:val="0084302D"/>
    <w:rsid w:val="00843B6C"/>
    <w:rsid w:val="008463A8"/>
    <w:rsid w:val="008517E9"/>
    <w:rsid w:val="00853595"/>
    <w:rsid w:val="008558DA"/>
    <w:rsid w:val="00856E95"/>
    <w:rsid w:val="008572BB"/>
    <w:rsid w:val="008601D9"/>
    <w:rsid w:val="00861980"/>
    <w:rsid w:val="00864162"/>
    <w:rsid w:val="00866D4A"/>
    <w:rsid w:val="008712FD"/>
    <w:rsid w:val="00871AC5"/>
    <w:rsid w:val="0087384A"/>
    <w:rsid w:val="00881E93"/>
    <w:rsid w:val="008823BC"/>
    <w:rsid w:val="00883EB1"/>
    <w:rsid w:val="00893099"/>
    <w:rsid w:val="0089582C"/>
    <w:rsid w:val="00896D01"/>
    <w:rsid w:val="00897B99"/>
    <w:rsid w:val="008A2EDD"/>
    <w:rsid w:val="008A3BB0"/>
    <w:rsid w:val="008A669F"/>
    <w:rsid w:val="008B563A"/>
    <w:rsid w:val="008B5798"/>
    <w:rsid w:val="008B715F"/>
    <w:rsid w:val="008B7ECB"/>
    <w:rsid w:val="008C0974"/>
    <w:rsid w:val="008D25B7"/>
    <w:rsid w:val="008D3C85"/>
    <w:rsid w:val="008D46BD"/>
    <w:rsid w:val="008D6692"/>
    <w:rsid w:val="008D6C41"/>
    <w:rsid w:val="008E03F5"/>
    <w:rsid w:val="008E0DFB"/>
    <w:rsid w:val="008E252D"/>
    <w:rsid w:val="008E3056"/>
    <w:rsid w:val="008E6845"/>
    <w:rsid w:val="008F631E"/>
    <w:rsid w:val="00902614"/>
    <w:rsid w:val="00912D6F"/>
    <w:rsid w:val="00913528"/>
    <w:rsid w:val="00913A72"/>
    <w:rsid w:val="00914004"/>
    <w:rsid w:val="00920B49"/>
    <w:rsid w:val="00922728"/>
    <w:rsid w:val="00924103"/>
    <w:rsid w:val="00926DDA"/>
    <w:rsid w:val="00934807"/>
    <w:rsid w:val="0093576B"/>
    <w:rsid w:val="00946C71"/>
    <w:rsid w:val="00947070"/>
    <w:rsid w:val="00947191"/>
    <w:rsid w:val="0095216C"/>
    <w:rsid w:val="00953286"/>
    <w:rsid w:val="00954088"/>
    <w:rsid w:val="00954E01"/>
    <w:rsid w:val="00957873"/>
    <w:rsid w:val="00957D5C"/>
    <w:rsid w:val="00963040"/>
    <w:rsid w:val="00965A2A"/>
    <w:rsid w:val="00966471"/>
    <w:rsid w:val="009670A2"/>
    <w:rsid w:val="00967668"/>
    <w:rsid w:val="0096774C"/>
    <w:rsid w:val="00967819"/>
    <w:rsid w:val="00970692"/>
    <w:rsid w:val="009764B5"/>
    <w:rsid w:val="0098424C"/>
    <w:rsid w:val="00984F17"/>
    <w:rsid w:val="0098565D"/>
    <w:rsid w:val="00990378"/>
    <w:rsid w:val="00995117"/>
    <w:rsid w:val="009A0857"/>
    <w:rsid w:val="009A1388"/>
    <w:rsid w:val="009A2B61"/>
    <w:rsid w:val="009A3B64"/>
    <w:rsid w:val="009A5C76"/>
    <w:rsid w:val="009B5396"/>
    <w:rsid w:val="009B53EF"/>
    <w:rsid w:val="009C20B2"/>
    <w:rsid w:val="009C592D"/>
    <w:rsid w:val="009C779B"/>
    <w:rsid w:val="009D1795"/>
    <w:rsid w:val="009D1F70"/>
    <w:rsid w:val="009D388A"/>
    <w:rsid w:val="009D6EB6"/>
    <w:rsid w:val="009F6330"/>
    <w:rsid w:val="00A02572"/>
    <w:rsid w:val="00A026E9"/>
    <w:rsid w:val="00A1219D"/>
    <w:rsid w:val="00A12A52"/>
    <w:rsid w:val="00A12F1A"/>
    <w:rsid w:val="00A14E9D"/>
    <w:rsid w:val="00A223DD"/>
    <w:rsid w:val="00A22E99"/>
    <w:rsid w:val="00A24389"/>
    <w:rsid w:val="00A260F1"/>
    <w:rsid w:val="00A279EE"/>
    <w:rsid w:val="00A31AA0"/>
    <w:rsid w:val="00A43DBD"/>
    <w:rsid w:val="00A46DA1"/>
    <w:rsid w:val="00A47BC7"/>
    <w:rsid w:val="00A57A50"/>
    <w:rsid w:val="00A601D7"/>
    <w:rsid w:val="00A67EF0"/>
    <w:rsid w:val="00A72369"/>
    <w:rsid w:val="00A741FA"/>
    <w:rsid w:val="00A80B0B"/>
    <w:rsid w:val="00A907EE"/>
    <w:rsid w:val="00A92715"/>
    <w:rsid w:val="00A9547E"/>
    <w:rsid w:val="00A959F2"/>
    <w:rsid w:val="00A96904"/>
    <w:rsid w:val="00AA426A"/>
    <w:rsid w:val="00AA52D3"/>
    <w:rsid w:val="00AA5E21"/>
    <w:rsid w:val="00AB0B76"/>
    <w:rsid w:val="00AB1450"/>
    <w:rsid w:val="00AB36C2"/>
    <w:rsid w:val="00AB7080"/>
    <w:rsid w:val="00AB7AA0"/>
    <w:rsid w:val="00AC064B"/>
    <w:rsid w:val="00AC1B3B"/>
    <w:rsid w:val="00AC28A0"/>
    <w:rsid w:val="00AD4770"/>
    <w:rsid w:val="00AD5323"/>
    <w:rsid w:val="00AD6533"/>
    <w:rsid w:val="00AE1308"/>
    <w:rsid w:val="00AE1432"/>
    <w:rsid w:val="00AE1ED3"/>
    <w:rsid w:val="00AE2646"/>
    <w:rsid w:val="00AE7FE9"/>
    <w:rsid w:val="00AF18DF"/>
    <w:rsid w:val="00AF436E"/>
    <w:rsid w:val="00B03C48"/>
    <w:rsid w:val="00B04FC0"/>
    <w:rsid w:val="00B10EE0"/>
    <w:rsid w:val="00B13B18"/>
    <w:rsid w:val="00B17AA1"/>
    <w:rsid w:val="00B203FA"/>
    <w:rsid w:val="00B221BA"/>
    <w:rsid w:val="00B274FB"/>
    <w:rsid w:val="00B31F9B"/>
    <w:rsid w:val="00B32921"/>
    <w:rsid w:val="00B337A2"/>
    <w:rsid w:val="00B348DC"/>
    <w:rsid w:val="00B35C47"/>
    <w:rsid w:val="00B4070B"/>
    <w:rsid w:val="00B4307A"/>
    <w:rsid w:val="00B44DEB"/>
    <w:rsid w:val="00B471A0"/>
    <w:rsid w:val="00B50BAD"/>
    <w:rsid w:val="00B528E1"/>
    <w:rsid w:val="00B53717"/>
    <w:rsid w:val="00B54991"/>
    <w:rsid w:val="00B60FB6"/>
    <w:rsid w:val="00B65023"/>
    <w:rsid w:val="00B66538"/>
    <w:rsid w:val="00B704CE"/>
    <w:rsid w:val="00B728C6"/>
    <w:rsid w:val="00B74F39"/>
    <w:rsid w:val="00B80E4F"/>
    <w:rsid w:val="00B92E6A"/>
    <w:rsid w:val="00BA2437"/>
    <w:rsid w:val="00BA2941"/>
    <w:rsid w:val="00BA3855"/>
    <w:rsid w:val="00BA5CF1"/>
    <w:rsid w:val="00BA64DC"/>
    <w:rsid w:val="00BB002E"/>
    <w:rsid w:val="00BB61DC"/>
    <w:rsid w:val="00BB67E3"/>
    <w:rsid w:val="00BB6840"/>
    <w:rsid w:val="00BB7454"/>
    <w:rsid w:val="00BC0AC3"/>
    <w:rsid w:val="00BC42ED"/>
    <w:rsid w:val="00BC4F31"/>
    <w:rsid w:val="00BC7C80"/>
    <w:rsid w:val="00BD2F84"/>
    <w:rsid w:val="00BD4930"/>
    <w:rsid w:val="00BE13DD"/>
    <w:rsid w:val="00BE3E75"/>
    <w:rsid w:val="00BE4D59"/>
    <w:rsid w:val="00BE5653"/>
    <w:rsid w:val="00BF1B3D"/>
    <w:rsid w:val="00BF3F43"/>
    <w:rsid w:val="00BF6140"/>
    <w:rsid w:val="00BF6D2A"/>
    <w:rsid w:val="00C00DCB"/>
    <w:rsid w:val="00C053B6"/>
    <w:rsid w:val="00C055DF"/>
    <w:rsid w:val="00C119B9"/>
    <w:rsid w:val="00C13017"/>
    <w:rsid w:val="00C13507"/>
    <w:rsid w:val="00C239DA"/>
    <w:rsid w:val="00C23C07"/>
    <w:rsid w:val="00C2560B"/>
    <w:rsid w:val="00C2599B"/>
    <w:rsid w:val="00C31EF2"/>
    <w:rsid w:val="00C3241A"/>
    <w:rsid w:val="00C33486"/>
    <w:rsid w:val="00C3419E"/>
    <w:rsid w:val="00C3534F"/>
    <w:rsid w:val="00C40C0A"/>
    <w:rsid w:val="00C41183"/>
    <w:rsid w:val="00C41A60"/>
    <w:rsid w:val="00C452F4"/>
    <w:rsid w:val="00C46860"/>
    <w:rsid w:val="00C5116A"/>
    <w:rsid w:val="00C566AD"/>
    <w:rsid w:val="00C566C0"/>
    <w:rsid w:val="00C56C45"/>
    <w:rsid w:val="00C57106"/>
    <w:rsid w:val="00C57BEA"/>
    <w:rsid w:val="00C66A26"/>
    <w:rsid w:val="00C71A3B"/>
    <w:rsid w:val="00C71EEC"/>
    <w:rsid w:val="00C74108"/>
    <w:rsid w:val="00C834BF"/>
    <w:rsid w:val="00C85207"/>
    <w:rsid w:val="00C85AA6"/>
    <w:rsid w:val="00C86A0B"/>
    <w:rsid w:val="00C904BC"/>
    <w:rsid w:val="00CA0330"/>
    <w:rsid w:val="00CA1B25"/>
    <w:rsid w:val="00CA431D"/>
    <w:rsid w:val="00CA72C4"/>
    <w:rsid w:val="00CA7C62"/>
    <w:rsid w:val="00CB5980"/>
    <w:rsid w:val="00CB5AAA"/>
    <w:rsid w:val="00CC1F0B"/>
    <w:rsid w:val="00CC2049"/>
    <w:rsid w:val="00CD165A"/>
    <w:rsid w:val="00CD7CB6"/>
    <w:rsid w:val="00CD7EA0"/>
    <w:rsid w:val="00CE0263"/>
    <w:rsid w:val="00CE2193"/>
    <w:rsid w:val="00CE6374"/>
    <w:rsid w:val="00CE6F28"/>
    <w:rsid w:val="00CE723B"/>
    <w:rsid w:val="00CE7633"/>
    <w:rsid w:val="00CF0152"/>
    <w:rsid w:val="00CF06DB"/>
    <w:rsid w:val="00CF214E"/>
    <w:rsid w:val="00CF5E9C"/>
    <w:rsid w:val="00CF6745"/>
    <w:rsid w:val="00D02387"/>
    <w:rsid w:val="00D05E99"/>
    <w:rsid w:val="00D061B3"/>
    <w:rsid w:val="00D065FF"/>
    <w:rsid w:val="00D160A1"/>
    <w:rsid w:val="00D17A54"/>
    <w:rsid w:val="00D17D1D"/>
    <w:rsid w:val="00D22973"/>
    <w:rsid w:val="00D22DEE"/>
    <w:rsid w:val="00D24B6B"/>
    <w:rsid w:val="00D379A6"/>
    <w:rsid w:val="00D4303F"/>
    <w:rsid w:val="00D43B12"/>
    <w:rsid w:val="00D473D1"/>
    <w:rsid w:val="00D47E64"/>
    <w:rsid w:val="00D501C9"/>
    <w:rsid w:val="00D50560"/>
    <w:rsid w:val="00D52B6E"/>
    <w:rsid w:val="00D52F19"/>
    <w:rsid w:val="00D6068B"/>
    <w:rsid w:val="00D60FF0"/>
    <w:rsid w:val="00D61D1F"/>
    <w:rsid w:val="00D64116"/>
    <w:rsid w:val="00D6558B"/>
    <w:rsid w:val="00D658BC"/>
    <w:rsid w:val="00D67000"/>
    <w:rsid w:val="00D72EDE"/>
    <w:rsid w:val="00D73861"/>
    <w:rsid w:val="00D76EAB"/>
    <w:rsid w:val="00D775EF"/>
    <w:rsid w:val="00D806D4"/>
    <w:rsid w:val="00D829E4"/>
    <w:rsid w:val="00D82C0D"/>
    <w:rsid w:val="00D84AFC"/>
    <w:rsid w:val="00DA012A"/>
    <w:rsid w:val="00DA2DE4"/>
    <w:rsid w:val="00DA3ACE"/>
    <w:rsid w:val="00DA6654"/>
    <w:rsid w:val="00DA6747"/>
    <w:rsid w:val="00DA7D02"/>
    <w:rsid w:val="00DB4E53"/>
    <w:rsid w:val="00DB599C"/>
    <w:rsid w:val="00DB5D6B"/>
    <w:rsid w:val="00DB69A7"/>
    <w:rsid w:val="00DC4ABD"/>
    <w:rsid w:val="00DD212E"/>
    <w:rsid w:val="00DD4B4C"/>
    <w:rsid w:val="00DD7D1D"/>
    <w:rsid w:val="00DE4413"/>
    <w:rsid w:val="00DE7251"/>
    <w:rsid w:val="00DE7B3B"/>
    <w:rsid w:val="00DF25E5"/>
    <w:rsid w:val="00E06034"/>
    <w:rsid w:val="00E06AA6"/>
    <w:rsid w:val="00E13456"/>
    <w:rsid w:val="00E16A19"/>
    <w:rsid w:val="00E2137E"/>
    <w:rsid w:val="00E23E84"/>
    <w:rsid w:val="00E250EA"/>
    <w:rsid w:val="00E2603E"/>
    <w:rsid w:val="00E27823"/>
    <w:rsid w:val="00E34769"/>
    <w:rsid w:val="00E36880"/>
    <w:rsid w:val="00E42090"/>
    <w:rsid w:val="00E4355D"/>
    <w:rsid w:val="00E4385F"/>
    <w:rsid w:val="00E44A6D"/>
    <w:rsid w:val="00E450D2"/>
    <w:rsid w:val="00E51DAE"/>
    <w:rsid w:val="00E538B8"/>
    <w:rsid w:val="00E5470F"/>
    <w:rsid w:val="00E572FF"/>
    <w:rsid w:val="00E62963"/>
    <w:rsid w:val="00E641D5"/>
    <w:rsid w:val="00E70631"/>
    <w:rsid w:val="00E70CA1"/>
    <w:rsid w:val="00E71E09"/>
    <w:rsid w:val="00E74596"/>
    <w:rsid w:val="00E77BE2"/>
    <w:rsid w:val="00E8316B"/>
    <w:rsid w:val="00E87B11"/>
    <w:rsid w:val="00E978ED"/>
    <w:rsid w:val="00EB05B4"/>
    <w:rsid w:val="00EC2960"/>
    <w:rsid w:val="00EC398A"/>
    <w:rsid w:val="00EC4B5B"/>
    <w:rsid w:val="00ED3A3B"/>
    <w:rsid w:val="00ED3C0E"/>
    <w:rsid w:val="00EE06C4"/>
    <w:rsid w:val="00EE135F"/>
    <w:rsid w:val="00EE5211"/>
    <w:rsid w:val="00EE64D1"/>
    <w:rsid w:val="00EF3EB6"/>
    <w:rsid w:val="00EF5AAB"/>
    <w:rsid w:val="00EF64F8"/>
    <w:rsid w:val="00F00B70"/>
    <w:rsid w:val="00F038A5"/>
    <w:rsid w:val="00F04E8B"/>
    <w:rsid w:val="00F10FA9"/>
    <w:rsid w:val="00F11E38"/>
    <w:rsid w:val="00F1258C"/>
    <w:rsid w:val="00F151DA"/>
    <w:rsid w:val="00F231D0"/>
    <w:rsid w:val="00F25ABF"/>
    <w:rsid w:val="00F26D2B"/>
    <w:rsid w:val="00F41269"/>
    <w:rsid w:val="00F43700"/>
    <w:rsid w:val="00F45348"/>
    <w:rsid w:val="00F501A3"/>
    <w:rsid w:val="00F5275C"/>
    <w:rsid w:val="00F5296B"/>
    <w:rsid w:val="00F61A4C"/>
    <w:rsid w:val="00F65489"/>
    <w:rsid w:val="00F71B20"/>
    <w:rsid w:val="00F7416B"/>
    <w:rsid w:val="00F74FF8"/>
    <w:rsid w:val="00F75980"/>
    <w:rsid w:val="00F77185"/>
    <w:rsid w:val="00F77A58"/>
    <w:rsid w:val="00F77E8C"/>
    <w:rsid w:val="00F81855"/>
    <w:rsid w:val="00F85F64"/>
    <w:rsid w:val="00F86CE3"/>
    <w:rsid w:val="00F907DC"/>
    <w:rsid w:val="00F91D31"/>
    <w:rsid w:val="00F97046"/>
    <w:rsid w:val="00FA0786"/>
    <w:rsid w:val="00FA0D1D"/>
    <w:rsid w:val="00FA10E8"/>
    <w:rsid w:val="00FA29AE"/>
    <w:rsid w:val="00FA33CA"/>
    <w:rsid w:val="00FA3B38"/>
    <w:rsid w:val="00FA74FF"/>
    <w:rsid w:val="00FB0F5A"/>
    <w:rsid w:val="00FB6341"/>
    <w:rsid w:val="00FB656E"/>
    <w:rsid w:val="00FB6AA4"/>
    <w:rsid w:val="00FB6EDC"/>
    <w:rsid w:val="00FB7CD0"/>
    <w:rsid w:val="00FC0372"/>
    <w:rsid w:val="00FC0D26"/>
    <w:rsid w:val="00FC0F81"/>
    <w:rsid w:val="00FC4C3C"/>
    <w:rsid w:val="00FC4FE0"/>
    <w:rsid w:val="00FD7E44"/>
    <w:rsid w:val="00FE0D5D"/>
    <w:rsid w:val="00FE2B7A"/>
    <w:rsid w:val="00FE3605"/>
    <w:rsid w:val="00FE3E0D"/>
    <w:rsid w:val="00FE7344"/>
    <w:rsid w:val="00FF0F8E"/>
    <w:rsid w:val="00FF1160"/>
    <w:rsid w:val="00FF3E46"/>
    <w:rsid w:val="00FF3E69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453352"/>
  <w15:docId w15:val="{696A9AED-B16B-4172-BDA4-560C459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uiPriority w:val="99"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A24389"/>
    <w:rPr>
      <w:rFonts w:cs="Traditional Arabic"/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A35C5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1684"/>
    <w:rPr>
      <w:rFonts w:cs="Simplified Arabic"/>
      <w:snapToGrid w:val="0"/>
    </w:rPr>
  </w:style>
  <w:style w:type="paragraph" w:customStyle="1" w:styleId="selectionshareable">
    <w:name w:val="selectionshareable"/>
    <w:basedOn w:val="Normal"/>
    <w:rsid w:val="004D7CE1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26656253706745E-4"/>
          <c:y val="0"/>
          <c:w val="0.998717188367785"/>
          <c:h val="1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753-48B9-B9BA-870CFA4315E5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>
                <a:solidFill>
                  <a:schemeClr val="bg1">
                    <a:lumMod val="8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0-D753-48B9-B9BA-870CFA4315E5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D753-48B9-B9BA-870CFA4315E5}"/>
              </c:ext>
            </c:extLst>
          </c:dPt>
          <c:dPt>
            <c:idx val="3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3-D753-48B9-B9BA-870CFA4315E5}"/>
              </c:ext>
            </c:extLst>
          </c:dPt>
          <c:dPt>
            <c:idx val="4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D753-48B9-B9BA-870CFA4315E5}"/>
              </c:ext>
            </c:extLst>
          </c:dPt>
          <c:dLbls>
            <c:dLbl>
              <c:idx val="0"/>
              <c:layout>
                <c:manualLayout>
                  <c:x val="-4.2522338456639913E-2"/>
                  <c:y val="-0.24619913165060581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37%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53-48B9-B9BA-870CFA4315E5}"/>
                </c:ext>
              </c:extLst>
            </c:dLbl>
            <c:dLbl>
              <c:idx val="1"/>
              <c:layout>
                <c:manualLayout>
                  <c:x val="0.13460586803229208"/>
                  <c:y val="0.21690008000336852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57%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53-48B9-B9BA-870CFA4315E5}"/>
                </c:ext>
              </c:extLst>
            </c:dLbl>
            <c:dLbl>
              <c:idx val="2"/>
              <c:layout>
                <c:manualLayout>
                  <c:x val="-0.10262692596341126"/>
                  <c:y val="-1.6663157746992857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الذكور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49%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53-48B9-B9BA-870CFA4315E5}"/>
                </c:ext>
              </c:extLst>
            </c:dLbl>
            <c:dLbl>
              <c:idx val="3"/>
              <c:layout>
                <c:manualLayout>
                  <c:x val="-0.10400108194275237"/>
                  <c:y val="4.9012590003789632E-4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الاناث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51%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53-48B9-B9BA-870CFA4315E5}"/>
                </c:ext>
              </c:extLst>
            </c:dLbl>
            <c:dLbl>
              <c:idx val="4"/>
              <c:layout>
                <c:manualLayout>
                  <c:x val="-0.13049072089978617"/>
                  <c:y val="-5.4295619464679217E-3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6%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53-48B9-B9BA-870CFA4315E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الاناث 60+</c:v>
                </c:pt>
              </c:strCache>
            </c:strRef>
          </c:cat>
          <c:val>
            <c:numRef>
              <c:f>Sheet1!$B$2:$B$5</c:f>
              <c:numCache>
                <c:formatCode>0</c:formatCode>
                <c:ptCount val="4"/>
                <c:pt idx="0">
                  <c:v>37</c:v>
                </c:pt>
                <c:pt idx="1">
                  <c:v>57</c:v>
                </c:pt>
                <c:pt idx="2">
                  <c:v>6</c:v>
                </c:pt>
                <c:pt idx="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53-48B9-B9BA-870CFA431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econdPieSize val="75"/>
        <c:serLines/>
      </c:ofPieChart>
      <c:spPr>
        <a:noFill/>
        <a:ln>
          <a:noFill/>
        </a:ln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1.7087600780861141E-2"/>
          <c:y val="8.4393728858758968E-2"/>
          <c:w val="0.14257721867548478"/>
          <c:h val="0.47669094839080939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98F0-4B04-B889-CEDC09E0EB44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98F0-4B04-B889-CEDC09E0EB4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3.4</c:v>
                </c:pt>
                <c:pt idx="1">
                  <c:v>3</c:v>
                </c:pt>
                <c:pt idx="2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F0-4B04-B889-CEDC09E0E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52736"/>
        <c:axId val="134454656"/>
      </c:barChart>
      <c:catAx>
        <c:axId val="134452736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ar-SA" sz="900" b="1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7246383060584513"/>
              <c:y val="0.8758372969876226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4454656"/>
        <c:crosses val="autoZero"/>
        <c:auto val="1"/>
        <c:lblAlgn val="ctr"/>
        <c:lblOffset val="100"/>
        <c:noMultiLvlLbl val="0"/>
      </c:catAx>
      <c:valAx>
        <c:axId val="13445465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r>
                  <a:rPr lang="ar-SA" sz="800" b="1">
                    <a:latin typeface="Arial" pitchFamily="34" charset="0"/>
                    <a:cs typeface="Arial" pitchFamily="34" charset="0"/>
                  </a:rPr>
                  <a:t>متوسط حجم الاسرة</a:t>
                </a:r>
                <a:endParaRPr lang="en-US" sz="800" b="1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34452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126A-98BF-4D2F-A32F-A0E1F2A9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LOAY SHEHADEH</cp:lastModifiedBy>
  <cp:revision>5</cp:revision>
  <cp:lastPrinted>2023-09-25T06:51:00Z</cp:lastPrinted>
  <dcterms:created xsi:type="dcterms:W3CDTF">2023-09-26T06:27:00Z</dcterms:created>
  <dcterms:modified xsi:type="dcterms:W3CDTF">2023-10-01T05:03:00Z</dcterms:modified>
</cp:coreProperties>
</file>