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FF" w:rsidRPr="006075FF" w:rsidRDefault="006075FF" w:rsidP="006075FF">
      <w:pPr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  <w:bookmarkStart w:id="0" w:name="OLE_LINK3"/>
      <w:bookmarkStart w:id="1" w:name="OLE_LINK4"/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الإحصاء الفلسطيني يعلن الرقم القياسي لكميات الانتاج الصناعي لشهر كانون ثاني،01/2014  </w:t>
      </w:r>
    </w:p>
    <w:p w:rsidR="006075FF" w:rsidRDefault="006075FF" w:rsidP="005E226F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24"/>
          <w:szCs w:val="24"/>
          <w:rtl/>
        </w:rPr>
      </w:pPr>
    </w:p>
    <w:p w:rsidR="00D11561" w:rsidRPr="006075FF" w:rsidRDefault="004413EC" w:rsidP="006075FF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24"/>
          <w:szCs w:val="24"/>
          <w:rtl/>
        </w:rPr>
      </w:pPr>
      <w:r w:rsidRPr="006075FF">
        <w:rPr>
          <w:rFonts w:cs="Simplified Arabic" w:hint="cs"/>
          <w:b/>
          <w:bCs/>
          <w:sz w:val="24"/>
          <w:szCs w:val="24"/>
          <w:rtl/>
        </w:rPr>
        <w:t>ارتفاع</w:t>
      </w:r>
      <w:r w:rsidR="00D11561" w:rsidRPr="006075FF">
        <w:rPr>
          <w:rFonts w:cs="Simplified Arabic" w:hint="cs"/>
          <w:b/>
          <w:bCs/>
          <w:sz w:val="24"/>
          <w:szCs w:val="24"/>
          <w:rtl/>
        </w:rPr>
        <w:t xml:space="preserve"> الرقم القياسي لكميات الإنتاج الصناعي</w:t>
      </w:r>
      <w:r w:rsidR="00780391" w:rsidRPr="006075FF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D11561" w:rsidRPr="006075FF">
        <w:rPr>
          <w:rFonts w:cs="Simplified Arabic" w:hint="cs"/>
          <w:b/>
          <w:bCs/>
          <w:sz w:val="24"/>
          <w:szCs w:val="24"/>
          <w:rtl/>
        </w:rPr>
        <w:t xml:space="preserve"> في فلسطين خلال شهر </w:t>
      </w:r>
      <w:r w:rsidR="005E226F" w:rsidRPr="006075FF">
        <w:rPr>
          <w:rFonts w:cs="Simplified Arabic" w:hint="cs"/>
          <w:b/>
          <w:bCs/>
          <w:sz w:val="24"/>
          <w:szCs w:val="24"/>
          <w:rtl/>
        </w:rPr>
        <w:t>كانون ثاني</w:t>
      </w:r>
      <w:r w:rsidR="006075FF">
        <w:rPr>
          <w:rFonts w:cs="Simplified Arabic" w:hint="cs"/>
          <w:b/>
          <w:bCs/>
          <w:sz w:val="24"/>
          <w:szCs w:val="24"/>
          <w:rtl/>
        </w:rPr>
        <w:t>،01/</w:t>
      </w:r>
      <w:r w:rsidR="005E226F" w:rsidRPr="006075FF">
        <w:rPr>
          <w:rFonts w:cs="Simplified Arabic" w:hint="cs"/>
          <w:b/>
          <w:bCs/>
          <w:sz w:val="24"/>
          <w:szCs w:val="24"/>
          <w:rtl/>
        </w:rPr>
        <w:t>2014</w:t>
      </w:r>
    </w:p>
    <w:p w:rsidR="00D11561" w:rsidRPr="00AC6F61" w:rsidRDefault="00D11561" w:rsidP="00D11561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16"/>
          <w:szCs w:val="16"/>
          <w:rtl/>
        </w:rPr>
      </w:pPr>
    </w:p>
    <w:p w:rsidR="00D11561" w:rsidRPr="00921825" w:rsidRDefault="00D11561" w:rsidP="00C16489">
      <w:pPr>
        <w:ind w:left="-1"/>
        <w:jc w:val="lowKashida"/>
        <w:rPr>
          <w:rFonts w:cs="Simplified Arabic"/>
          <w:rtl/>
        </w:rPr>
      </w:pPr>
      <w:r w:rsidRPr="00921825">
        <w:rPr>
          <w:rFonts w:cs="Simplified Arabic" w:hint="cs"/>
          <w:rtl/>
        </w:rPr>
        <w:t xml:space="preserve">سجل </w:t>
      </w:r>
      <w:r w:rsidRPr="00921825">
        <w:rPr>
          <w:rFonts w:cs="Simplified Arabic"/>
          <w:rtl/>
        </w:rPr>
        <w:t xml:space="preserve">الرقم القياسي </w:t>
      </w:r>
      <w:r w:rsidRPr="00921825">
        <w:rPr>
          <w:rFonts w:cs="Simplified Arabic" w:hint="cs"/>
          <w:rtl/>
        </w:rPr>
        <w:t xml:space="preserve">لكميات الإنتاج الصناعي </w:t>
      </w:r>
      <w:r w:rsidR="00C16489">
        <w:rPr>
          <w:rFonts w:cs="Simplified Arabic" w:hint="cs"/>
          <w:rtl/>
        </w:rPr>
        <w:t>ارتفاعاً بنسبة</w:t>
      </w:r>
      <w:r w:rsidRPr="00921825">
        <w:rPr>
          <w:rFonts w:cs="Simplified Arabic" w:hint="cs"/>
          <w:rtl/>
        </w:rPr>
        <w:t xml:space="preserve"> </w:t>
      </w:r>
      <w:r w:rsidR="00C16489">
        <w:rPr>
          <w:rFonts w:cs="Simplified Arabic" w:hint="cs"/>
          <w:rtl/>
        </w:rPr>
        <w:t>10.42</w:t>
      </w:r>
      <w:r w:rsidRPr="00921825">
        <w:rPr>
          <w:rFonts w:cs="Simplified Arabic" w:hint="cs"/>
          <w:rtl/>
        </w:rPr>
        <w:t xml:space="preserve">% خلال شهر </w:t>
      </w:r>
      <w:r w:rsidR="00452B18">
        <w:rPr>
          <w:rFonts w:cs="Simplified Arabic" w:hint="cs"/>
          <w:rtl/>
        </w:rPr>
        <w:t xml:space="preserve">كانون </w:t>
      </w:r>
      <w:r w:rsidR="00C16489">
        <w:rPr>
          <w:rFonts w:cs="Simplified Arabic" w:hint="cs"/>
          <w:rtl/>
        </w:rPr>
        <w:t>ثاني</w:t>
      </w:r>
      <w:r w:rsidR="00452B18">
        <w:rPr>
          <w:rFonts w:cs="Simplified Arabic" w:hint="cs"/>
          <w:rtl/>
        </w:rPr>
        <w:t xml:space="preserve"> </w:t>
      </w:r>
      <w:r w:rsidR="00C16489">
        <w:rPr>
          <w:rFonts w:cs="Simplified Arabic" w:hint="cs"/>
          <w:rtl/>
        </w:rPr>
        <w:t>2014</w:t>
      </w:r>
      <w:r w:rsidRPr="00921825">
        <w:rPr>
          <w:rFonts w:cs="Simplified Arabic"/>
          <w:rtl/>
        </w:rPr>
        <w:t xml:space="preserve"> </w:t>
      </w:r>
      <w:r w:rsidR="00921825" w:rsidRPr="00921825">
        <w:rPr>
          <w:rFonts w:cs="Simplified Arabic" w:hint="cs"/>
          <w:rtl/>
        </w:rPr>
        <w:t>مقارنة</w:t>
      </w:r>
      <w:r w:rsidR="001B013E" w:rsidRPr="00921825">
        <w:rPr>
          <w:rFonts w:cs="Simplified Arabic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1825">
        <w:rPr>
          <w:rFonts w:cs="Simplified Arabic" w:hint="cs"/>
          <w:rtl/>
        </w:rPr>
        <w:t xml:space="preserve">بشهر </w:t>
      </w:r>
      <w:r w:rsidR="00C16489">
        <w:rPr>
          <w:rFonts w:cs="Simplified Arabic" w:hint="cs"/>
          <w:rtl/>
        </w:rPr>
        <w:t>كانون أول</w:t>
      </w:r>
      <w:r w:rsidRPr="00921825">
        <w:rPr>
          <w:rFonts w:cs="Simplified Arabic" w:hint="cs"/>
          <w:rtl/>
        </w:rPr>
        <w:t xml:space="preserve"> </w:t>
      </w:r>
      <w:r w:rsidR="00C16489">
        <w:rPr>
          <w:rFonts w:cs="Simplified Arabic" w:hint="cs"/>
          <w:rtl/>
        </w:rPr>
        <w:t>2013</w:t>
      </w:r>
      <w:r w:rsidRPr="00921825">
        <w:rPr>
          <w:rFonts w:cs="Simplified Arabic" w:hint="cs"/>
          <w:rtl/>
        </w:rPr>
        <w:t xml:space="preserve">، </w:t>
      </w:r>
      <w:r w:rsidR="009E170E">
        <w:rPr>
          <w:rFonts w:cs="Simplified Arabic" w:hint="cs"/>
          <w:rtl/>
        </w:rPr>
        <w:t>إذ</w:t>
      </w:r>
      <w:r w:rsidRPr="00921825">
        <w:rPr>
          <w:rFonts w:cs="Simplified Arabic" w:hint="cs"/>
          <w:rtl/>
        </w:rPr>
        <w:t xml:space="preserve"> </w:t>
      </w:r>
      <w:r w:rsidR="00C16489">
        <w:rPr>
          <w:rFonts w:cs="Simplified Arabic" w:hint="cs"/>
          <w:rtl/>
        </w:rPr>
        <w:t>ارتفع</w:t>
      </w:r>
      <w:r w:rsidRPr="00921825">
        <w:rPr>
          <w:rFonts w:cs="Simplified Arabic" w:hint="cs"/>
          <w:rtl/>
        </w:rPr>
        <w:t xml:space="preserve"> الرقم القياسي لكميات الانتاج الصناعي </w:t>
      </w:r>
      <w:r w:rsidR="009E170E">
        <w:rPr>
          <w:rFonts w:cs="Simplified Arabic" w:hint="cs"/>
          <w:rtl/>
        </w:rPr>
        <w:t>إلى</w:t>
      </w:r>
      <w:r w:rsidRPr="00921825">
        <w:rPr>
          <w:rFonts w:cs="Simplified Arabic" w:hint="cs"/>
          <w:rtl/>
        </w:rPr>
        <w:t xml:space="preserve"> </w:t>
      </w:r>
      <w:r w:rsidR="00C16489">
        <w:rPr>
          <w:rFonts w:cs="Simplified Arabic" w:hint="cs"/>
          <w:rtl/>
        </w:rPr>
        <w:t>108.53</w:t>
      </w:r>
      <w:r w:rsidRPr="00921825">
        <w:rPr>
          <w:rFonts w:cs="Simplified Arabic" w:hint="cs"/>
          <w:rtl/>
        </w:rPr>
        <w:t xml:space="preserve"> خلال شهر </w:t>
      </w:r>
      <w:r w:rsidR="00452B18">
        <w:rPr>
          <w:rFonts w:cs="Simplified Arabic" w:hint="cs"/>
          <w:rtl/>
        </w:rPr>
        <w:t xml:space="preserve">كانون </w:t>
      </w:r>
      <w:r w:rsidR="00C16489">
        <w:rPr>
          <w:rFonts w:cs="Simplified Arabic" w:hint="cs"/>
          <w:rtl/>
        </w:rPr>
        <w:t>ثاني</w:t>
      </w:r>
      <w:r w:rsidRPr="00921825">
        <w:rPr>
          <w:rFonts w:cs="Simplified Arabic" w:hint="cs"/>
          <w:rtl/>
        </w:rPr>
        <w:t xml:space="preserve"> </w:t>
      </w:r>
      <w:r w:rsidR="00C16489">
        <w:rPr>
          <w:rFonts w:cs="Simplified Arabic" w:hint="cs"/>
          <w:rtl/>
        </w:rPr>
        <w:t>2014</w:t>
      </w:r>
      <w:r w:rsidRPr="00921825">
        <w:rPr>
          <w:rFonts w:cs="Simplified Arabic" w:hint="cs"/>
          <w:rtl/>
        </w:rPr>
        <w:t xml:space="preserve"> مقارنة</w:t>
      </w:r>
      <w:r w:rsidR="00A32EC8">
        <w:rPr>
          <w:rFonts w:cs="Simplified Arabic" w:hint="cs"/>
          <w:rtl/>
        </w:rPr>
        <w:t xml:space="preserve"> </w:t>
      </w:r>
      <w:r w:rsidRPr="00921825">
        <w:rPr>
          <w:rFonts w:cs="Simplified Arabic" w:hint="cs"/>
          <w:rtl/>
        </w:rPr>
        <w:t xml:space="preserve">بـ </w:t>
      </w:r>
      <w:r w:rsidR="00C16489">
        <w:rPr>
          <w:rFonts w:cs="Simplified Arabic" w:hint="cs"/>
          <w:rtl/>
        </w:rPr>
        <w:t>98.29</w:t>
      </w:r>
      <w:r w:rsidRPr="00921825">
        <w:rPr>
          <w:rFonts w:cs="Simplified Arabic" w:hint="cs"/>
          <w:rtl/>
        </w:rPr>
        <w:t xml:space="preserve"> خلال الشهر السابق</w:t>
      </w:r>
      <w:r w:rsidR="007E4DD0" w:rsidRPr="00921825">
        <w:rPr>
          <w:rFonts w:cs="Simplified Arabic" w:hint="cs"/>
          <w:rtl/>
        </w:rPr>
        <w:t xml:space="preserve"> </w:t>
      </w:r>
      <w:r w:rsidRPr="00921825">
        <w:rPr>
          <w:rFonts w:cs="Simplified Arabic" w:hint="cs"/>
          <w:rtl/>
        </w:rPr>
        <w:t>(سنة الأساس</w:t>
      </w:r>
      <w:r w:rsidR="00EE55FD">
        <w:rPr>
          <w:rFonts w:cs="Simplified Arabic" w:hint="cs"/>
          <w:rtl/>
        </w:rPr>
        <w:t>2011= 100)</w:t>
      </w:r>
      <w:r w:rsidR="007E4DD0">
        <w:rPr>
          <w:rFonts w:cs="Simplified Arabic"/>
        </w:rPr>
        <w:t>.</w:t>
      </w:r>
    </w:p>
    <w:p w:rsidR="00D11561" w:rsidRPr="00C26C62" w:rsidRDefault="00D11561" w:rsidP="00D11561">
      <w:pPr>
        <w:rPr>
          <w:sz w:val="16"/>
          <w:szCs w:val="16"/>
          <w:rtl/>
        </w:rPr>
      </w:pPr>
    </w:p>
    <w:p w:rsidR="00D11561" w:rsidRDefault="00D11561" w:rsidP="00D11561">
      <w:pPr>
        <w:pStyle w:val="Heading9"/>
        <w:ind w:left="-1"/>
        <w:jc w:val="both"/>
        <w:rPr>
          <w:rtl/>
        </w:rPr>
      </w:pPr>
      <w:r w:rsidRPr="005F3B25">
        <w:rPr>
          <w:rFonts w:hint="cs"/>
          <w:rtl/>
        </w:rPr>
        <w:t>حركة كميات الإنتاج الصناعي على مستوى الأنشطة الاقتصادية الرئيسية</w:t>
      </w:r>
    </w:p>
    <w:p w:rsidR="00D11561" w:rsidRPr="00C26C62" w:rsidRDefault="00D11561" w:rsidP="00D11561">
      <w:pPr>
        <w:rPr>
          <w:sz w:val="16"/>
          <w:szCs w:val="16"/>
          <w:rtl/>
        </w:rPr>
      </w:pPr>
    </w:p>
    <w:p w:rsidR="009B2C5F" w:rsidRDefault="009B2C5F" w:rsidP="004413EC">
      <w:pPr>
        <w:ind w:left="-1"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سجل</w:t>
      </w:r>
      <w:r>
        <w:rPr>
          <w:rFonts w:cs="Simplified Arabic" w:hint="cs"/>
          <w:b/>
          <w:bCs/>
          <w:rtl/>
        </w:rPr>
        <w:t xml:space="preserve"> نشاط إنتاج</w:t>
      </w:r>
      <w:r w:rsidRPr="00A21612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وجمع وتوزيع </w:t>
      </w:r>
      <w:r w:rsidRPr="00A21612">
        <w:rPr>
          <w:rFonts w:cs="Simplified Arabic" w:hint="cs"/>
          <w:b/>
          <w:bCs/>
          <w:rtl/>
        </w:rPr>
        <w:t>الكهرباء والم</w:t>
      </w:r>
      <w:r>
        <w:rPr>
          <w:rFonts w:cs="Simplified Arabic" w:hint="cs"/>
          <w:b/>
          <w:bCs/>
          <w:rtl/>
        </w:rPr>
        <w:t>ي</w:t>
      </w:r>
      <w:r w:rsidRPr="00A21612">
        <w:rPr>
          <w:rFonts w:cs="Simplified Arabic" w:hint="cs"/>
          <w:b/>
          <w:bCs/>
          <w:rtl/>
        </w:rPr>
        <w:t>ا</w:t>
      </w:r>
      <w:r>
        <w:rPr>
          <w:rFonts w:cs="Simplified Arabic" w:hint="cs"/>
          <w:b/>
          <w:bCs/>
          <w:rtl/>
        </w:rPr>
        <w:t>ه</w:t>
      </w:r>
      <w:r>
        <w:rPr>
          <w:rFonts w:cs="Simplified Arabic" w:hint="cs"/>
          <w:rtl/>
        </w:rPr>
        <w:t xml:space="preserve"> ارتفاعاً بنسبة 50.51</w:t>
      </w:r>
      <w:r w:rsidRPr="005F3B25">
        <w:rPr>
          <w:rFonts w:cs="Simplified Arabic" w:hint="cs"/>
          <w:rtl/>
        </w:rPr>
        <w:t>% خلال</w:t>
      </w:r>
      <w:r>
        <w:rPr>
          <w:rFonts w:cs="Simplified Arabic" w:hint="cs"/>
          <w:rtl/>
        </w:rPr>
        <w:t xml:space="preserve"> شهر كانون ثاني 2014 والذي</w:t>
      </w:r>
      <w:r w:rsidRPr="005F3B25">
        <w:rPr>
          <w:rFonts w:cs="Simplified Arabic" w:hint="cs"/>
          <w:rtl/>
        </w:rPr>
        <w:t xml:space="preserve"> تشكل </w:t>
      </w:r>
      <w:r>
        <w:rPr>
          <w:rFonts w:cs="Simplified Arabic" w:hint="cs"/>
          <w:rtl/>
        </w:rPr>
        <w:t>أهميته</w:t>
      </w:r>
      <w:r w:rsidRPr="005F3B25">
        <w:rPr>
          <w:rFonts w:cs="Simplified Arabic" w:hint="cs"/>
          <w:rtl/>
        </w:rPr>
        <w:t xml:space="preserve"> النسبية </w:t>
      </w:r>
      <w:r>
        <w:rPr>
          <w:rFonts w:cs="Simplified Arabic" w:hint="cs"/>
          <w:rtl/>
        </w:rPr>
        <w:t>14.85</w:t>
      </w:r>
      <w:r w:rsidRPr="005F3B25">
        <w:rPr>
          <w:rFonts w:cs="Simplified Arabic" w:hint="cs"/>
          <w:rtl/>
        </w:rPr>
        <w:t xml:space="preserve">% من </w:t>
      </w:r>
      <w:r>
        <w:rPr>
          <w:rFonts w:cs="Simplified Arabic" w:hint="cs"/>
          <w:rtl/>
        </w:rPr>
        <w:t>إجمالي أنشطة الصناعة</w:t>
      </w:r>
      <w:r w:rsidRPr="00D65723">
        <w:rPr>
          <w:rFonts w:cs="Simplified Arabic" w:hint="cs"/>
          <w:rtl/>
        </w:rPr>
        <w:t xml:space="preserve">، ويعود السبب الرئيسي في هذا الارتفاع الى عودة شركة كهرباء غزة الى ممارسة نشاطها خلال شهر كانون </w:t>
      </w:r>
      <w:r w:rsidR="004413EC" w:rsidRPr="00D65723">
        <w:rPr>
          <w:rFonts w:cs="Simplified Arabic" w:hint="cs"/>
          <w:rtl/>
        </w:rPr>
        <w:t>ثاني 2014 ب</w:t>
      </w:r>
      <w:r w:rsidR="004413EC">
        <w:rPr>
          <w:rFonts w:cs="Simplified Arabic" w:hint="cs"/>
          <w:rtl/>
        </w:rPr>
        <w:t>معدل ساعات يومي أعلى من الأشهر السابقة.</w:t>
      </w:r>
    </w:p>
    <w:p w:rsidR="00207CEC" w:rsidRDefault="000B1809" w:rsidP="000B1809">
      <w:pPr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 xml:space="preserve">كما </w:t>
      </w:r>
      <w:r w:rsidR="00207CEC" w:rsidRPr="00F228E4">
        <w:rPr>
          <w:rFonts w:cs="Simplified Arabic" w:hint="cs"/>
          <w:rtl/>
        </w:rPr>
        <w:t>سجلت</w:t>
      </w:r>
      <w:r w:rsidR="00207CEC">
        <w:rPr>
          <w:rFonts w:cs="Simplified Arabic" w:hint="cs"/>
          <w:b/>
          <w:bCs/>
          <w:rtl/>
        </w:rPr>
        <w:t xml:space="preserve"> أنشطة التعدين و</w:t>
      </w:r>
      <w:r w:rsidR="00207CEC" w:rsidRPr="005F3B25">
        <w:rPr>
          <w:rFonts w:cs="Simplified Arabic" w:hint="cs"/>
          <w:b/>
          <w:bCs/>
          <w:rtl/>
        </w:rPr>
        <w:t>استغلال المحا</w:t>
      </w:r>
      <w:r w:rsidR="00207CEC">
        <w:rPr>
          <w:rFonts w:cs="Simplified Arabic" w:hint="cs"/>
          <w:b/>
          <w:bCs/>
          <w:rtl/>
        </w:rPr>
        <w:t>جر</w:t>
      </w:r>
      <w:r w:rsidR="00207CEC" w:rsidRPr="005F3B25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ارتفاعاً بنسبة</w:t>
      </w:r>
      <w:r w:rsidR="00207CE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32.65</w:t>
      </w:r>
      <w:r w:rsidR="00207CEC" w:rsidRPr="005F3B25">
        <w:rPr>
          <w:rFonts w:cs="Simplified Arabic" w:hint="cs"/>
          <w:rtl/>
        </w:rPr>
        <w:t>%</w:t>
      </w:r>
      <w:r w:rsidR="00207CEC">
        <w:rPr>
          <w:rFonts w:cs="Simplified Arabic" w:hint="cs"/>
          <w:rtl/>
        </w:rPr>
        <w:t xml:space="preserve"> </w:t>
      </w:r>
      <w:r w:rsidR="00207CEC" w:rsidRPr="005F3B25">
        <w:rPr>
          <w:rFonts w:cs="Simplified Arabic" w:hint="cs"/>
          <w:rtl/>
        </w:rPr>
        <w:t>خلال</w:t>
      </w:r>
      <w:r w:rsidR="00207CEC">
        <w:rPr>
          <w:rFonts w:cs="Simplified Arabic" w:hint="cs"/>
          <w:rtl/>
        </w:rPr>
        <w:t xml:space="preserve"> شهر </w:t>
      </w:r>
      <w:r w:rsidR="00CB1B15">
        <w:rPr>
          <w:rFonts w:cs="Simplified Arabic" w:hint="cs"/>
          <w:rtl/>
        </w:rPr>
        <w:t xml:space="preserve">كانون </w:t>
      </w:r>
      <w:r>
        <w:rPr>
          <w:rFonts w:cs="Simplified Arabic" w:hint="cs"/>
          <w:rtl/>
        </w:rPr>
        <w:t>ثاني</w:t>
      </w:r>
      <w:r w:rsidR="00207CEC" w:rsidRPr="005F3B25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2014</w:t>
      </w:r>
      <w:r w:rsidR="00207CEC" w:rsidRPr="00C15EDD">
        <w:rPr>
          <w:rFonts w:cs="Simplified Arabic" w:hint="cs"/>
          <w:rtl/>
        </w:rPr>
        <w:t xml:space="preserve"> </w:t>
      </w:r>
      <w:r w:rsidR="00207CEC" w:rsidRPr="005F3B25">
        <w:rPr>
          <w:rFonts w:cs="Simplified Arabic" w:hint="cs"/>
          <w:rtl/>
        </w:rPr>
        <w:t xml:space="preserve">والتي تشكل أهميتها النسبية </w:t>
      </w:r>
      <w:r w:rsidR="00207CEC">
        <w:rPr>
          <w:rFonts w:cs="Simplified Arabic" w:hint="cs"/>
          <w:rtl/>
        </w:rPr>
        <w:t>4.59% من إجمالي أنشطة الصناعة.</w:t>
      </w:r>
    </w:p>
    <w:p w:rsidR="00207CEC" w:rsidRDefault="008B68EC" w:rsidP="008B68EC">
      <w:pPr>
        <w:ind w:left="-1"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في المقابل</w:t>
      </w:r>
      <w:r w:rsidR="00CB1B15">
        <w:rPr>
          <w:rFonts w:cs="Simplified Arabic" w:hint="cs"/>
          <w:rtl/>
        </w:rPr>
        <w:t xml:space="preserve"> </w:t>
      </w:r>
      <w:r w:rsidR="00207CEC">
        <w:rPr>
          <w:rFonts w:cs="Simplified Arabic" w:hint="cs"/>
          <w:rtl/>
        </w:rPr>
        <w:t>سجلت</w:t>
      </w:r>
      <w:r w:rsidR="00207CEC" w:rsidRPr="005F3B25">
        <w:rPr>
          <w:rFonts w:cs="Simplified Arabic" w:hint="cs"/>
          <w:rtl/>
        </w:rPr>
        <w:t xml:space="preserve"> </w:t>
      </w:r>
      <w:r w:rsidR="00207CEC">
        <w:rPr>
          <w:rFonts w:cs="Simplified Arabic" w:hint="cs"/>
          <w:rtl/>
        </w:rPr>
        <w:t xml:space="preserve">أنشطة </w:t>
      </w:r>
      <w:r w:rsidR="00207CEC">
        <w:rPr>
          <w:rFonts w:cs="Simplified Arabic" w:hint="cs"/>
          <w:b/>
          <w:bCs/>
          <w:rtl/>
        </w:rPr>
        <w:t>الصناعة</w:t>
      </w:r>
      <w:r w:rsidR="00207CEC" w:rsidRPr="005F3B25">
        <w:rPr>
          <w:rFonts w:cs="Simplified Arabic" w:hint="cs"/>
          <w:b/>
          <w:bCs/>
          <w:rtl/>
        </w:rPr>
        <w:t xml:space="preserve"> التحويلية</w:t>
      </w:r>
      <w:r w:rsidR="00207CEC" w:rsidRPr="00A21612">
        <w:rPr>
          <w:rFonts w:cs="Simplified Arabic" w:hint="cs"/>
          <w:b/>
          <w:bCs/>
          <w:rtl/>
        </w:rPr>
        <w:t xml:space="preserve"> </w:t>
      </w:r>
      <w:r w:rsidR="00207CEC">
        <w:rPr>
          <w:rFonts w:cs="Simplified Arabic" w:hint="cs"/>
          <w:rtl/>
        </w:rPr>
        <w:t>انخفاضاً مقداره</w:t>
      </w:r>
      <w:r w:rsidR="00207CEC" w:rsidRPr="005F3B25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0.38</w:t>
      </w:r>
      <w:r w:rsidR="00207CEC">
        <w:rPr>
          <w:rFonts w:cs="Simplified Arabic" w:hint="cs"/>
          <w:rtl/>
        </w:rPr>
        <w:t xml:space="preserve">% خلال شهر </w:t>
      </w:r>
      <w:r w:rsidR="00CB1B15">
        <w:rPr>
          <w:rFonts w:cs="Simplified Arabic" w:hint="cs"/>
          <w:rtl/>
        </w:rPr>
        <w:t xml:space="preserve">كانون </w:t>
      </w:r>
      <w:r>
        <w:rPr>
          <w:rFonts w:cs="Simplified Arabic" w:hint="cs"/>
          <w:rtl/>
        </w:rPr>
        <w:t>ثاني</w:t>
      </w:r>
      <w:r w:rsidR="00207CE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2014</w:t>
      </w:r>
      <w:r w:rsidR="00207CEC" w:rsidRPr="005F3B25">
        <w:rPr>
          <w:rFonts w:cs="Simplified Arabic" w:hint="cs"/>
          <w:rtl/>
        </w:rPr>
        <w:t xml:space="preserve"> مقارنة مع الشهر الس</w:t>
      </w:r>
      <w:r w:rsidR="00207CEC">
        <w:rPr>
          <w:rFonts w:cs="Simplified Arabic" w:hint="cs"/>
          <w:rtl/>
        </w:rPr>
        <w:t>ابق</w:t>
      </w:r>
      <w:r w:rsidR="00207CEC" w:rsidRPr="005F3B25">
        <w:rPr>
          <w:rFonts w:cs="Simplified Arabic" w:hint="cs"/>
          <w:rtl/>
        </w:rPr>
        <w:t xml:space="preserve"> والتي تشكل أهميتها النسبية</w:t>
      </w:r>
      <w:r w:rsidR="00207CEC">
        <w:rPr>
          <w:rFonts w:cs="Simplified Arabic" w:hint="cs"/>
          <w:rtl/>
        </w:rPr>
        <w:t xml:space="preserve"> </w:t>
      </w:r>
      <w:r w:rsidR="00CB1B15">
        <w:rPr>
          <w:rFonts w:cs="Simplified Arabic" w:hint="cs"/>
          <w:rtl/>
        </w:rPr>
        <w:t>80.56% من إجمالي أنشطة الصناعة.</w:t>
      </w:r>
    </w:p>
    <w:p w:rsidR="0079020A" w:rsidRPr="00C26C62" w:rsidRDefault="0079020A" w:rsidP="00A94208">
      <w:pPr>
        <w:jc w:val="lowKashida"/>
        <w:rPr>
          <w:rFonts w:cs="Simplified Arabic"/>
          <w:sz w:val="16"/>
          <w:szCs w:val="16"/>
          <w:rtl/>
        </w:rPr>
      </w:pPr>
    </w:p>
    <w:p w:rsidR="00D11561" w:rsidRDefault="00D11561" w:rsidP="003D0A69">
      <w:pPr>
        <w:ind w:left="-1"/>
        <w:jc w:val="lowKashida"/>
        <w:rPr>
          <w:rFonts w:cs="Simplified Arabic"/>
          <w:rtl/>
        </w:rPr>
      </w:pPr>
      <w:r w:rsidRPr="005F3B25">
        <w:rPr>
          <w:rFonts w:cs="Simplified Arabic" w:hint="cs"/>
          <w:rtl/>
        </w:rPr>
        <w:t>أما على صعيد الأنشطة الفرعية والتي لها تأثير نسبي كبير على مجمل الرقم ال</w:t>
      </w:r>
      <w:r>
        <w:rPr>
          <w:rFonts w:cs="Simplified Arabic" w:hint="cs"/>
          <w:rtl/>
        </w:rPr>
        <w:t xml:space="preserve">قياسي، فقد سجلت بعض الصناعات </w:t>
      </w:r>
      <w:r w:rsidR="003D0A69">
        <w:rPr>
          <w:rFonts w:cs="Simplified Arabic" w:hint="cs"/>
          <w:rtl/>
        </w:rPr>
        <w:t>ارتفاعاً</w:t>
      </w:r>
      <w:r>
        <w:rPr>
          <w:rFonts w:cs="Simplified Arabic" w:hint="cs"/>
          <w:rtl/>
        </w:rPr>
        <w:t xml:space="preserve"> خلال شهر </w:t>
      </w:r>
      <w:r w:rsidR="005059DB">
        <w:rPr>
          <w:rFonts w:cs="Simplified Arabic" w:hint="cs"/>
          <w:rtl/>
        </w:rPr>
        <w:t xml:space="preserve">كانون </w:t>
      </w:r>
      <w:r w:rsidR="00AC1FEE">
        <w:rPr>
          <w:rFonts w:cs="Simplified Arabic" w:hint="cs"/>
          <w:rtl/>
        </w:rPr>
        <w:t>ثاني</w:t>
      </w:r>
      <w:r w:rsidR="005059DB">
        <w:rPr>
          <w:rFonts w:cs="Simplified Arabic" w:hint="cs"/>
          <w:rtl/>
        </w:rPr>
        <w:t xml:space="preserve"> </w:t>
      </w:r>
      <w:r w:rsidR="00AC1FEE">
        <w:rPr>
          <w:rFonts w:cs="Simplified Arabic" w:hint="cs"/>
          <w:rtl/>
        </w:rPr>
        <w:t>2014</w:t>
      </w:r>
      <w:r>
        <w:rPr>
          <w:rFonts w:cs="Simplified Arabic" w:hint="cs"/>
          <w:rtl/>
        </w:rPr>
        <w:t xml:space="preserve"> </w:t>
      </w:r>
      <w:r w:rsidRPr="005F3B25">
        <w:rPr>
          <w:rFonts w:cs="Simplified Arabic" w:hint="cs"/>
          <w:rtl/>
        </w:rPr>
        <w:t>مقارنة بشهر</w:t>
      </w:r>
      <w:r>
        <w:rPr>
          <w:rFonts w:cs="Simplified Arabic" w:hint="cs"/>
          <w:rtl/>
        </w:rPr>
        <w:t xml:space="preserve"> </w:t>
      </w:r>
      <w:r w:rsidR="00AC1FEE">
        <w:rPr>
          <w:rFonts w:cs="Simplified Arabic" w:hint="cs"/>
          <w:rtl/>
        </w:rPr>
        <w:t>كانون أول</w:t>
      </w:r>
      <w:r>
        <w:rPr>
          <w:rFonts w:cs="Simplified Arabic" w:hint="cs"/>
          <w:rtl/>
        </w:rPr>
        <w:t xml:space="preserve"> 2013 منها</w:t>
      </w:r>
      <w:r w:rsidR="00027477" w:rsidRPr="00027477">
        <w:rPr>
          <w:rFonts w:cs="Simplified Arabic" w:hint="cs"/>
          <w:rtl/>
        </w:rPr>
        <w:t xml:space="preserve"> </w:t>
      </w:r>
      <w:r w:rsidR="00ED04C8">
        <w:rPr>
          <w:rFonts w:cs="Simplified Arabic" w:hint="cs"/>
          <w:rtl/>
        </w:rPr>
        <w:t>إنتاج وجمع وتوزيع الكهرباء، وصنع منتجات المعادن اللافلزية الأخرى، وصنع المنتجات الغذائية والمشروبات المرطبة، وصنع الأثاث والمنتجات غير المصنفة في موضع آخر، وصنع الورق.</w:t>
      </w:r>
    </w:p>
    <w:p w:rsidR="00D11561" w:rsidRPr="00C26C62" w:rsidRDefault="00D11561" w:rsidP="00D11561">
      <w:pPr>
        <w:ind w:left="-1"/>
        <w:jc w:val="lowKashida"/>
        <w:rPr>
          <w:rFonts w:cs="Simplified Arabic"/>
          <w:sz w:val="16"/>
          <w:szCs w:val="16"/>
          <w:rtl/>
        </w:rPr>
      </w:pPr>
    </w:p>
    <w:p w:rsidR="00C26C62" w:rsidRDefault="00D11561" w:rsidP="00423028">
      <w:pPr>
        <w:jc w:val="lowKashida"/>
        <w:rPr>
          <w:rFonts w:cs="Simplified Arabic"/>
          <w:b/>
          <w:bCs/>
          <w:rtl/>
        </w:rPr>
      </w:pPr>
      <w:r w:rsidRPr="005F3B25">
        <w:rPr>
          <w:rFonts w:cs="Simplified Arabic" w:hint="cs"/>
          <w:rtl/>
        </w:rPr>
        <w:t>من ناحية أخرى سجل الرقم القياسي</w:t>
      </w:r>
      <w:r>
        <w:rPr>
          <w:rFonts w:cs="Simplified Arabic" w:hint="cs"/>
          <w:rtl/>
        </w:rPr>
        <w:t xml:space="preserve"> لكميات الإنتاج الصناعي </w:t>
      </w:r>
      <w:r w:rsidR="00423028">
        <w:rPr>
          <w:rFonts w:cs="Simplified Arabic" w:hint="cs"/>
          <w:rtl/>
        </w:rPr>
        <w:t>انخفاضاً</w:t>
      </w:r>
      <w:r w:rsidRPr="005F3B25">
        <w:rPr>
          <w:rFonts w:cs="Simplified Arabic" w:hint="cs"/>
          <w:rtl/>
        </w:rPr>
        <w:t xml:space="preserve"> في بعض الأنشطة الصناعي</w:t>
      </w:r>
      <w:r>
        <w:rPr>
          <w:rFonts w:cs="Simplified Arabic" w:hint="cs"/>
          <w:rtl/>
        </w:rPr>
        <w:t>ة</w:t>
      </w:r>
      <w:r w:rsidR="00AF03FA">
        <w:rPr>
          <w:rFonts w:cs="Simplified Arabic" w:hint="cs"/>
          <w:rtl/>
        </w:rPr>
        <w:t xml:space="preserve"> منها</w:t>
      </w:r>
      <w:r w:rsidR="005B7352">
        <w:rPr>
          <w:rFonts w:cs="Simplified Arabic" w:hint="cs"/>
          <w:rtl/>
        </w:rPr>
        <w:t xml:space="preserve"> </w:t>
      </w:r>
      <w:r w:rsidR="00423028">
        <w:rPr>
          <w:rFonts w:cs="Simplified Arabic" w:hint="cs"/>
          <w:rtl/>
        </w:rPr>
        <w:t>صنع منتجات المعادن المشكلة عدا الماكينات والمعدات، وصنع منتجات التبغ، وصنع الملابس باستثناء الملابس الفرائية</w:t>
      </w:r>
      <w:r w:rsidR="00ED4492">
        <w:rPr>
          <w:rFonts w:cs="Simplified Arabic" w:hint="cs"/>
          <w:rtl/>
        </w:rPr>
        <w:t>، وصنع المنتجات الكيماوية، وصنع الفلزات الثمينة وغير الحديدية القاعدية.</w:t>
      </w:r>
    </w:p>
    <w:p w:rsidR="006075FF" w:rsidRDefault="006075FF" w:rsidP="00423028">
      <w:pPr>
        <w:jc w:val="lowKashida"/>
        <w:rPr>
          <w:rFonts w:cs="Simplified Arabic"/>
          <w:b/>
          <w:bCs/>
          <w:rtl/>
        </w:rPr>
      </w:pPr>
    </w:p>
    <w:p w:rsidR="00626F03" w:rsidRPr="00C26C62" w:rsidRDefault="00E47259" w:rsidP="006075FF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24"/>
          <w:szCs w:val="24"/>
          <w:rtl/>
        </w:rPr>
      </w:pPr>
      <w:r w:rsidRPr="00C26C62">
        <w:rPr>
          <w:rFonts w:cs="Simplified Arabic" w:hint="cs"/>
          <w:b/>
          <w:bCs/>
          <w:sz w:val="24"/>
          <w:szCs w:val="24"/>
          <w:rtl/>
        </w:rPr>
        <w:t xml:space="preserve">الرقم القياسي لكميات الإنتاج الصناعي للأشهر </w:t>
      </w:r>
      <w:r w:rsidR="00BF55F7" w:rsidRPr="00C26C62">
        <w:rPr>
          <w:rFonts w:cs="Simplified Arabic" w:hint="cs"/>
          <w:b/>
          <w:bCs/>
          <w:sz w:val="24"/>
          <w:szCs w:val="24"/>
          <w:rtl/>
        </w:rPr>
        <w:t xml:space="preserve">كانون </w:t>
      </w:r>
      <w:r w:rsidR="0052359F">
        <w:rPr>
          <w:rFonts w:cs="Simplified Arabic" w:hint="cs"/>
          <w:b/>
          <w:bCs/>
          <w:sz w:val="24"/>
          <w:szCs w:val="24"/>
          <w:rtl/>
        </w:rPr>
        <w:t>ثاني</w:t>
      </w:r>
      <w:r w:rsidR="007767D2" w:rsidRPr="00C26C62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2359F">
        <w:rPr>
          <w:rFonts w:cs="Simplified Arabic" w:hint="cs"/>
          <w:b/>
          <w:bCs/>
          <w:sz w:val="24"/>
          <w:szCs w:val="24"/>
          <w:rtl/>
        </w:rPr>
        <w:t>2013</w:t>
      </w:r>
      <w:r w:rsidR="007E5049" w:rsidRPr="00C26C62">
        <w:rPr>
          <w:rFonts w:cs="Simplified Arabic" w:hint="cs"/>
          <w:b/>
          <w:bCs/>
          <w:sz w:val="24"/>
          <w:szCs w:val="24"/>
          <w:rtl/>
        </w:rPr>
        <w:t xml:space="preserve">- </w:t>
      </w:r>
      <w:r w:rsidR="00BF55F7" w:rsidRPr="00C26C62">
        <w:rPr>
          <w:rFonts w:cs="Simplified Arabic" w:hint="cs"/>
          <w:b/>
          <w:bCs/>
          <w:sz w:val="24"/>
          <w:szCs w:val="24"/>
          <w:rtl/>
        </w:rPr>
        <w:t xml:space="preserve">كانون </w:t>
      </w:r>
      <w:r w:rsidR="0052359F">
        <w:rPr>
          <w:rFonts w:cs="Simplified Arabic" w:hint="cs"/>
          <w:b/>
          <w:bCs/>
          <w:sz w:val="24"/>
          <w:szCs w:val="24"/>
          <w:rtl/>
        </w:rPr>
        <w:t>ثاني</w:t>
      </w:r>
      <w:r w:rsidR="00D8115E" w:rsidRPr="00C26C62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001C4A">
        <w:rPr>
          <w:rFonts w:cs="Simplified Arabic" w:hint="cs"/>
          <w:b/>
          <w:bCs/>
          <w:sz w:val="24"/>
          <w:szCs w:val="24"/>
          <w:rtl/>
        </w:rPr>
        <w:t>2014</w:t>
      </w:r>
      <w:r w:rsidR="00D8115E" w:rsidRPr="00C26C62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C26C62">
        <w:rPr>
          <w:rFonts w:cs="Simplified Arabic" w:hint="cs"/>
          <w:b/>
          <w:bCs/>
          <w:sz w:val="24"/>
          <w:szCs w:val="24"/>
          <w:rtl/>
        </w:rPr>
        <w:t xml:space="preserve"> (</w:t>
      </w:r>
      <w:r w:rsidR="00A3051C" w:rsidRPr="00C26C62">
        <w:rPr>
          <w:rFonts w:cs="Simplified Arabic" w:hint="cs"/>
          <w:b/>
          <w:bCs/>
          <w:sz w:val="24"/>
          <w:szCs w:val="24"/>
          <w:rtl/>
        </w:rPr>
        <w:t>سنة الأساس</w:t>
      </w:r>
      <w:r w:rsidRPr="00C26C62">
        <w:rPr>
          <w:rFonts w:cs="Simplified Arabic" w:hint="cs"/>
          <w:b/>
          <w:bCs/>
          <w:sz w:val="24"/>
          <w:szCs w:val="24"/>
          <w:rtl/>
        </w:rPr>
        <w:t xml:space="preserve"> 2011 = 100 )</w:t>
      </w:r>
      <w:r w:rsidR="008F71C8" w:rsidRPr="00C26C62">
        <w:rPr>
          <w:rFonts w:cs="Simplified Arabic"/>
          <w:b/>
          <w:bCs/>
          <w:sz w:val="24"/>
          <w:szCs w:val="24"/>
          <w:rtl/>
        </w:rPr>
        <w:t xml:space="preserve"> </w:t>
      </w:r>
    </w:p>
    <w:p w:rsidR="005C35B7" w:rsidRPr="00E87CC7" w:rsidRDefault="00F73737" w:rsidP="00E87CC7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F73737">
        <w:rPr>
          <w:rFonts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3414395" cy="2114550"/>
            <wp:effectExtent l="19050" t="0" r="146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75FF" w:rsidRDefault="006075FF" w:rsidP="00FF4A0D">
      <w:pPr>
        <w:jc w:val="lowKashida"/>
        <w:rPr>
          <w:rFonts w:cs="Simplified Arabic"/>
          <w:b/>
          <w:bCs/>
          <w:sz w:val="20"/>
          <w:szCs w:val="20"/>
          <w:rtl/>
        </w:rPr>
      </w:pPr>
    </w:p>
    <w:p w:rsidR="005002C1" w:rsidRPr="00042181" w:rsidRDefault="002229C8" w:rsidP="006075FF">
      <w:pPr>
        <w:ind w:left="-1"/>
        <w:jc w:val="lowKashida"/>
        <w:rPr>
          <w:rFonts w:cs="Simplified Arabic"/>
          <w:sz w:val="20"/>
          <w:szCs w:val="20"/>
          <w:rtl/>
        </w:rPr>
      </w:pPr>
      <w:proofErr w:type="spellStart"/>
      <w:r w:rsidRPr="00042181">
        <w:rPr>
          <w:rFonts w:cs="Simplified Arabic" w:hint="cs"/>
          <w:sz w:val="20"/>
          <w:szCs w:val="20"/>
          <w:rtl/>
        </w:rPr>
        <w:t>ملاحظة:</w:t>
      </w:r>
      <w:proofErr w:type="spellEnd"/>
      <w:r w:rsidRPr="00042181">
        <w:rPr>
          <w:rFonts w:cs="Simplified Arabic" w:hint="cs"/>
          <w:sz w:val="20"/>
          <w:szCs w:val="20"/>
          <w:rtl/>
        </w:rPr>
        <w:t xml:space="preserve"> الأهمية النسبية للأنشطة تمثل التوزيع النسبي للقيمة المضافة للمؤسسات الصناعية في</w:t>
      </w:r>
      <w:r w:rsidR="009366EF" w:rsidRPr="00042181">
        <w:rPr>
          <w:rFonts w:cs="Simplified Arabic" w:hint="cs"/>
          <w:sz w:val="20"/>
          <w:szCs w:val="20"/>
          <w:rtl/>
        </w:rPr>
        <w:t xml:space="preserve"> العام 2009</w:t>
      </w:r>
      <w:r w:rsidRPr="00042181">
        <w:rPr>
          <w:rFonts w:cs="Simplified Arabic" w:hint="cs"/>
          <w:sz w:val="20"/>
          <w:szCs w:val="20"/>
          <w:rtl/>
        </w:rPr>
        <w:t>.</w:t>
      </w:r>
      <w:bookmarkEnd w:id="0"/>
      <w:bookmarkEnd w:id="1"/>
    </w:p>
    <w:p w:rsidR="005002C1" w:rsidRPr="00042181" w:rsidRDefault="005002C1" w:rsidP="00AC6F61">
      <w:pPr>
        <w:jc w:val="both"/>
        <w:rPr>
          <w:rFonts w:cs="Simplified Arabic"/>
          <w:sz w:val="20"/>
          <w:szCs w:val="20"/>
          <w:rtl/>
        </w:rPr>
      </w:pPr>
      <w:r w:rsidRPr="00042181">
        <w:rPr>
          <w:rFonts w:cs="Simplified Arabic" w:hint="cs"/>
          <w:color w:val="000000"/>
          <w:sz w:val="20"/>
          <w:szCs w:val="20"/>
          <w:rtl/>
        </w:rPr>
        <w:t>تم تمويل جمع بيانات مسح الرقم القياسي لكميات الإنتاج الصناعي بدعم من الإتحاد الأوروبي.</w:t>
      </w:r>
    </w:p>
    <w:sectPr w:rsidR="005002C1" w:rsidRPr="00042181" w:rsidSect="006075FF">
      <w:footerReference w:type="even" r:id="rId9"/>
      <w:footerReference w:type="default" r:id="rId10"/>
      <w:pgSz w:w="11907" w:h="16840" w:code="9"/>
      <w:pgMar w:top="1134" w:right="851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FD" w:rsidRDefault="009E5FFD">
      <w:r>
        <w:separator/>
      </w:r>
    </w:p>
  </w:endnote>
  <w:endnote w:type="continuationSeparator" w:id="0">
    <w:p w:rsidR="009E5FFD" w:rsidRDefault="009E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52" w:rsidRDefault="00E576B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B735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B7352" w:rsidRDefault="005B7352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52" w:rsidRDefault="005B7352">
    <w:pPr>
      <w:pStyle w:val="Footer"/>
      <w:framePr w:wrap="around" w:vAnchor="text" w:hAnchor="margin" w:xAlign="center" w:y="1"/>
      <w:rPr>
        <w:rStyle w:val="PageNumber"/>
        <w:sz w:val="20"/>
        <w:szCs w:val="20"/>
        <w:rtl/>
      </w:rPr>
    </w:pPr>
    <w:r>
      <w:rPr>
        <w:rStyle w:val="PageNumber"/>
        <w:rFonts w:hint="cs"/>
        <w:sz w:val="20"/>
        <w:szCs w:val="20"/>
        <w:rtl/>
      </w:rPr>
      <w:t>1</w:t>
    </w:r>
  </w:p>
  <w:p w:rsidR="005B7352" w:rsidRDefault="005B7352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FD" w:rsidRDefault="009E5FFD">
      <w:r>
        <w:separator/>
      </w:r>
    </w:p>
  </w:footnote>
  <w:footnote w:type="continuationSeparator" w:id="0">
    <w:p w:rsidR="009E5FFD" w:rsidRDefault="009E5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C4A"/>
    <w:rsid w:val="000031CD"/>
    <w:rsid w:val="00004C99"/>
    <w:rsid w:val="00010EB6"/>
    <w:rsid w:val="00014FF9"/>
    <w:rsid w:val="00016ACE"/>
    <w:rsid w:val="00023237"/>
    <w:rsid w:val="00027477"/>
    <w:rsid w:val="00031C85"/>
    <w:rsid w:val="00042181"/>
    <w:rsid w:val="00043524"/>
    <w:rsid w:val="00043A73"/>
    <w:rsid w:val="000656C9"/>
    <w:rsid w:val="000666A2"/>
    <w:rsid w:val="000737B1"/>
    <w:rsid w:val="0009637B"/>
    <w:rsid w:val="00096B23"/>
    <w:rsid w:val="000A186E"/>
    <w:rsid w:val="000A2C69"/>
    <w:rsid w:val="000A3E4A"/>
    <w:rsid w:val="000B1809"/>
    <w:rsid w:val="000B685C"/>
    <w:rsid w:val="000C3E34"/>
    <w:rsid w:val="000C5831"/>
    <w:rsid w:val="000C6281"/>
    <w:rsid w:val="000D729C"/>
    <w:rsid w:val="000E2A63"/>
    <w:rsid w:val="000E76A1"/>
    <w:rsid w:val="000E7D2B"/>
    <w:rsid w:val="000F2FB5"/>
    <w:rsid w:val="000F3C07"/>
    <w:rsid w:val="000F4893"/>
    <w:rsid w:val="000F7CC4"/>
    <w:rsid w:val="0011178C"/>
    <w:rsid w:val="00117F6F"/>
    <w:rsid w:val="00122F74"/>
    <w:rsid w:val="00125B18"/>
    <w:rsid w:val="00132C19"/>
    <w:rsid w:val="00145703"/>
    <w:rsid w:val="0015094D"/>
    <w:rsid w:val="00151048"/>
    <w:rsid w:val="00157CF5"/>
    <w:rsid w:val="001607CF"/>
    <w:rsid w:val="00164671"/>
    <w:rsid w:val="00164F31"/>
    <w:rsid w:val="00167E10"/>
    <w:rsid w:val="00167EB5"/>
    <w:rsid w:val="00171EE9"/>
    <w:rsid w:val="00172A1D"/>
    <w:rsid w:val="0017626B"/>
    <w:rsid w:val="00182B1B"/>
    <w:rsid w:val="00191547"/>
    <w:rsid w:val="00191E99"/>
    <w:rsid w:val="001A3B68"/>
    <w:rsid w:val="001A4B6C"/>
    <w:rsid w:val="001B013E"/>
    <w:rsid w:val="001B41D3"/>
    <w:rsid w:val="001C11D9"/>
    <w:rsid w:val="001C4CC1"/>
    <w:rsid w:val="001C7C59"/>
    <w:rsid w:val="001D09DA"/>
    <w:rsid w:val="001D2402"/>
    <w:rsid w:val="001D423E"/>
    <w:rsid w:val="001D45D4"/>
    <w:rsid w:val="001D65F2"/>
    <w:rsid w:val="001E1281"/>
    <w:rsid w:val="001E4A24"/>
    <w:rsid w:val="001E5800"/>
    <w:rsid w:val="001F27B4"/>
    <w:rsid w:val="001F4ED7"/>
    <w:rsid w:val="001F4F08"/>
    <w:rsid w:val="001F7289"/>
    <w:rsid w:val="00200582"/>
    <w:rsid w:val="0020457E"/>
    <w:rsid w:val="00207CEC"/>
    <w:rsid w:val="00210DD4"/>
    <w:rsid w:val="002165DF"/>
    <w:rsid w:val="00220CBB"/>
    <w:rsid w:val="002229C8"/>
    <w:rsid w:val="0022665B"/>
    <w:rsid w:val="00230529"/>
    <w:rsid w:val="00235728"/>
    <w:rsid w:val="0024335A"/>
    <w:rsid w:val="00257452"/>
    <w:rsid w:val="00280788"/>
    <w:rsid w:val="00280BC9"/>
    <w:rsid w:val="00286B7F"/>
    <w:rsid w:val="00290C61"/>
    <w:rsid w:val="00294F71"/>
    <w:rsid w:val="002A3F7F"/>
    <w:rsid w:val="002A40BB"/>
    <w:rsid w:val="002A51F4"/>
    <w:rsid w:val="002A6705"/>
    <w:rsid w:val="002A7B89"/>
    <w:rsid w:val="002B183C"/>
    <w:rsid w:val="002B4359"/>
    <w:rsid w:val="002C07CD"/>
    <w:rsid w:val="002D5217"/>
    <w:rsid w:val="002D72F3"/>
    <w:rsid w:val="002F0C3A"/>
    <w:rsid w:val="002F24A2"/>
    <w:rsid w:val="002F3F75"/>
    <w:rsid w:val="00301404"/>
    <w:rsid w:val="00301E05"/>
    <w:rsid w:val="00303483"/>
    <w:rsid w:val="00305B7D"/>
    <w:rsid w:val="00305BDD"/>
    <w:rsid w:val="0030700F"/>
    <w:rsid w:val="00310F91"/>
    <w:rsid w:val="00315E1A"/>
    <w:rsid w:val="00316C13"/>
    <w:rsid w:val="00317308"/>
    <w:rsid w:val="00320720"/>
    <w:rsid w:val="00325CC1"/>
    <w:rsid w:val="003266E2"/>
    <w:rsid w:val="00326CFE"/>
    <w:rsid w:val="003273F3"/>
    <w:rsid w:val="003351D9"/>
    <w:rsid w:val="00340421"/>
    <w:rsid w:val="003417DB"/>
    <w:rsid w:val="00341910"/>
    <w:rsid w:val="00372DF9"/>
    <w:rsid w:val="00383C75"/>
    <w:rsid w:val="00386815"/>
    <w:rsid w:val="00386AD6"/>
    <w:rsid w:val="003918AB"/>
    <w:rsid w:val="003A6EB1"/>
    <w:rsid w:val="003B064B"/>
    <w:rsid w:val="003B36BC"/>
    <w:rsid w:val="003B3B57"/>
    <w:rsid w:val="003D0A69"/>
    <w:rsid w:val="003E1B66"/>
    <w:rsid w:val="003E3214"/>
    <w:rsid w:val="003F4B9A"/>
    <w:rsid w:val="00402AC5"/>
    <w:rsid w:val="004038A8"/>
    <w:rsid w:val="00404473"/>
    <w:rsid w:val="00410E87"/>
    <w:rsid w:val="00415135"/>
    <w:rsid w:val="0042091D"/>
    <w:rsid w:val="00423028"/>
    <w:rsid w:val="00425F82"/>
    <w:rsid w:val="004269C4"/>
    <w:rsid w:val="00432A3B"/>
    <w:rsid w:val="00432D21"/>
    <w:rsid w:val="0043639E"/>
    <w:rsid w:val="004413EC"/>
    <w:rsid w:val="004421A1"/>
    <w:rsid w:val="004524D0"/>
    <w:rsid w:val="00452B18"/>
    <w:rsid w:val="00457712"/>
    <w:rsid w:val="00462F90"/>
    <w:rsid w:val="00466D77"/>
    <w:rsid w:val="00467259"/>
    <w:rsid w:val="00467B85"/>
    <w:rsid w:val="00471E9C"/>
    <w:rsid w:val="0047610A"/>
    <w:rsid w:val="0048016A"/>
    <w:rsid w:val="00480457"/>
    <w:rsid w:val="004844C3"/>
    <w:rsid w:val="00490989"/>
    <w:rsid w:val="0049411F"/>
    <w:rsid w:val="00496D8E"/>
    <w:rsid w:val="004A1A75"/>
    <w:rsid w:val="004A1BFB"/>
    <w:rsid w:val="004A1C47"/>
    <w:rsid w:val="004A4D94"/>
    <w:rsid w:val="004A78ED"/>
    <w:rsid w:val="004A7E7A"/>
    <w:rsid w:val="004B1F5D"/>
    <w:rsid w:val="004B203F"/>
    <w:rsid w:val="004B2730"/>
    <w:rsid w:val="004B2FBF"/>
    <w:rsid w:val="004B38B0"/>
    <w:rsid w:val="004B5997"/>
    <w:rsid w:val="004C48D5"/>
    <w:rsid w:val="004D4CF4"/>
    <w:rsid w:val="004E3AB0"/>
    <w:rsid w:val="004E4265"/>
    <w:rsid w:val="004E6E12"/>
    <w:rsid w:val="004F1F44"/>
    <w:rsid w:val="004F21D2"/>
    <w:rsid w:val="004F3527"/>
    <w:rsid w:val="004F6D6E"/>
    <w:rsid w:val="005002C1"/>
    <w:rsid w:val="00502708"/>
    <w:rsid w:val="0050383A"/>
    <w:rsid w:val="005059DB"/>
    <w:rsid w:val="0051057E"/>
    <w:rsid w:val="00510B59"/>
    <w:rsid w:val="0051587C"/>
    <w:rsid w:val="0051737B"/>
    <w:rsid w:val="00521E76"/>
    <w:rsid w:val="0052359F"/>
    <w:rsid w:val="00523DE3"/>
    <w:rsid w:val="00525480"/>
    <w:rsid w:val="005256C1"/>
    <w:rsid w:val="00536C10"/>
    <w:rsid w:val="00547647"/>
    <w:rsid w:val="00547E9A"/>
    <w:rsid w:val="00553775"/>
    <w:rsid w:val="00554D48"/>
    <w:rsid w:val="00555DF7"/>
    <w:rsid w:val="00565DFF"/>
    <w:rsid w:val="005668D8"/>
    <w:rsid w:val="00567587"/>
    <w:rsid w:val="00575033"/>
    <w:rsid w:val="00594D3E"/>
    <w:rsid w:val="00596E45"/>
    <w:rsid w:val="00597C97"/>
    <w:rsid w:val="005A094E"/>
    <w:rsid w:val="005A2071"/>
    <w:rsid w:val="005A60CC"/>
    <w:rsid w:val="005B1A94"/>
    <w:rsid w:val="005B1E46"/>
    <w:rsid w:val="005B7352"/>
    <w:rsid w:val="005C35B7"/>
    <w:rsid w:val="005C734E"/>
    <w:rsid w:val="005C789F"/>
    <w:rsid w:val="005D15BA"/>
    <w:rsid w:val="005E17B1"/>
    <w:rsid w:val="005E226F"/>
    <w:rsid w:val="005F3B25"/>
    <w:rsid w:val="005F4C26"/>
    <w:rsid w:val="005F5B11"/>
    <w:rsid w:val="005F7D87"/>
    <w:rsid w:val="00604882"/>
    <w:rsid w:val="00604E13"/>
    <w:rsid w:val="006075FF"/>
    <w:rsid w:val="006236A5"/>
    <w:rsid w:val="00624777"/>
    <w:rsid w:val="00626F03"/>
    <w:rsid w:val="00647E57"/>
    <w:rsid w:val="00657354"/>
    <w:rsid w:val="00664B0E"/>
    <w:rsid w:val="00665587"/>
    <w:rsid w:val="00667A08"/>
    <w:rsid w:val="006743B6"/>
    <w:rsid w:val="00677363"/>
    <w:rsid w:val="006774AD"/>
    <w:rsid w:val="0069230B"/>
    <w:rsid w:val="00692846"/>
    <w:rsid w:val="00693F25"/>
    <w:rsid w:val="006A482D"/>
    <w:rsid w:val="006A6778"/>
    <w:rsid w:val="006A73AC"/>
    <w:rsid w:val="006B3D8A"/>
    <w:rsid w:val="006B420D"/>
    <w:rsid w:val="006B7D7C"/>
    <w:rsid w:val="006C2DA4"/>
    <w:rsid w:val="006D6CDC"/>
    <w:rsid w:val="006E7B8B"/>
    <w:rsid w:val="006F1C49"/>
    <w:rsid w:val="006F3901"/>
    <w:rsid w:val="00700F54"/>
    <w:rsid w:val="00701CFB"/>
    <w:rsid w:val="00703CC1"/>
    <w:rsid w:val="007048F7"/>
    <w:rsid w:val="007051B8"/>
    <w:rsid w:val="00711027"/>
    <w:rsid w:val="00711889"/>
    <w:rsid w:val="007266B7"/>
    <w:rsid w:val="00731BB7"/>
    <w:rsid w:val="00732049"/>
    <w:rsid w:val="0073539D"/>
    <w:rsid w:val="00736BF5"/>
    <w:rsid w:val="0074483C"/>
    <w:rsid w:val="00745A79"/>
    <w:rsid w:val="00746680"/>
    <w:rsid w:val="00752099"/>
    <w:rsid w:val="00763492"/>
    <w:rsid w:val="007767D2"/>
    <w:rsid w:val="00780391"/>
    <w:rsid w:val="00781C0D"/>
    <w:rsid w:val="00785675"/>
    <w:rsid w:val="0079020A"/>
    <w:rsid w:val="00797769"/>
    <w:rsid w:val="007A3422"/>
    <w:rsid w:val="007A5680"/>
    <w:rsid w:val="007A5CAB"/>
    <w:rsid w:val="007B1038"/>
    <w:rsid w:val="007B6E64"/>
    <w:rsid w:val="007C411D"/>
    <w:rsid w:val="007C7DD9"/>
    <w:rsid w:val="007D4265"/>
    <w:rsid w:val="007E114E"/>
    <w:rsid w:val="007E4DB0"/>
    <w:rsid w:val="007E4DD0"/>
    <w:rsid w:val="007E5049"/>
    <w:rsid w:val="007F300C"/>
    <w:rsid w:val="00820755"/>
    <w:rsid w:val="00825006"/>
    <w:rsid w:val="00837C49"/>
    <w:rsid w:val="0085530E"/>
    <w:rsid w:val="00860F0D"/>
    <w:rsid w:val="0087210B"/>
    <w:rsid w:val="00877AD3"/>
    <w:rsid w:val="008803D7"/>
    <w:rsid w:val="0088478C"/>
    <w:rsid w:val="008867B1"/>
    <w:rsid w:val="00890107"/>
    <w:rsid w:val="008935B9"/>
    <w:rsid w:val="00893E49"/>
    <w:rsid w:val="008A00BF"/>
    <w:rsid w:val="008A0E65"/>
    <w:rsid w:val="008B3052"/>
    <w:rsid w:val="008B47C0"/>
    <w:rsid w:val="008B607E"/>
    <w:rsid w:val="008B68EC"/>
    <w:rsid w:val="008C267F"/>
    <w:rsid w:val="008D7C58"/>
    <w:rsid w:val="008F4A4E"/>
    <w:rsid w:val="008F4FA8"/>
    <w:rsid w:val="008F58DA"/>
    <w:rsid w:val="008F59B7"/>
    <w:rsid w:val="008F71C8"/>
    <w:rsid w:val="00905DDF"/>
    <w:rsid w:val="00911152"/>
    <w:rsid w:val="0091251F"/>
    <w:rsid w:val="00921825"/>
    <w:rsid w:val="00925306"/>
    <w:rsid w:val="00925B9C"/>
    <w:rsid w:val="0092644B"/>
    <w:rsid w:val="00932691"/>
    <w:rsid w:val="009353C5"/>
    <w:rsid w:val="009366EF"/>
    <w:rsid w:val="0093791D"/>
    <w:rsid w:val="0095346D"/>
    <w:rsid w:val="009561D1"/>
    <w:rsid w:val="009615AD"/>
    <w:rsid w:val="00962564"/>
    <w:rsid w:val="00972A6D"/>
    <w:rsid w:val="00982D6A"/>
    <w:rsid w:val="00986C5C"/>
    <w:rsid w:val="009876DC"/>
    <w:rsid w:val="00991081"/>
    <w:rsid w:val="009939A1"/>
    <w:rsid w:val="009A4C99"/>
    <w:rsid w:val="009A64F0"/>
    <w:rsid w:val="009B26A9"/>
    <w:rsid w:val="009B2C5F"/>
    <w:rsid w:val="009B3B16"/>
    <w:rsid w:val="009B4D50"/>
    <w:rsid w:val="009B521B"/>
    <w:rsid w:val="009C1432"/>
    <w:rsid w:val="009C14D0"/>
    <w:rsid w:val="009C7B47"/>
    <w:rsid w:val="009D06A3"/>
    <w:rsid w:val="009D26C4"/>
    <w:rsid w:val="009D3868"/>
    <w:rsid w:val="009D38E6"/>
    <w:rsid w:val="009D3B3B"/>
    <w:rsid w:val="009E0073"/>
    <w:rsid w:val="009E170E"/>
    <w:rsid w:val="009E330A"/>
    <w:rsid w:val="009E39CA"/>
    <w:rsid w:val="009E44AF"/>
    <w:rsid w:val="009E45D0"/>
    <w:rsid w:val="009E5FFD"/>
    <w:rsid w:val="009F4B70"/>
    <w:rsid w:val="009F7E90"/>
    <w:rsid w:val="00A023C7"/>
    <w:rsid w:val="00A062E8"/>
    <w:rsid w:val="00A13016"/>
    <w:rsid w:val="00A21612"/>
    <w:rsid w:val="00A21D9E"/>
    <w:rsid w:val="00A22EAC"/>
    <w:rsid w:val="00A24DF2"/>
    <w:rsid w:val="00A27260"/>
    <w:rsid w:val="00A3051C"/>
    <w:rsid w:val="00A32EC8"/>
    <w:rsid w:val="00A34560"/>
    <w:rsid w:val="00A41836"/>
    <w:rsid w:val="00A43218"/>
    <w:rsid w:val="00A479B8"/>
    <w:rsid w:val="00A52CF9"/>
    <w:rsid w:val="00A533B1"/>
    <w:rsid w:val="00A57501"/>
    <w:rsid w:val="00A62963"/>
    <w:rsid w:val="00A6460C"/>
    <w:rsid w:val="00A650E9"/>
    <w:rsid w:val="00A76EB0"/>
    <w:rsid w:val="00A77077"/>
    <w:rsid w:val="00A83171"/>
    <w:rsid w:val="00A84ED7"/>
    <w:rsid w:val="00A86D87"/>
    <w:rsid w:val="00A94208"/>
    <w:rsid w:val="00AA10D2"/>
    <w:rsid w:val="00AA1684"/>
    <w:rsid w:val="00AA2142"/>
    <w:rsid w:val="00AA4211"/>
    <w:rsid w:val="00AA7F00"/>
    <w:rsid w:val="00AB07F7"/>
    <w:rsid w:val="00AB2279"/>
    <w:rsid w:val="00AB7FE0"/>
    <w:rsid w:val="00AC1FEE"/>
    <w:rsid w:val="00AC5C45"/>
    <w:rsid w:val="00AC5CBF"/>
    <w:rsid w:val="00AC613E"/>
    <w:rsid w:val="00AC6F61"/>
    <w:rsid w:val="00AD2C1A"/>
    <w:rsid w:val="00AF03FA"/>
    <w:rsid w:val="00AF2DF5"/>
    <w:rsid w:val="00B00EE8"/>
    <w:rsid w:val="00B01A13"/>
    <w:rsid w:val="00B12D2F"/>
    <w:rsid w:val="00B14DB0"/>
    <w:rsid w:val="00B216D6"/>
    <w:rsid w:val="00B23D86"/>
    <w:rsid w:val="00B3190D"/>
    <w:rsid w:val="00B31D05"/>
    <w:rsid w:val="00B62025"/>
    <w:rsid w:val="00B72E50"/>
    <w:rsid w:val="00B76510"/>
    <w:rsid w:val="00B84630"/>
    <w:rsid w:val="00B864F9"/>
    <w:rsid w:val="00B90C39"/>
    <w:rsid w:val="00B95FCD"/>
    <w:rsid w:val="00BA1DEB"/>
    <w:rsid w:val="00BA3417"/>
    <w:rsid w:val="00BA5A04"/>
    <w:rsid w:val="00BB224E"/>
    <w:rsid w:val="00BB6C08"/>
    <w:rsid w:val="00BC2BD3"/>
    <w:rsid w:val="00BC6F27"/>
    <w:rsid w:val="00BD1B0A"/>
    <w:rsid w:val="00BD30CD"/>
    <w:rsid w:val="00BD3E72"/>
    <w:rsid w:val="00BD6FC4"/>
    <w:rsid w:val="00BD7892"/>
    <w:rsid w:val="00BE09D3"/>
    <w:rsid w:val="00BE17B1"/>
    <w:rsid w:val="00BE55F2"/>
    <w:rsid w:val="00BF0699"/>
    <w:rsid w:val="00BF55F7"/>
    <w:rsid w:val="00C0435E"/>
    <w:rsid w:val="00C101E4"/>
    <w:rsid w:val="00C15EDD"/>
    <w:rsid w:val="00C16489"/>
    <w:rsid w:val="00C25505"/>
    <w:rsid w:val="00C26C62"/>
    <w:rsid w:val="00C3344F"/>
    <w:rsid w:val="00C37E22"/>
    <w:rsid w:val="00C44E22"/>
    <w:rsid w:val="00C47255"/>
    <w:rsid w:val="00C60557"/>
    <w:rsid w:val="00C65036"/>
    <w:rsid w:val="00C7048D"/>
    <w:rsid w:val="00C7213F"/>
    <w:rsid w:val="00C77394"/>
    <w:rsid w:val="00C8121D"/>
    <w:rsid w:val="00C83C8F"/>
    <w:rsid w:val="00C842A2"/>
    <w:rsid w:val="00C90172"/>
    <w:rsid w:val="00C95005"/>
    <w:rsid w:val="00C9639D"/>
    <w:rsid w:val="00CA37CB"/>
    <w:rsid w:val="00CA53BB"/>
    <w:rsid w:val="00CB1B15"/>
    <w:rsid w:val="00CC0426"/>
    <w:rsid w:val="00CC128E"/>
    <w:rsid w:val="00CD2293"/>
    <w:rsid w:val="00CD2376"/>
    <w:rsid w:val="00CE6C30"/>
    <w:rsid w:val="00CE743F"/>
    <w:rsid w:val="00CE7C21"/>
    <w:rsid w:val="00CF6E85"/>
    <w:rsid w:val="00CF7EAA"/>
    <w:rsid w:val="00D035B8"/>
    <w:rsid w:val="00D05915"/>
    <w:rsid w:val="00D11561"/>
    <w:rsid w:val="00D12857"/>
    <w:rsid w:val="00D14732"/>
    <w:rsid w:val="00D400CE"/>
    <w:rsid w:val="00D440EB"/>
    <w:rsid w:val="00D5609E"/>
    <w:rsid w:val="00D65723"/>
    <w:rsid w:val="00D65E7D"/>
    <w:rsid w:val="00D757D4"/>
    <w:rsid w:val="00D8115E"/>
    <w:rsid w:val="00D8282D"/>
    <w:rsid w:val="00D85517"/>
    <w:rsid w:val="00D947C9"/>
    <w:rsid w:val="00D97CF9"/>
    <w:rsid w:val="00DB0184"/>
    <w:rsid w:val="00DB3C4B"/>
    <w:rsid w:val="00DD4EEE"/>
    <w:rsid w:val="00DE1C92"/>
    <w:rsid w:val="00DF3A6A"/>
    <w:rsid w:val="00DF4645"/>
    <w:rsid w:val="00DF63E8"/>
    <w:rsid w:val="00E04987"/>
    <w:rsid w:val="00E061D3"/>
    <w:rsid w:val="00E06C05"/>
    <w:rsid w:val="00E1167D"/>
    <w:rsid w:val="00E15B0F"/>
    <w:rsid w:val="00E1669C"/>
    <w:rsid w:val="00E269AA"/>
    <w:rsid w:val="00E30FE9"/>
    <w:rsid w:val="00E32792"/>
    <w:rsid w:val="00E36BD5"/>
    <w:rsid w:val="00E47259"/>
    <w:rsid w:val="00E47DA7"/>
    <w:rsid w:val="00E510BF"/>
    <w:rsid w:val="00E5322C"/>
    <w:rsid w:val="00E547E9"/>
    <w:rsid w:val="00E576B2"/>
    <w:rsid w:val="00E61765"/>
    <w:rsid w:val="00E67E94"/>
    <w:rsid w:val="00E83616"/>
    <w:rsid w:val="00E86D93"/>
    <w:rsid w:val="00E87CC7"/>
    <w:rsid w:val="00E96437"/>
    <w:rsid w:val="00EA0EDC"/>
    <w:rsid w:val="00EA10F5"/>
    <w:rsid w:val="00EA4C9C"/>
    <w:rsid w:val="00EA79D3"/>
    <w:rsid w:val="00EB16CD"/>
    <w:rsid w:val="00EB1742"/>
    <w:rsid w:val="00EB5F81"/>
    <w:rsid w:val="00EB661B"/>
    <w:rsid w:val="00EC14BC"/>
    <w:rsid w:val="00EC4B66"/>
    <w:rsid w:val="00EC4E91"/>
    <w:rsid w:val="00EC5519"/>
    <w:rsid w:val="00ED04C8"/>
    <w:rsid w:val="00ED4492"/>
    <w:rsid w:val="00ED6DA5"/>
    <w:rsid w:val="00EE0D75"/>
    <w:rsid w:val="00EE55FD"/>
    <w:rsid w:val="00EF075C"/>
    <w:rsid w:val="00EF650D"/>
    <w:rsid w:val="00EF691E"/>
    <w:rsid w:val="00F02513"/>
    <w:rsid w:val="00F05144"/>
    <w:rsid w:val="00F063C8"/>
    <w:rsid w:val="00F06BF7"/>
    <w:rsid w:val="00F103E6"/>
    <w:rsid w:val="00F16827"/>
    <w:rsid w:val="00F22816"/>
    <w:rsid w:val="00F228E4"/>
    <w:rsid w:val="00F250DE"/>
    <w:rsid w:val="00F32840"/>
    <w:rsid w:val="00F4068F"/>
    <w:rsid w:val="00F4194A"/>
    <w:rsid w:val="00F43482"/>
    <w:rsid w:val="00F44364"/>
    <w:rsid w:val="00F44995"/>
    <w:rsid w:val="00F50B28"/>
    <w:rsid w:val="00F535BB"/>
    <w:rsid w:val="00F70624"/>
    <w:rsid w:val="00F71CDB"/>
    <w:rsid w:val="00F73737"/>
    <w:rsid w:val="00F931D6"/>
    <w:rsid w:val="00FA3E35"/>
    <w:rsid w:val="00FA588D"/>
    <w:rsid w:val="00FA748F"/>
    <w:rsid w:val="00FA7D78"/>
    <w:rsid w:val="00FB0AF7"/>
    <w:rsid w:val="00FB25DF"/>
    <w:rsid w:val="00FB6B29"/>
    <w:rsid w:val="00FB6F9D"/>
    <w:rsid w:val="00FC4B94"/>
    <w:rsid w:val="00FC636B"/>
    <w:rsid w:val="00FC792C"/>
    <w:rsid w:val="00FD34A0"/>
    <w:rsid w:val="00FE7BCB"/>
    <w:rsid w:val="00FF4A0D"/>
    <w:rsid w:val="00FF4EDC"/>
    <w:rsid w:val="00FF7049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semiHidden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rFonts w:cs="Simplified Arabic"/>
      <w:b/>
      <w:bCs/>
      <w:noProof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523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0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718091131198847"/>
          <c:y val="4.7321176320454156E-2"/>
          <c:w val="0.77271212513612186"/>
          <c:h val="0.60115324666894365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Sheet1!$A$5:$M$5</c:f>
              <c:strCache>
                <c:ptCount val="13"/>
                <c:pt idx="0">
                  <c:v>كانون ثاني 2013</c:v>
                </c:pt>
                <c:pt idx="1">
                  <c:v>شباط 2013</c:v>
                </c:pt>
                <c:pt idx="2">
                  <c:v>آذار 2013</c:v>
                </c:pt>
                <c:pt idx="3">
                  <c:v>نيسان 2013</c:v>
                </c:pt>
                <c:pt idx="4">
                  <c:v>أيار 2013</c:v>
                </c:pt>
                <c:pt idx="5">
                  <c:v>حزيران 2013</c:v>
                </c:pt>
                <c:pt idx="6">
                  <c:v>تموز 2013</c:v>
                </c:pt>
                <c:pt idx="7">
                  <c:v>آب 2013</c:v>
                </c:pt>
                <c:pt idx="8">
                  <c:v>أيلول 2013</c:v>
                </c:pt>
                <c:pt idx="9">
                  <c:v>تشرين اول 2013</c:v>
                </c:pt>
                <c:pt idx="10">
                  <c:v>تشرين ثاني 2013</c:v>
                </c:pt>
                <c:pt idx="11">
                  <c:v>كانون أول 2013</c:v>
                </c:pt>
                <c:pt idx="12">
                  <c:v>كانون ثاني 2014</c:v>
                </c:pt>
              </c:strCache>
            </c:strRef>
          </c:cat>
          <c:val>
            <c:numRef>
              <c:f>Sheet1!$A$6:$M$6</c:f>
              <c:numCache>
                <c:formatCode>0.00</c:formatCode>
                <c:ptCount val="13"/>
                <c:pt idx="0">
                  <c:v>109.32304902677993</c:v>
                </c:pt>
                <c:pt idx="1">
                  <c:v>101.52803853585608</c:v>
                </c:pt>
                <c:pt idx="2">
                  <c:v>105.35883603000806</c:v>
                </c:pt>
                <c:pt idx="3">
                  <c:v>122.04765294282372</c:v>
                </c:pt>
                <c:pt idx="4">
                  <c:v>125.22</c:v>
                </c:pt>
                <c:pt idx="5">
                  <c:v>118.56</c:v>
                </c:pt>
                <c:pt idx="6">
                  <c:v>128.35000000000016</c:v>
                </c:pt>
                <c:pt idx="7">
                  <c:v>129.06</c:v>
                </c:pt>
                <c:pt idx="8">
                  <c:v>118.42</c:v>
                </c:pt>
                <c:pt idx="9">
                  <c:v>119.98</c:v>
                </c:pt>
                <c:pt idx="10">
                  <c:v>100.41000000000008</c:v>
                </c:pt>
                <c:pt idx="11">
                  <c:v>98.29</c:v>
                </c:pt>
                <c:pt idx="12">
                  <c:v>108.53215755729295</c:v>
                </c:pt>
              </c:numCache>
            </c:numRef>
          </c:val>
        </c:ser>
        <c:marker val="1"/>
        <c:axId val="85963904"/>
        <c:axId val="85965440"/>
      </c:lineChart>
      <c:catAx>
        <c:axId val="85963904"/>
        <c:scaling>
          <c:orientation val="minMax"/>
        </c:scaling>
        <c:axPos val="b"/>
        <c:numFmt formatCode="General" sourceLinked="1"/>
        <c:tickLblPos val="nextTo"/>
        <c:crossAx val="85965440"/>
        <c:crosses val="autoZero"/>
        <c:auto val="1"/>
        <c:lblAlgn val="ctr"/>
        <c:lblOffset val="100"/>
      </c:catAx>
      <c:valAx>
        <c:axId val="85965440"/>
        <c:scaling>
          <c:orientation val="minMax"/>
          <c:max val="130"/>
          <c:min val="95"/>
        </c:scaling>
        <c:axPos val="l"/>
        <c:numFmt formatCode="0.00" sourceLinked="1"/>
        <c:tickLblPos val="nextTo"/>
        <c:crossAx val="859639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2AC5-9B1A-4525-B169-2AEBD37B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hbadran</cp:lastModifiedBy>
  <cp:revision>4</cp:revision>
  <cp:lastPrinted>2014-03-04T10:28:00Z</cp:lastPrinted>
  <dcterms:created xsi:type="dcterms:W3CDTF">2014-03-04T10:29:00Z</dcterms:created>
  <dcterms:modified xsi:type="dcterms:W3CDTF">2014-03-05T06:55:00Z</dcterms:modified>
</cp:coreProperties>
</file>