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7F" w:rsidRPr="005E664E" w:rsidRDefault="00DE6B7F" w:rsidP="00D43193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r w:rsidRPr="005E66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الفلسطيني: </w:t>
      </w:r>
      <w:r w:rsidR="00774AC9" w:rsidRPr="005E66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انخفاض</w:t>
      </w:r>
      <w:r w:rsidR="00774AC9" w:rsidRPr="005E664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 xml:space="preserve"> حاد</w:t>
      </w:r>
      <w:r w:rsidR="0034751A" w:rsidRPr="005E66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74AC9" w:rsidRPr="005E66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</w:t>
      </w:r>
      <w:r w:rsidR="0034751A" w:rsidRPr="005E66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في فلسطين </w:t>
      </w:r>
    </w:p>
    <w:p w:rsidR="00DE6B7F" w:rsidRPr="005E664E" w:rsidRDefault="0034751A" w:rsidP="00D43193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 w:rsidRPr="005E66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520026" w:rsidRPr="005E664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تشرين أول</w:t>
      </w:r>
      <w:r w:rsidR="00DE6B7F" w:rsidRPr="005E664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، 10/2023</w:t>
      </w:r>
    </w:p>
    <w:p w:rsidR="00DE6B7F" w:rsidRPr="00D43193" w:rsidRDefault="00DE6B7F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DE6B7F" w:rsidRDefault="0034751A" w:rsidP="005E664E">
      <w:pPr>
        <w:pStyle w:val="Title"/>
        <w:tabs>
          <w:tab w:val="left" w:pos="282"/>
          <w:tab w:val="left" w:pos="991"/>
          <w:tab w:val="left" w:pos="1416"/>
        </w:tabs>
        <w:jc w:val="both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 الرقم القياسي لكمي</w:t>
      </w:r>
      <w:bookmarkStart w:id="2" w:name="_GoBack"/>
      <w:bookmarkEnd w:id="2"/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ات الإنتاج الصناعي 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</w:t>
      </w:r>
      <w:r w:rsidR="00774AC9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حاداً 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3A71C3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7420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25.11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52002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</w:t>
      </w:r>
      <w:r w:rsidR="00D4319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أول 2023 مقارنة بشهر أيلول 2023 </w:t>
      </w:r>
      <w:r w:rsidR="00FB6C03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وذلك بسبب الع</w:t>
      </w:r>
      <w:r w:rsidR="00D4319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دوان </w:t>
      </w:r>
      <w:r w:rsidR="00FB6C03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الإسرائيلي على قطاع غزة والذي ادى الى توقف المنشآت عن العمل داخل القطاع، وايضاً انعكس ذلك على انخفاض إنتاج معظم المنشآت العاملة في الضفة الغربية بسبب توقف التصدير، </w:t>
      </w:r>
      <w:r w:rsidR="00772FAF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إذ 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F7420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82.13</w:t>
      </w:r>
      <w:r w:rsidR="003D6A49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94133C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2002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="0094133C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772FAF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A74F3A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7420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109.67</w:t>
      </w:r>
      <w:r w:rsidR="008C0838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="00BB694F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="00772FAF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340D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2002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="00260BC1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D03393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D4319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3B61FC" w:rsidRDefault="0034751A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D43193" w:rsidRDefault="0034751A" w:rsidP="00D43193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D43193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</w:p>
    <w:p w:rsidR="009B2066" w:rsidRPr="00DE6B7F" w:rsidRDefault="009B2066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E6B7F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</w:t>
      </w:r>
      <w:r w:rsidR="00774AC9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حاداً 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7420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35.97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4812B6" w:rsidRPr="00D43193" w:rsidRDefault="004812B6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4812B6" w:rsidRPr="00DE6B7F" w:rsidRDefault="004812B6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E6B7F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</w:t>
      </w:r>
      <w:r w:rsidR="00774AC9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حاداً </w:t>
      </w:r>
      <w:r w:rsidR="0052002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27.72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C35EAF" w:rsidRPr="00D43193" w:rsidRDefault="00C35EAF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C35EAF" w:rsidRDefault="00C35EAF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وسجلت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DE6B7F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774AC9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حاداً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مقداره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7420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24.07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2002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2023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D43193" w:rsidRPr="00D43193" w:rsidRDefault="00D43193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C35EAF" w:rsidRDefault="00C35EAF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="0052002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معظم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2002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2023</w:t>
      </w: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Pr="003B61FC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</w:t>
      </w:r>
      <w:r w:rsidR="00B60D5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؛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صناعة منتجات المعادن اللافلزية الأخرى،</w:t>
      </w:r>
      <w:r w:rsidR="00F7420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وصناعة منتجات المعادن المشكلة عدا الماكنات والمعدات، وصناعة المنتجات الغذائية، 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وصناعة الملابس، </w:t>
      </w:r>
      <w:r w:rsidR="00F7420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المنتجات الصيدلانية الأساسية ومستحضراتها،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وصناعة المنسوجات</w:t>
      </w:r>
      <w:r w:rsidR="00F169A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F169A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3B3A53" w:rsidRPr="003B61F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</w:p>
    <w:p w:rsidR="003B3A53" w:rsidRPr="00D43193" w:rsidRDefault="003B3A53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B2066" w:rsidRPr="00DE6B7F" w:rsidRDefault="00C35EAF" w:rsidP="00D43193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4812B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</w:t>
      </w:r>
      <w:r w:rsidR="0052002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تفاعاً في نشاط </w:t>
      </w:r>
      <w:r w:rsidR="00F74200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منتجات التبغ</w:t>
      </w:r>
      <w:r w:rsidR="0017051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223654" w:rsidRPr="00D43193" w:rsidRDefault="00223654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B3A53" w:rsidRPr="00DE6B7F" w:rsidRDefault="00170517" w:rsidP="00D4319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B3A53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3B3A53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3B3A53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B3A53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3B3A53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B3A53" w:rsidRPr="00DE6B7F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3B3A53" w:rsidRPr="00DE6B7F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3B3A53" w:rsidRPr="00DE6B7F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3B3A53" w:rsidRPr="00DE6B7F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6662B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4AC9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حاداً </w:t>
      </w:r>
      <w:r w:rsidR="00520026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3B3A53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662B7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11.50</w:t>
      </w:r>
      <w:r w:rsidR="003B3A53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3B3A53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3B3A53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3B3A53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3B3A53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3B3A53" w:rsidRPr="00DE6B7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3B3A53" w:rsidRPr="00DE6B7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3B3A53" w:rsidRPr="00D43193" w:rsidRDefault="003B3A53" w:rsidP="00D43193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3A5B7F" w:rsidRPr="003A5B7F" w:rsidRDefault="003A5B7F" w:rsidP="00D43193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3A5B7F">
        <w:rPr>
          <w:rFonts w:cs="Simplified Arabic" w:hint="cs"/>
          <w:b/>
          <w:bCs/>
          <w:rtl/>
        </w:rPr>
        <w:t>تنويه لمستخدمي البيانات:</w:t>
      </w:r>
    </w:p>
    <w:p w:rsidR="0059121D" w:rsidRDefault="003A5B7F" w:rsidP="00D43193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  <w:r w:rsidRPr="003A5B7F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3A5B7F">
        <w:rPr>
          <w:rFonts w:ascii="Simplified Arabic" w:cs="Simplified Arabic" w:hint="cs"/>
          <w:sz w:val="26"/>
          <w:szCs w:val="26"/>
          <w:rtl/>
        </w:rPr>
        <w:t>في</w:t>
      </w:r>
      <w:r w:rsidR="00187BA4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3A5B7F">
        <w:rPr>
          <w:rFonts w:ascii="Simplified Arabic" w:cs="Simplified Arabic" w:hint="cs"/>
          <w:sz w:val="26"/>
          <w:szCs w:val="26"/>
          <w:rtl/>
        </w:rPr>
        <w:t xml:space="preserve"> تشرين الأول من العام 202</w:t>
      </w:r>
      <w:r w:rsidRPr="003A5B7F">
        <w:rPr>
          <w:rFonts w:ascii="Simplified Arabic" w:cs="Simplified Arabic"/>
          <w:sz w:val="26"/>
          <w:szCs w:val="26"/>
          <w:rtl/>
        </w:rPr>
        <w:t>3</w:t>
      </w:r>
      <w:r w:rsidR="00FB6C03">
        <w:rPr>
          <w:rFonts w:ascii="Simplified Arabic" w:hAnsi="Simplified Arabic" w:cs="Simplified Arabic" w:hint="cs"/>
          <w:sz w:val="24"/>
          <w:szCs w:val="24"/>
          <w:rtl/>
        </w:rPr>
        <w:t xml:space="preserve"> تم تقدير قيم الإ</w:t>
      </w:r>
      <w:r w:rsidR="00DA5200">
        <w:rPr>
          <w:rFonts w:ascii="Simplified Arabic" w:hAnsi="Simplified Arabic" w:cs="Simplified Arabic" w:hint="cs"/>
          <w:sz w:val="24"/>
          <w:szCs w:val="24"/>
          <w:rtl/>
        </w:rPr>
        <w:t xml:space="preserve">نتاج </w:t>
      </w:r>
      <w:r w:rsidR="007667F6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187BA4" w:rsidRPr="003A5B7F">
        <w:rPr>
          <w:rFonts w:ascii="Simplified Arabic" w:hAnsi="Simplified Arabic" w:cs="Simplified Arabic" w:hint="cs"/>
          <w:sz w:val="24"/>
          <w:szCs w:val="24"/>
          <w:rtl/>
        </w:rPr>
        <w:t xml:space="preserve">لمنشآت الصناعية العاملة في قطاع غزة </w:t>
      </w:r>
      <w:r w:rsidR="00187BA4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FB6C03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="00187BA4">
        <w:rPr>
          <w:rFonts w:ascii="Simplified Arabic" w:hAnsi="Simplified Arabic" w:cs="Simplified Arabic" w:hint="cs"/>
          <w:sz w:val="24"/>
          <w:szCs w:val="24"/>
          <w:rtl/>
        </w:rPr>
        <w:t xml:space="preserve"> 2023</w:t>
      </w:r>
      <w:r w:rsidRPr="003A5B7F">
        <w:rPr>
          <w:rFonts w:ascii="Simplified Arabic" w:hAnsi="Simplified Arabic" w:cs="Simplified Arabic" w:hint="cs"/>
          <w:sz w:val="24"/>
          <w:szCs w:val="24"/>
          <w:rtl/>
        </w:rPr>
        <w:t xml:space="preserve"> اعتماد على التوصيات الدولية</w:t>
      </w:r>
      <w:r w:rsidR="00187BA4">
        <w:rPr>
          <w:rFonts w:ascii="Simplified Arabic" w:hAnsi="Simplified Arabic" w:cs="Simplified Arabic" w:hint="cs"/>
          <w:sz w:val="24"/>
          <w:szCs w:val="24"/>
          <w:rtl/>
        </w:rPr>
        <w:t xml:space="preserve"> في هذا المجال</w:t>
      </w:r>
      <w:r w:rsidRPr="003A5B7F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5E664E" w:rsidRDefault="005E664E" w:rsidP="00D43193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5E664E" w:rsidRPr="00D43193" w:rsidRDefault="005E664E" w:rsidP="00D43193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bookmarkEnd w:id="0"/>
    <w:bookmarkEnd w:id="1"/>
    <w:p w:rsidR="00721396" w:rsidRPr="003B61FC" w:rsidRDefault="005E664E" w:rsidP="005E664E">
      <w:pPr>
        <w:pStyle w:val="Title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3B61FC">
        <w:rPr>
          <w:rFonts w:cs="Simplified Arabic"/>
          <w:sz w:val="20"/>
          <w:szCs w:val="20"/>
          <w:lang w:val="en-US" w:eastAsia="en-US"/>
        </w:rPr>
        <w:drawing>
          <wp:inline distT="0" distB="0" distL="0" distR="0" wp14:anchorId="55E3EC0C" wp14:editId="23E37741">
            <wp:extent cx="619125" cy="790575"/>
            <wp:effectExtent l="0" t="0" r="9525" b="9525"/>
            <wp:docPr id="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396" w:rsidRPr="003B61FC" w:rsidSect="005E664E">
      <w:footerReference w:type="even" r:id="rId9"/>
      <w:pgSz w:w="11907" w:h="16840" w:code="9"/>
      <w:pgMar w:top="1134" w:right="1134" w:bottom="1134" w:left="1134" w:header="720" w:footer="720" w:gutter="0"/>
      <w:pgNumType w:start="1"/>
      <w:cols w:space="1419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E5" w:rsidRDefault="002257E5">
      <w:r>
        <w:separator/>
      </w:r>
    </w:p>
  </w:endnote>
  <w:endnote w:type="continuationSeparator" w:id="0">
    <w:p w:rsidR="002257E5" w:rsidRDefault="0022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E5" w:rsidRDefault="002257E5">
      <w:r>
        <w:separator/>
      </w:r>
    </w:p>
  </w:footnote>
  <w:footnote w:type="continuationSeparator" w:id="0">
    <w:p w:rsidR="002257E5" w:rsidRDefault="0022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7E10"/>
    <w:rsid w:val="00167EB5"/>
    <w:rsid w:val="00170517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7E5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73540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4393"/>
    <w:rsid w:val="003E4E3D"/>
    <w:rsid w:val="003E52C3"/>
    <w:rsid w:val="003E656B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5D92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44AF"/>
    <w:rsid w:val="00514A71"/>
    <w:rsid w:val="0051587C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64E"/>
    <w:rsid w:val="005E698D"/>
    <w:rsid w:val="005E6D8F"/>
    <w:rsid w:val="005F0EFC"/>
    <w:rsid w:val="005F2293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480E"/>
    <w:rsid w:val="00615659"/>
    <w:rsid w:val="006159DD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123E"/>
    <w:rsid w:val="0081332E"/>
    <w:rsid w:val="008151E9"/>
    <w:rsid w:val="008157BA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267F"/>
    <w:rsid w:val="008C464C"/>
    <w:rsid w:val="008C5DCC"/>
    <w:rsid w:val="008C68D4"/>
    <w:rsid w:val="008C6A00"/>
    <w:rsid w:val="008C785C"/>
    <w:rsid w:val="008D33B6"/>
    <w:rsid w:val="008D6A68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851"/>
    <w:rsid w:val="00A22EAC"/>
    <w:rsid w:val="00A232EC"/>
    <w:rsid w:val="00A249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71DAE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00D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193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E446A"/>
    <w:rsid w:val="00DE6B7F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6C34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2F0E"/>
    <w:rsid w:val="00F43482"/>
    <w:rsid w:val="00F44364"/>
    <w:rsid w:val="00F44995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19D2"/>
    <w:rsid w:val="00F931D6"/>
    <w:rsid w:val="00F95FFB"/>
    <w:rsid w:val="00FA1744"/>
    <w:rsid w:val="00FA2612"/>
    <w:rsid w:val="00FA3E35"/>
    <w:rsid w:val="00FA588D"/>
    <w:rsid w:val="00FA71D8"/>
    <w:rsid w:val="00FA748F"/>
    <w:rsid w:val="00FA7D78"/>
    <w:rsid w:val="00FB0AF7"/>
    <w:rsid w:val="00FB2345"/>
    <w:rsid w:val="00FB238E"/>
    <w:rsid w:val="00FB25DF"/>
    <w:rsid w:val="00FB474D"/>
    <w:rsid w:val="00FB6B29"/>
    <w:rsid w:val="00FB6C03"/>
    <w:rsid w:val="00FB6F9D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33449A"/>
  <w15:chartTrackingRefBased/>
  <w15:docId w15:val="{F5FE5EB5-071C-407B-BAF6-1F200B4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6B6D-D6BA-4853-98D6-6BAB10D9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1904</CharactersWithSpaces>
  <SharedDoc>false</SharedDoc>
  <HLinks>
    <vt:vector size="18" baseType="variant"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AppData/Local/Packages/Microsoft.MicrosoftEdge_8wekyb3d8bbwe/TempState/AppData/Local/Packages/Microsoft.MicrosoftEdge_8wekyb3d8bbwe/TempState/Downloads/www.pcbs.gov.ps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6356997</vt:i4>
      </vt:variant>
      <vt:variant>
        <vt:i4>12716</vt:i4>
      </vt:variant>
      <vt:variant>
        <vt:i4>1090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Hadeel Badran</cp:lastModifiedBy>
  <cp:revision>3</cp:revision>
  <cp:lastPrinted>2023-12-03T11:39:00Z</cp:lastPrinted>
  <dcterms:created xsi:type="dcterms:W3CDTF">2023-12-03T11:39:00Z</dcterms:created>
  <dcterms:modified xsi:type="dcterms:W3CDTF">2023-12-03T11:41:00Z</dcterms:modified>
</cp:coreProperties>
</file>