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1E" w:rsidRDefault="00FE131E" w:rsidP="00621B79">
      <w:pPr>
        <w:pStyle w:val="Header"/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FE131E" w:rsidRDefault="00FE131E" w:rsidP="00FE131E">
      <w:pPr>
        <w:pStyle w:val="Header"/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08497B" w:rsidRPr="00FE131E" w:rsidRDefault="0008497B" w:rsidP="00FE131E">
      <w:pPr>
        <w:pStyle w:val="Header"/>
        <w:bidi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FE131E">
        <w:rPr>
          <w:rFonts w:ascii="Simplified Arabic" w:hAnsi="Simplified Arabic" w:cs="Simplified Arabic"/>
          <w:b/>
          <w:bCs/>
          <w:sz w:val="32"/>
          <w:szCs w:val="32"/>
          <w:rtl/>
        </w:rPr>
        <w:t>الإحصاء الفلسطيني</w:t>
      </w:r>
      <w:r w:rsidR="00112D33" w:rsidRPr="00FE131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ووزارة الثقافة</w:t>
      </w:r>
      <w:r w:rsidRPr="00FE131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112D33" w:rsidRPr="00FE131E">
        <w:rPr>
          <w:rFonts w:ascii="Simplified Arabic" w:hAnsi="Simplified Arabic" w:cs="Simplified Arabic"/>
          <w:b/>
          <w:bCs/>
          <w:sz w:val="32"/>
          <w:szCs w:val="32"/>
          <w:rtl/>
        </w:rPr>
        <w:t>يصدران بياناً صحفياً</w:t>
      </w:r>
      <w:r w:rsidRPr="00FE131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بمناسبة يوم الثقافة الفلسطيني</w:t>
      </w:r>
    </w:p>
    <w:p w:rsidR="0008497B" w:rsidRPr="00621B79" w:rsidRDefault="0008497B" w:rsidP="0008497B">
      <w:pPr>
        <w:bidi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B6146E" w:rsidRPr="00621B79" w:rsidRDefault="00B6146E" w:rsidP="00C97078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621B79">
        <w:rPr>
          <w:rFonts w:ascii="Simplified Arabic" w:hAnsi="Simplified Arabic" w:cs="Simplified Arabic"/>
          <w:sz w:val="24"/>
          <w:szCs w:val="24"/>
          <w:rtl/>
        </w:rPr>
        <w:t>بمناسبة يوم الثقافة الفلسطيني الذي يصادف الثالث عشر من آذار من كل عام، استعرض الإحصاء الفلسطيني</w:t>
      </w:r>
      <w:r w:rsidR="00715769" w:rsidRPr="00621B79">
        <w:rPr>
          <w:rFonts w:ascii="Simplified Arabic" w:hAnsi="Simplified Arabic" w:cs="Simplified Arabic"/>
          <w:sz w:val="24"/>
          <w:szCs w:val="24"/>
          <w:rtl/>
        </w:rPr>
        <w:t xml:space="preserve"> ووزارة الثقافة</w:t>
      </w:r>
      <w:r w:rsidRPr="00621B79">
        <w:rPr>
          <w:rFonts w:ascii="Simplified Arabic" w:hAnsi="Simplified Arabic" w:cs="Simplified Arabic"/>
          <w:sz w:val="24"/>
          <w:szCs w:val="24"/>
          <w:rtl/>
        </w:rPr>
        <w:t xml:space="preserve"> واقع المؤسسات الثقافية في فلسطين لعام 2018</w:t>
      </w:r>
      <w:r w:rsidR="00DF4615" w:rsidRPr="00621B79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B6146E" w:rsidRPr="00621B79" w:rsidRDefault="00B6146E" w:rsidP="00B6146E">
      <w:pPr>
        <w:bidi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08497B" w:rsidRPr="00621B79" w:rsidRDefault="000C61B4" w:rsidP="00F00C0B">
      <w:pPr>
        <w:bidi/>
        <w:ind w:left="-2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621B79">
        <w:rPr>
          <w:rFonts w:ascii="Simplified Arabic" w:hAnsi="Simplified Arabic" w:cs="Simplified Arabic"/>
          <w:b/>
          <w:bCs/>
          <w:sz w:val="26"/>
          <w:szCs w:val="26"/>
          <w:rtl/>
        </w:rPr>
        <w:t>انخفاض عدد المراكز الثقافية العاملة في فلسطين عن العام السابق</w:t>
      </w:r>
    </w:p>
    <w:p w:rsidR="0008497B" w:rsidRDefault="000C61B4" w:rsidP="000C61B4">
      <w:pPr>
        <w:pStyle w:val="BodyText"/>
        <w:jc w:val="both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621B79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بلغ عدد المراكز الثقافية العاملة 597 مركزاً ثقافياً عاملاً في عام 2018. في حين بلغ عدد المراكز الثقافية العاملة 625 مركزاً في عام 2017. </w:t>
      </w:r>
    </w:p>
    <w:p w:rsidR="00FE131E" w:rsidRPr="00FE131E" w:rsidRDefault="00FE131E" w:rsidP="000C61B4">
      <w:pPr>
        <w:pStyle w:val="BodyText"/>
        <w:jc w:val="both"/>
        <w:rPr>
          <w:rFonts w:ascii="Simplified Arabic" w:hAnsi="Simplified Arabic"/>
          <w:b w:val="0"/>
          <w:bCs w:val="0"/>
          <w:sz w:val="16"/>
          <w:szCs w:val="16"/>
          <w:rtl/>
        </w:rPr>
      </w:pPr>
    </w:p>
    <w:p w:rsidR="000C61B4" w:rsidRPr="00621B79" w:rsidRDefault="000C61B4" w:rsidP="000C61B4">
      <w:pPr>
        <w:pStyle w:val="BodyText"/>
        <w:jc w:val="both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621B79">
        <w:rPr>
          <w:rFonts w:ascii="Simplified Arabic" w:hAnsi="Simplified Arabic"/>
          <w:b w:val="0"/>
          <w:bCs w:val="0"/>
          <w:sz w:val="24"/>
          <w:szCs w:val="24"/>
          <w:rtl/>
        </w:rPr>
        <w:t>لا تزال الفجوة واضحة في عدد المراكز الثقافية عند المقارنة بين الضفة الغربية وقطاع غزة.</w:t>
      </w:r>
    </w:p>
    <w:p w:rsidR="00037F3F" w:rsidRPr="00621B79" w:rsidRDefault="00037F3F" w:rsidP="00037F3F">
      <w:pPr>
        <w:pStyle w:val="BodyText"/>
        <w:jc w:val="both"/>
        <w:rPr>
          <w:rFonts w:ascii="Simplified Arabic" w:hAnsi="Simplified Arabic"/>
          <w:b w:val="0"/>
          <w:bCs w:val="0"/>
          <w:sz w:val="16"/>
          <w:szCs w:val="16"/>
          <w:rtl/>
        </w:rPr>
      </w:pPr>
    </w:p>
    <w:p w:rsidR="001F7D75" w:rsidRPr="00621B79" w:rsidRDefault="001F7D75" w:rsidP="002E7F22">
      <w:pPr>
        <w:pStyle w:val="BodyText"/>
        <w:rPr>
          <w:rFonts w:ascii="Simplified Arabic" w:hAnsi="Simplified Arabic"/>
          <w:sz w:val="26"/>
          <w:szCs w:val="26"/>
          <w:rtl/>
        </w:rPr>
      </w:pPr>
      <w:r w:rsidRPr="00621B79">
        <w:rPr>
          <w:rFonts w:ascii="Simplified Arabic" w:hAnsi="Simplified Arabic"/>
          <w:sz w:val="26"/>
          <w:szCs w:val="26"/>
          <w:rtl/>
        </w:rPr>
        <w:t>توزيع المراكز الثقافية العاملة في فلسطين حسب المنطقة</w:t>
      </w:r>
      <w:r w:rsidR="00C01D0A" w:rsidRPr="00621B79">
        <w:rPr>
          <w:rFonts w:ascii="Simplified Arabic" w:hAnsi="Simplified Arabic"/>
          <w:sz w:val="26"/>
          <w:szCs w:val="26"/>
          <w:rtl/>
        </w:rPr>
        <w:t xml:space="preserve"> لأعوام مختارة</w:t>
      </w:r>
    </w:p>
    <w:tbl>
      <w:tblPr>
        <w:bidiVisual/>
        <w:tblW w:w="4992" w:type="dxa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5"/>
        <w:gridCol w:w="855"/>
        <w:gridCol w:w="856"/>
        <w:gridCol w:w="855"/>
        <w:gridCol w:w="971"/>
      </w:tblGrid>
      <w:tr w:rsidR="00C01D0A" w:rsidRPr="00621B79" w:rsidTr="00FE131E">
        <w:trPr>
          <w:trHeight w:hRule="exact" w:val="452"/>
          <w:jc w:val="center"/>
        </w:trPr>
        <w:tc>
          <w:tcPr>
            <w:tcW w:w="1455" w:type="dxa"/>
            <w:vAlign w:val="center"/>
          </w:tcPr>
          <w:p w:rsidR="00C01D0A" w:rsidRPr="00621B79" w:rsidRDefault="00C01D0A" w:rsidP="00FB29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1B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المنطقة</w:t>
            </w:r>
          </w:p>
        </w:tc>
        <w:tc>
          <w:tcPr>
            <w:tcW w:w="855" w:type="dxa"/>
            <w:vAlign w:val="center"/>
          </w:tcPr>
          <w:p w:rsidR="00C01D0A" w:rsidRPr="00621B79" w:rsidRDefault="00C01D0A" w:rsidP="00702D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1B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2011</w:t>
            </w:r>
          </w:p>
        </w:tc>
        <w:tc>
          <w:tcPr>
            <w:tcW w:w="856" w:type="dxa"/>
            <w:vAlign w:val="center"/>
          </w:tcPr>
          <w:p w:rsidR="00C01D0A" w:rsidRPr="00621B79" w:rsidRDefault="00C01D0A" w:rsidP="00702D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1B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2014</w:t>
            </w:r>
          </w:p>
        </w:tc>
        <w:tc>
          <w:tcPr>
            <w:tcW w:w="855" w:type="dxa"/>
            <w:vAlign w:val="center"/>
          </w:tcPr>
          <w:p w:rsidR="00C01D0A" w:rsidRPr="00621B79" w:rsidRDefault="00C01D0A" w:rsidP="00702D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1B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971" w:type="dxa"/>
            <w:vAlign w:val="center"/>
          </w:tcPr>
          <w:p w:rsidR="00C01D0A" w:rsidRPr="00621B79" w:rsidRDefault="00C01D0A" w:rsidP="00702D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1B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2018</w:t>
            </w:r>
          </w:p>
        </w:tc>
      </w:tr>
      <w:tr w:rsidR="00C01D0A" w:rsidRPr="00621B79" w:rsidTr="00FE131E">
        <w:trPr>
          <w:trHeight w:hRule="exact" w:val="452"/>
          <w:jc w:val="center"/>
        </w:trPr>
        <w:tc>
          <w:tcPr>
            <w:tcW w:w="1455" w:type="dxa"/>
          </w:tcPr>
          <w:p w:rsidR="00C01D0A" w:rsidRPr="00621B79" w:rsidRDefault="00C01D0A" w:rsidP="00FB298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1B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فلسطين</w:t>
            </w:r>
          </w:p>
        </w:tc>
        <w:tc>
          <w:tcPr>
            <w:tcW w:w="855" w:type="dxa"/>
            <w:vAlign w:val="center"/>
          </w:tcPr>
          <w:p w:rsidR="00C01D0A" w:rsidRPr="00621B79" w:rsidRDefault="001B6292" w:rsidP="00A329B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21B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597</w:t>
            </w:r>
          </w:p>
        </w:tc>
        <w:tc>
          <w:tcPr>
            <w:tcW w:w="856" w:type="dxa"/>
            <w:vAlign w:val="center"/>
          </w:tcPr>
          <w:p w:rsidR="00C01D0A" w:rsidRPr="00621B79" w:rsidRDefault="001B6292" w:rsidP="00A329B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21B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666</w:t>
            </w:r>
          </w:p>
        </w:tc>
        <w:tc>
          <w:tcPr>
            <w:tcW w:w="855" w:type="dxa"/>
            <w:vAlign w:val="center"/>
          </w:tcPr>
          <w:p w:rsidR="00C01D0A" w:rsidRPr="00621B79" w:rsidRDefault="00C01D0A" w:rsidP="00A329B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21B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625</w:t>
            </w:r>
          </w:p>
        </w:tc>
        <w:tc>
          <w:tcPr>
            <w:tcW w:w="971" w:type="dxa"/>
            <w:vAlign w:val="center"/>
          </w:tcPr>
          <w:p w:rsidR="00C01D0A" w:rsidRPr="00621B79" w:rsidRDefault="00C01D0A" w:rsidP="00A329B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21B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597</w:t>
            </w:r>
          </w:p>
        </w:tc>
      </w:tr>
      <w:tr w:rsidR="00C01D0A" w:rsidRPr="00621B79" w:rsidTr="00FE131E">
        <w:trPr>
          <w:trHeight w:hRule="exact" w:val="452"/>
          <w:jc w:val="center"/>
        </w:trPr>
        <w:tc>
          <w:tcPr>
            <w:tcW w:w="1455" w:type="dxa"/>
          </w:tcPr>
          <w:p w:rsidR="00C01D0A" w:rsidRPr="00621B79" w:rsidRDefault="00C01D0A" w:rsidP="00FB298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1B79">
              <w:rPr>
                <w:rFonts w:asciiTheme="majorBidi" w:hAnsiTheme="majorBidi" w:cstheme="majorBidi"/>
                <w:sz w:val="24"/>
                <w:szCs w:val="24"/>
                <w:rtl/>
              </w:rPr>
              <w:t>الضفة الغربية</w:t>
            </w:r>
          </w:p>
        </w:tc>
        <w:tc>
          <w:tcPr>
            <w:tcW w:w="855" w:type="dxa"/>
            <w:vAlign w:val="center"/>
          </w:tcPr>
          <w:p w:rsidR="00C01D0A" w:rsidRPr="00621B79" w:rsidRDefault="001B6292" w:rsidP="00A329B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21B79">
              <w:rPr>
                <w:rFonts w:asciiTheme="majorBidi" w:hAnsiTheme="majorBidi" w:cstheme="majorBidi"/>
                <w:sz w:val="24"/>
                <w:szCs w:val="24"/>
              </w:rPr>
              <w:t>531</w:t>
            </w:r>
          </w:p>
        </w:tc>
        <w:tc>
          <w:tcPr>
            <w:tcW w:w="856" w:type="dxa"/>
            <w:vAlign w:val="center"/>
          </w:tcPr>
          <w:p w:rsidR="00C01D0A" w:rsidRPr="00621B79" w:rsidRDefault="001B6292" w:rsidP="00A329B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21B79">
              <w:rPr>
                <w:rFonts w:asciiTheme="majorBidi" w:hAnsiTheme="majorBidi" w:cstheme="majorBidi"/>
                <w:sz w:val="24"/>
                <w:szCs w:val="24"/>
              </w:rPr>
              <w:t>583</w:t>
            </w:r>
          </w:p>
        </w:tc>
        <w:tc>
          <w:tcPr>
            <w:tcW w:w="855" w:type="dxa"/>
            <w:vAlign w:val="center"/>
          </w:tcPr>
          <w:p w:rsidR="00C01D0A" w:rsidRPr="00621B79" w:rsidRDefault="00C01D0A" w:rsidP="00A329B9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B79">
              <w:rPr>
                <w:rFonts w:asciiTheme="majorBidi" w:hAnsiTheme="majorBidi" w:cstheme="majorBidi"/>
                <w:sz w:val="24"/>
                <w:szCs w:val="24"/>
              </w:rPr>
              <w:t>545</w:t>
            </w:r>
          </w:p>
        </w:tc>
        <w:tc>
          <w:tcPr>
            <w:tcW w:w="971" w:type="dxa"/>
            <w:vAlign w:val="center"/>
          </w:tcPr>
          <w:p w:rsidR="00C01D0A" w:rsidRPr="00621B79" w:rsidRDefault="00C01D0A" w:rsidP="00A329B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21B79">
              <w:rPr>
                <w:rFonts w:asciiTheme="majorBidi" w:hAnsiTheme="majorBidi" w:cstheme="majorBidi"/>
                <w:sz w:val="24"/>
                <w:szCs w:val="24"/>
              </w:rPr>
              <w:t>528</w:t>
            </w:r>
          </w:p>
        </w:tc>
      </w:tr>
      <w:tr w:rsidR="00C01D0A" w:rsidRPr="00621B79" w:rsidTr="00FE131E">
        <w:trPr>
          <w:trHeight w:hRule="exact" w:val="452"/>
          <w:jc w:val="center"/>
        </w:trPr>
        <w:tc>
          <w:tcPr>
            <w:tcW w:w="1455" w:type="dxa"/>
          </w:tcPr>
          <w:p w:rsidR="00C01D0A" w:rsidRPr="00621B79" w:rsidRDefault="00C01D0A" w:rsidP="00FB298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1B79">
              <w:rPr>
                <w:rFonts w:asciiTheme="majorBidi" w:hAnsiTheme="majorBidi" w:cstheme="majorBidi"/>
                <w:sz w:val="24"/>
                <w:szCs w:val="24"/>
                <w:rtl/>
              </w:rPr>
              <w:t>قطاع غزة</w:t>
            </w:r>
          </w:p>
        </w:tc>
        <w:tc>
          <w:tcPr>
            <w:tcW w:w="855" w:type="dxa"/>
            <w:vAlign w:val="center"/>
          </w:tcPr>
          <w:p w:rsidR="00C01D0A" w:rsidRPr="00621B79" w:rsidRDefault="001B6292" w:rsidP="00A329B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21B79">
              <w:rPr>
                <w:rFonts w:asciiTheme="majorBidi" w:hAnsiTheme="majorBidi" w:cstheme="majorBidi"/>
                <w:sz w:val="24"/>
                <w:szCs w:val="24"/>
              </w:rPr>
              <w:t>66</w:t>
            </w:r>
          </w:p>
        </w:tc>
        <w:tc>
          <w:tcPr>
            <w:tcW w:w="856" w:type="dxa"/>
            <w:vAlign w:val="center"/>
          </w:tcPr>
          <w:p w:rsidR="00C01D0A" w:rsidRPr="00621B79" w:rsidRDefault="001B6292" w:rsidP="00A329B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21B79">
              <w:rPr>
                <w:rFonts w:asciiTheme="majorBidi" w:hAnsiTheme="majorBidi" w:cstheme="majorBidi"/>
                <w:sz w:val="24"/>
                <w:szCs w:val="24"/>
              </w:rPr>
              <w:t>83</w:t>
            </w:r>
          </w:p>
        </w:tc>
        <w:tc>
          <w:tcPr>
            <w:tcW w:w="855" w:type="dxa"/>
            <w:vAlign w:val="center"/>
          </w:tcPr>
          <w:p w:rsidR="00C01D0A" w:rsidRPr="00621B79" w:rsidRDefault="00C01D0A" w:rsidP="00A329B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21B79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971" w:type="dxa"/>
            <w:vAlign w:val="center"/>
          </w:tcPr>
          <w:p w:rsidR="00C01D0A" w:rsidRPr="00621B79" w:rsidRDefault="00C01D0A" w:rsidP="00A329B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21B79">
              <w:rPr>
                <w:rFonts w:asciiTheme="majorBidi" w:hAnsiTheme="majorBidi" w:cstheme="majorBidi"/>
                <w:sz w:val="24"/>
                <w:szCs w:val="24"/>
              </w:rPr>
              <w:t>69</w:t>
            </w:r>
          </w:p>
        </w:tc>
      </w:tr>
    </w:tbl>
    <w:p w:rsidR="00FB298D" w:rsidRPr="00621B79" w:rsidRDefault="00FB298D" w:rsidP="003F1CF5">
      <w:pPr>
        <w:pStyle w:val="BodyText"/>
        <w:jc w:val="both"/>
        <w:rPr>
          <w:rFonts w:ascii="Simplified Arabic" w:hAnsi="Simplified Arabic"/>
          <w:b w:val="0"/>
          <w:bCs w:val="0"/>
          <w:sz w:val="16"/>
          <w:szCs w:val="16"/>
          <w:rtl/>
        </w:rPr>
      </w:pPr>
    </w:p>
    <w:p w:rsidR="0008497B" w:rsidRDefault="00F00C0B" w:rsidP="00B42812">
      <w:pPr>
        <w:pStyle w:val="BodyText"/>
        <w:jc w:val="both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621B79">
        <w:rPr>
          <w:rFonts w:ascii="Simplified Arabic" w:hAnsi="Simplified Arabic"/>
          <w:b w:val="0"/>
          <w:bCs w:val="0"/>
          <w:sz w:val="24"/>
          <w:szCs w:val="24"/>
          <w:rtl/>
        </w:rPr>
        <w:t>قدمت</w:t>
      </w:r>
      <w:r w:rsidR="0008497B" w:rsidRPr="00621B79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المراكز الثقافية التي أدلت بالبيانات</w:t>
      </w:r>
      <w:r w:rsidR="00D825CF" w:rsidRPr="00621B79">
        <w:rPr>
          <w:rStyle w:val="FootnoteReference"/>
          <w:rFonts w:ascii="Simplified Arabic" w:hAnsi="Simplified Arabic"/>
          <w:b w:val="0"/>
          <w:bCs w:val="0"/>
          <w:sz w:val="24"/>
          <w:szCs w:val="24"/>
          <w:rtl/>
        </w:rPr>
        <w:footnoteReference w:id="1"/>
      </w:r>
      <w:r w:rsidR="0008497B" w:rsidRPr="00621B79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خلال عام </w:t>
      </w:r>
      <w:r w:rsidR="009173FE" w:rsidRPr="00621B79">
        <w:rPr>
          <w:rFonts w:ascii="Simplified Arabic" w:hAnsi="Simplified Arabic"/>
          <w:b w:val="0"/>
          <w:bCs w:val="0"/>
          <w:sz w:val="24"/>
          <w:szCs w:val="24"/>
          <w:rtl/>
        </w:rPr>
        <w:t>2018</w:t>
      </w:r>
      <w:r w:rsidR="0008497B" w:rsidRPr="00621B79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حوالي </w:t>
      </w:r>
      <w:r w:rsidR="009173FE" w:rsidRPr="00621B79">
        <w:rPr>
          <w:rFonts w:ascii="Simplified Arabic" w:hAnsi="Simplified Arabic"/>
          <w:b w:val="0"/>
          <w:bCs w:val="0"/>
          <w:sz w:val="24"/>
          <w:szCs w:val="24"/>
        </w:rPr>
        <w:t>9.5</w:t>
      </w:r>
      <w:r w:rsidR="0008497B" w:rsidRPr="00621B79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</w:t>
      </w:r>
      <w:r w:rsidR="009173FE" w:rsidRPr="00621B79">
        <w:rPr>
          <w:rFonts w:ascii="Simplified Arabic" w:hAnsi="Simplified Arabic"/>
          <w:b w:val="0"/>
          <w:bCs w:val="0"/>
          <w:sz w:val="24"/>
          <w:szCs w:val="24"/>
          <w:rtl/>
        </w:rPr>
        <w:t>ألف</w:t>
      </w:r>
      <w:r w:rsidR="0008497B" w:rsidRPr="00621B79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نشاط ثقافي</w:t>
      </w:r>
      <w:r w:rsidR="00B42812" w:rsidRPr="00621B79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. </w:t>
      </w:r>
      <w:r w:rsidR="0008497B" w:rsidRPr="00621B79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في حين بلغ عدد الأنشطة الثقافية المنعقدة في المراكز الثقافية حوالي </w:t>
      </w:r>
      <w:r w:rsidR="009E2C7D" w:rsidRPr="00621B79">
        <w:rPr>
          <w:rFonts w:ascii="Simplified Arabic" w:hAnsi="Simplified Arabic"/>
          <w:b w:val="0"/>
          <w:bCs w:val="0"/>
          <w:sz w:val="24"/>
          <w:szCs w:val="24"/>
          <w:rtl/>
        </w:rPr>
        <w:t>9</w:t>
      </w:r>
      <w:r w:rsidR="0008497B" w:rsidRPr="00621B79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آلاف نشاط ثقافي في عام </w:t>
      </w:r>
      <w:r w:rsidR="009E2C7D" w:rsidRPr="00621B79">
        <w:rPr>
          <w:rFonts w:ascii="Simplified Arabic" w:hAnsi="Simplified Arabic"/>
          <w:b w:val="0"/>
          <w:bCs w:val="0"/>
          <w:sz w:val="24"/>
          <w:szCs w:val="24"/>
          <w:rtl/>
        </w:rPr>
        <w:t>2017</w:t>
      </w:r>
      <w:r w:rsidR="0008497B" w:rsidRPr="00621B79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. </w:t>
      </w:r>
    </w:p>
    <w:p w:rsidR="00621B79" w:rsidRPr="00621B79" w:rsidRDefault="00621B79" w:rsidP="00B42812">
      <w:pPr>
        <w:pStyle w:val="BodyText"/>
        <w:jc w:val="both"/>
        <w:rPr>
          <w:rFonts w:ascii="Simplified Arabic" w:hAnsi="Simplified Arabic"/>
          <w:b w:val="0"/>
          <w:bCs w:val="0"/>
          <w:sz w:val="16"/>
          <w:szCs w:val="16"/>
          <w:rtl/>
        </w:rPr>
      </w:pPr>
    </w:p>
    <w:p w:rsidR="00B42812" w:rsidRPr="00621B79" w:rsidRDefault="00B42812" w:rsidP="00B42812">
      <w:pPr>
        <w:pStyle w:val="BodyText"/>
        <w:jc w:val="both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621B79">
        <w:rPr>
          <w:rFonts w:ascii="Simplified Arabic" w:hAnsi="Simplified Arabic"/>
          <w:b w:val="0"/>
          <w:bCs w:val="0"/>
          <w:sz w:val="24"/>
          <w:szCs w:val="24"/>
          <w:rtl/>
        </w:rPr>
        <w:t>لا تزال الدورات تحتل المرتبة الأولى من بين الأنشطة الثقافية المنعقدة في المراكز الثقافية.</w:t>
      </w:r>
    </w:p>
    <w:p w:rsidR="00FE131E" w:rsidRPr="00621B79" w:rsidRDefault="00FE131E" w:rsidP="00B42812">
      <w:pPr>
        <w:pStyle w:val="BodyText"/>
        <w:jc w:val="both"/>
        <w:rPr>
          <w:rFonts w:ascii="Simplified Arabic" w:hAnsi="Simplified Arabic"/>
          <w:b w:val="0"/>
          <w:bCs w:val="0"/>
          <w:sz w:val="16"/>
          <w:szCs w:val="16"/>
          <w:rtl/>
        </w:rPr>
      </w:pPr>
    </w:p>
    <w:p w:rsidR="00B42812" w:rsidRPr="00621B79" w:rsidRDefault="00B42812" w:rsidP="00B42812">
      <w:pPr>
        <w:pStyle w:val="BodyText"/>
        <w:rPr>
          <w:rFonts w:ascii="Simplified Arabic" w:hAnsi="Simplified Arabic"/>
          <w:sz w:val="26"/>
          <w:szCs w:val="26"/>
          <w:rtl/>
        </w:rPr>
      </w:pPr>
      <w:r w:rsidRPr="00621B79">
        <w:rPr>
          <w:rFonts w:ascii="Simplified Arabic" w:hAnsi="Simplified Arabic"/>
          <w:sz w:val="26"/>
          <w:szCs w:val="26"/>
          <w:rtl/>
        </w:rPr>
        <w:t>التوزيع النسبي للأنشطة الثقافية المنعقدة في المراكز الثقافية العاملة في فلسطين حسب نوع النشاط لأعوام مختارة</w:t>
      </w:r>
    </w:p>
    <w:tbl>
      <w:tblPr>
        <w:bidiVisual/>
        <w:tblW w:w="5326" w:type="dxa"/>
        <w:jc w:val="center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2"/>
        <w:gridCol w:w="992"/>
        <w:gridCol w:w="851"/>
        <w:gridCol w:w="850"/>
        <w:gridCol w:w="851"/>
      </w:tblGrid>
      <w:tr w:rsidR="00B42812" w:rsidRPr="00FE131E" w:rsidTr="00ED2358">
        <w:trPr>
          <w:trHeight w:hRule="exact" w:val="337"/>
          <w:jc w:val="center"/>
        </w:trPr>
        <w:tc>
          <w:tcPr>
            <w:tcW w:w="1782" w:type="dxa"/>
            <w:vAlign w:val="center"/>
          </w:tcPr>
          <w:p w:rsidR="00B42812" w:rsidRPr="00FE131E" w:rsidRDefault="005C0960" w:rsidP="00FE131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E13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نوع النشاط</w:t>
            </w:r>
          </w:p>
        </w:tc>
        <w:tc>
          <w:tcPr>
            <w:tcW w:w="992" w:type="dxa"/>
            <w:vAlign w:val="center"/>
          </w:tcPr>
          <w:p w:rsidR="00B42812" w:rsidRPr="00FE131E" w:rsidRDefault="00B42812" w:rsidP="00FE131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E13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2011</w:t>
            </w:r>
          </w:p>
        </w:tc>
        <w:tc>
          <w:tcPr>
            <w:tcW w:w="851" w:type="dxa"/>
            <w:vAlign w:val="center"/>
          </w:tcPr>
          <w:p w:rsidR="00B42812" w:rsidRPr="00FE131E" w:rsidRDefault="00B42812" w:rsidP="00FE131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E13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2014</w:t>
            </w:r>
          </w:p>
        </w:tc>
        <w:tc>
          <w:tcPr>
            <w:tcW w:w="850" w:type="dxa"/>
            <w:vAlign w:val="center"/>
          </w:tcPr>
          <w:p w:rsidR="00B42812" w:rsidRPr="00FE131E" w:rsidRDefault="00B42812" w:rsidP="00FE131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E13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851" w:type="dxa"/>
            <w:vAlign w:val="center"/>
          </w:tcPr>
          <w:p w:rsidR="00B42812" w:rsidRPr="00FE131E" w:rsidRDefault="00B42812" w:rsidP="00FE131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E13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2018</w:t>
            </w:r>
          </w:p>
        </w:tc>
      </w:tr>
      <w:tr w:rsidR="0034412A" w:rsidRPr="00FE131E" w:rsidTr="00ED2358">
        <w:trPr>
          <w:trHeight w:hRule="exact" w:val="284"/>
          <w:jc w:val="center"/>
        </w:trPr>
        <w:tc>
          <w:tcPr>
            <w:tcW w:w="1782" w:type="dxa"/>
            <w:vAlign w:val="center"/>
          </w:tcPr>
          <w:p w:rsidR="0034412A" w:rsidRPr="00FE131E" w:rsidRDefault="0034412A" w:rsidP="00FE131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E131E">
              <w:rPr>
                <w:rFonts w:asciiTheme="majorBidi" w:hAnsiTheme="majorBidi" w:cstheme="majorBidi"/>
                <w:sz w:val="24"/>
                <w:szCs w:val="24"/>
                <w:rtl/>
              </w:rPr>
              <w:t>دورات</w:t>
            </w:r>
          </w:p>
        </w:tc>
        <w:tc>
          <w:tcPr>
            <w:tcW w:w="992" w:type="dxa"/>
            <w:vAlign w:val="center"/>
          </w:tcPr>
          <w:p w:rsidR="0034412A" w:rsidRPr="00FE131E" w:rsidRDefault="0034412A" w:rsidP="00FE131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FE131E">
              <w:rPr>
                <w:rFonts w:asciiTheme="majorBidi" w:hAnsiTheme="majorBidi" w:cstheme="majorBidi"/>
                <w:sz w:val="24"/>
                <w:szCs w:val="24"/>
              </w:rPr>
              <w:t>63.5</w:t>
            </w:r>
          </w:p>
        </w:tc>
        <w:tc>
          <w:tcPr>
            <w:tcW w:w="851" w:type="dxa"/>
            <w:vAlign w:val="center"/>
          </w:tcPr>
          <w:p w:rsidR="0034412A" w:rsidRPr="00FE131E" w:rsidRDefault="0034412A" w:rsidP="00FE131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FE131E">
              <w:rPr>
                <w:rFonts w:asciiTheme="majorBidi" w:hAnsiTheme="majorBidi" w:cstheme="majorBidi"/>
                <w:sz w:val="24"/>
                <w:szCs w:val="24"/>
              </w:rPr>
              <w:t>67.6</w:t>
            </w:r>
          </w:p>
        </w:tc>
        <w:tc>
          <w:tcPr>
            <w:tcW w:w="850" w:type="dxa"/>
            <w:vAlign w:val="center"/>
          </w:tcPr>
          <w:p w:rsidR="0034412A" w:rsidRPr="00FE131E" w:rsidRDefault="0034412A" w:rsidP="00FE131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FE131E">
              <w:rPr>
                <w:rFonts w:asciiTheme="majorBidi" w:hAnsiTheme="majorBidi" w:cstheme="majorBidi"/>
                <w:sz w:val="24"/>
                <w:szCs w:val="24"/>
              </w:rPr>
              <w:t>72.1</w:t>
            </w:r>
          </w:p>
        </w:tc>
        <w:tc>
          <w:tcPr>
            <w:tcW w:w="851" w:type="dxa"/>
            <w:vAlign w:val="center"/>
          </w:tcPr>
          <w:p w:rsidR="0034412A" w:rsidRPr="00FE131E" w:rsidRDefault="0034412A" w:rsidP="00FE131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FE131E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F3549A" w:rsidRPr="00FE131E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FE131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F3549A" w:rsidRPr="00FE131E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2B27E2" w:rsidRPr="00FE131E" w:rsidTr="00ED2358">
        <w:trPr>
          <w:trHeight w:hRule="exact" w:val="274"/>
          <w:jc w:val="center"/>
        </w:trPr>
        <w:tc>
          <w:tcPr>
            <w:tcW w:w="1782" w:type="dxa"/>
            <w:vAlign w:val="center"/>
          </w:tcPr>
          <w:p w:rsidR="002B27E2" w:rsidRPr="00FE131E" w:rsidRDefault="002B27E2" w:rsidP="00FE131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FE131E">
              <w:rPr>
                <w:rFonts w:asciiTheme="majorBidi" w:hAnsiTheme="majorBidi" w:cstheme="majorBidi"/>
                <w:sz w:val="24"/>
                <w:szCs w:val="24"/>
                <w:rtl/>
              </w:rPr>
              <w:t>عروض فنية</w:t>
            </w:r>
          </w:p>
        </w:tc>
        <w:tc>
          <w:tcPr>
            <w:tcW w:w="992" w:type="dxa"/>
            <w:vAlign w:val="center"/>
          </w:tcPr>
          <w:p w:rsidR="002B27E2" w:rsidRPr="00FE131E" w:rsidRDefault="002B27E2" w:rsidP="00FE131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FE131E">
              <w:rPr>
                <w:rFonts w:asciiTheme="majorBidi" w:hAnsiTheme="majorBidi" w:cstheme="majorBidi"/>
                <w:sz w:val="24"/>
                <w:szCs w:val="24"/>
              </w:rPr>
              <w:t>13.7</w:t>
            </w:r>
          </w:p>
        </w:tc>
        <w:tc>
          <w:tcPr>
            <w:tcW w:w="851" w:type="dxa"/>
            <w:vAlign w:val="center"/>
          </w:tcPr>
          <w:p w:rsidR="002B27E2" w:rsidRPr="00FE131E" w:rsidRDefault="002B27E2" w:rsidP="00FE131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FE131E">
              <w:rPr>
                <w:rFonts w:asciiTheme="majorBidi" w:hAnsiTheme="majorBidi" w:cstheme="majorBidi"/>
                <w:sz w:val="24"/>
                <w:szCs w:val="24"/>
              </w:rPr>
              <w:t>13.9</w:t>
            </w:r>
          </w:p>
        </w:tc>
        <w:tc>
          <w:tcPr>
            <w:tcW w:w="850" w:type="dxa"/>
            <w:vAlign w:val="center"/>
          </w:tcPr>
          <w:p w:rsidR="002B27E2" w:rsidRPr="00FE131E" w:rsidRDefault="002B27E2" w:rsidP="00FE131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FE131E">
              <w:rPr>
                <w:rFonts w:asciiTheme="majorBidi" w:hAnsiTheme="majorBidi" w:cstheme="majorBidi"/>
                <w:sz w:val="24"/>
                <w:szCs w:val="24"/>
              </w:rPr>
              <w:t>12.9</w:t>
            </w:r>
          </w:p>
        </w:tc>
        <w:tc>
          <w:tcPr>
            <w:tcW w:w="851" w:type="dxa"/>
            <w:vAlign w:val="center"/>
          </w:tcPr>
          <w:p w:rsidR="002B27E2" w:rsidRPr="00FE131E" w:rsidRDefault="002B27E2" w:rsidP="00FE131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FE131E">
              <w:rPr>
                <w:rFonts w:asciiTheme="majorBidi" w:hAnsiTheme="majorBidi" w:cstheme="majorBidi"/>
                <w:sz w:val="24"/>
                <w:szCs w:val="24"/>
              </w:rPr>
              <w:t>16.5</w:t>
            </w:r>
          </w:p>
        </w:tc>
      </w:tr>
      <w:tr w:rsidR="002B27E2" w:rsidRPr="00FE131E" w:rsidTr="00ED2358">
        <w:trPr>
          <w:trHeight w:hRule="exact" w:val="292"/>
          <w:jc w:val="center"/>
        </w:trPr>
        <w:tc>
          <w:tcPr>
            <w:tcW w:w="1782" w:type="dxa"/>
            <w:vAlign w:val="center"/>
          </w:tcPr>
          <w:p w:rsidR="002B27E2" w:rsidRPr="00FE131E" w:rsidRDefault="002B27E2" w:rsidP="00FE131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FE131E">
              <w:rPr>
                <w:rFonts w:asciiTheme="majorBidi" w:hAnsiTheme="majorBidi" w:cstheme="majorBidi"/>
                <w:sz w:val="24"/>
                <w:szCs w:val="24"/>
                <w:rtl/>
              </w:rPr>
              <w:t>محاضرات</w:t>
            </w:r>
          </w:p>
        </w:tc>
        <w:tc>
          <w:tcPr>
            <w:tcW w:w="992" w:type="dxa"/>
            <w:vAlign w:val="center"/>
          </w:tcPr>
          <w:p w:rsidR="002B27E2" w:rsidRPr="00FE131E" w:rsidRDefault="002B27E2" w:rsidP="00FE131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FE131E">
              <w:rPr>
                <w:rFonts w:asciiTheme="majorBidi" w:hAnsiTheme="majorBidi" w:cstheme="majorBidi"/>
                <w:sz w:val="24"/>
                <w:szCs w:val="24"/>
              </w:rPr>
              <w:t>10.1</w:t>
            </w:r>
          </w:p>
        </w:tc>
        <w:tc>
          <w:tcPr>
            <w:tcW w:w="851" w:type="dxa"/>
            <w:vAlign w:val="center"/>
          </w:tcPr>
          <w:p w:rsidR="002B27E2" w:rsidRPr="00FE131E" w:rsidRDefault="002B27E2" w:rsidP="00FE131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FE131E">
              <w:rPr>
                <w:rFonts w:asciiTheme="majorBidi" w:hAnsiTheme="majorBidi" w:cstheme="majorBidi"/>
                <w:sz w:val="24"/>
                <w:szCs w:val="24"/>
              </w:rPr>
              <w:t>7.7</w:t>
            </w:r>
          </w:p>
        </w:tc>
        <w:tc>
          <w:tcPr>
            <w:tcW w:w="850" w:type="dxa"/>
            <w:vAlign w:val="center"/>
          </w:tcPr>
          <w:p w:rsidR="002B27E2" w:rsidRPr="00FE131E" w:rsidRDefault="002B27E2" w:rsidP="00FE131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FE131E">
              <w:rPr>
                <w:rFonts w:asciiTheme="majorBidi" w:hAnsiTheme="majorBidi" w:cstheme="majorBidi"/>
                <w:sz w:val="24"/>
                <w:szCs w:val="24"/>
              </w:rPr>
              <w:t>5.7</w:t>
            </w:r>
          </w:p>
        </w:tc>
        <w:tc>
          <w:tcPr>
            <w:tcW w:w="851" w:type="dxa"/>
            <w:vAlign w:val="center"/>
          </w:tcPr>
          <w:p w:rsidR="002B27E2" w:rsidRPr="00FE131E" w:rsidRDefault="002B27E2" w:rsidP="00FE131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FE131E">
              <w:rPr>
                <w:rFonts w:asciiTheme="majorBidi" w:hAnsiTheme="majorBidi" w:cstheme="majorBidi"/>
                <w:sz w:val="24"/>
                <w:szCs w:val="24"/>
              </w:rPr>
              <w:t>9.2</w:t>
            </w:r>
          </w:p>
        </w:tc>
      </w:tr>
      <w:tr w:rsidR="002B27E2" w:rsidRPr="00FE131E" w:rsidTr="00ED2358">
        <w:trPr>
          <w:trHeight w:hRule="exact" w:val="283"/>
          <w:jc w:val="center"/>
        </w:trPr>
        <w:tc>
          <w:tcPr>
            <w:tcW w:w="1782" w:type="dxa"/>
            <w:vAlign w:val="center"/>
          </w:tcPr>
          <w:p w:rsidR="002B27E2" w:rsidRPr="00FE131E" w:rsidRDefault="002B27E2" w:rsidP="00FE131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E131E">
              <w:rPr>
                <w:rFonts w:asciiTheme="majorBidi" w:hAnsiTheme="majorBidi" w:cstheme="majorBidi"/>
                <w:sz w:val="24"/>
                <w:szCs w:val="24"/>
                <w:rtl/>
              </w:rPr>
              <w:t>ندوات</w:t>
            </w:r>
          </w:p>
        </w:tc>
        <w:tc>
          <w:tcPr>
            <w:tcW w:w="992" w:type="dxa"/>
            <w:vAlign w:val="center"/>
          </w:tcPr>
          <w:p w:rsidR="002B27E2" w:rsidRPr="00FE131E" w:rsidRDefault="002B27E2" w:rsidP="00FE131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FE131E">
              <w:rPr>
                <w:rFonts w:asciiTheme="majorBidi" w:hAnsiTheme="majorBidi" w:cstheme="majorBidi"/>
                <w:sz w:val="24"/>
                <w:szCs w:val="24"/>
              </w:rPr>
              <w:t>10.3</w:t>
            </w:r>
          </w:p>
        </w:tc>
        <w:tc>
          <w:tcPr>
            <w:tcW w:w="851" w:type="dxa"/>
            <w:vAlign w:val="center"/>
          </w:tcPr>
          <w:p w:rsidR="002B27E2" w:rsidRPr="00FE131E" w:rsidRDefault="002B27E2" w:rsidP="00FE131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FE131E">
              <w:rPr>
                <w:rFonts w:asciiTheme="majorBidi" w:hAnsiTheme="majorBidi" w:cstheme="majorBidi"/>
                <w:sz w:val="24"/>
                <w:szCs w:val="24"/>
              </w:rPr>
              <w:t>9.2</w:t>
            </w:r>
          </w:p>
        </w:tc>
        <w:tc>
          <w:tcPr>
            <w:tcW w:w="850" w:type="dxa"/>
            <w:vAlign w:val="center"/>
          </w:tcPr>
          <w:p w:rsidR="002B27E2" w:rsidRPr="00FE131E" w:rsidRDefault="002B27E2" w:rsidP="00FE131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FE131E">
              <w:rPr>
                <w:rFonts w:asciiTheme="majorBidi" w:hAnsiTheme="majorBidi" w:cstheme="majorBidi"/>
                <w:sz w:val="24"/>
                <w:szCs w:val="24"/>
              </w:rPr>
              <w:t>6.7</w:t>
            </w:r>
          </w:p>
        </w:tc>
        <w:tc>
          <w:tcPr>
            <w:tcW w:w="851" w:type="dxa"/>
            <w:vAlign w:val="center"/>
          </w:tcPr>
          <w:p w:rsidR="002B27E2" w:rsidRPr="00FE131E" w:rsidRDefault="002B27E2" w:rsidP="00FE131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FE131E">
              <w:rPr>
                <w:rFonts w:asciiTheme="majorBidi" w:hAnsiTheme="majorBidi" w:cstheme="majorBidi"/>
                <w:sz w:val="24"/>
                <w:szCs w:val="24"/>
              </w:rPr>
              <w:t>7.3</w:t>
            </w:r>
          </w:p>
        </w:tc>
      </w:tr>
      <w:tr w:rsidR="002B27E2" w:rsidRPr="00FE131E" w:rsidTr="00ED2358">
        <w:trPr>
          <w:trHeight w:hRule="exact" w:val="286"/>
          <w:jc w:val="center"/>
        </w:trPr>
        <w:tc>
          <w:tcPr>
            <w:tcW w:w="1782" w:type="dxa"/>
            <w:vAlign w:val="center"/>
          </w:tcPr>
          <w:p w:rsidR="002B27E2" w:rsidRPr="00FE131E" w:rsidRDefault="002B27E2" w:rsidP="00FE131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FE131E">
              <w:rPr>
                <w:rFonts w:asciiTheme="majorBidi" w:hAnsiTheme="majorBidi" w:cstheme="majorBidi"/>
                <w:sz w:val="24"/>
                <w:szCs w:val="24"/>
                <w:rtl/>
              </w:rPr>
              <w:t>معارض</w:t>
            </w:r>
          </w:p>
        </w:tc>
        <w:tc>
          <w:tcPr>
            <w:tcW w:w="992" w:type="dxa"/>
            <w:vAlign w:val="center"/>
          </w:tcPr>
          <w:p w:rsidR="002B27E2" w:rsidRPr="00FE131E" w:rsidRDefault="002B27E2" w:rsidP="00FE131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FE131E">
              <w:rPr>
                <w:rFonts w:asciiTheme="majorBidi" w:hAnsiTheme="majorBidi" w:cstheme="majorBidi"/>
                <w:sz w:val="24"/>
                <w:szCs w:val="24"/>
              </w:rPr>
              <w:t>2.4</w:t>
            </w:r>
          </w:p>
        </w:tc>
        <w:tc>
          <w:tcPr>
            <w:tcW w:w="851" w:type="dxa"/>
            <w:vAlign w:val="center"/>
          </w:tcPr>
          <w:p w:rsidR="002B27E2" w:rsidRPr="00FE131E" w:rsidRDefault="002B27E2" w:rsidP="00FE131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FE131E">
              <w:rPr>
                <w:rFonts w:asciiTheme="majorBidi" w:hAnsiTheme="majorBidi" w:cstheme="majorBidi"/>
                <w:sz w:val="24"/>
                <w:szCs w:val="24"/>
              </w:rPr>
              <w:t>1.6</w:t>
            </w:r>
          </w:p>
        </w:tc>
        <w:tc>
          <w:tcPr>
            <w:tcW w:w="850" w:type="dxa"/>
            <w:vAlign w:val="center"/>
          </w:tcPr>
          <w:p w:rsidR="002B27E2" w:rsidRPr="00FE131E" w:rsidRDefault="002B27E2" w:rsidP="00FE131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E131E">
              <w:rPr>
                <w:rFonts w:asciiTheme="majorBidi" w:hAnsiTheme="majorBidi" w:cstheme="majorBidi"/>
                <w:sz w:val="24"/>
                <w:szCs w:val="24"/>
              </w:rPr>
              <w:t>2.6</w:t>
            </w:r>
          </w:p>
        </w:tc>
        <w:tc>
          <w:tcPr>
            <w:tcW w:w="851" w:type="dxa"/>
            <w:vAlign w:val="center"/>
          </w:tcPr>
          <w:p w:rsidR="002B27E2" w:rsidRPr="00FE131E" w:rsidRDefault="002B27E2" w:rsidP="00FE131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FE131E">
              <w:rPr>
                <w:rFonts w:asciiTheme="majorBidi" w:hAnsiTheme="majorBidi" w:cstheme="majorBidi"/>
                <w:sz w:val="24"/>
                <w:szCs w:val="24"/>
              </w:rPr>
              <w:t>2.0</w:t>
            </w:r>
          </w:p>
        </w:tc>
      </w:tr>
      <w:tr w:rsidR="002B27E2" w:rsidRPr="00FE131E" w:rsidTr="00ED2358">
        <w:trPr>
          <w:trHeight w:hRule="exact" w:val="423"/>
          <w:jc w:val="center"/>
        </w:trPr>
        <w:tc>
          <w:tcPr>
            <w:tcW w:w="1782" w:type="dxa"/>
            <w:vAlign w:val="center"/>
          </w:tcPr>
          <w:p w:rsidR="002B27E2" w:rsidRPr="00FE131E" w:rsidRDefault="002B27E2" w:rsidP="00FE131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E13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المجموع (نسبة)</w:t>
            </w:r>
          </w:p>
        </w:tc>
        <w:tc>
          <w:tcPr>
            <w:tcW w:w="992" w:type="dxa"/>
            <w:vAlign w:val="center"/>
          </w:tcPr>
          <w:p w:rsidR="002B27E2" w:rsidRPr="00FE131E" w:rsidRDefault="002B27E2" w:rsidP="00FE131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13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2B27E2" w:rsidRPr="00FE131E" w:rsidRDefault="002B27E2" w:rsidP="00FE131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13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2B27E2" w:rsidRPr="00FE131E" w:rsidRDefault="002B27E2" w:rsidP="00FE131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E13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2B27E2" w:rsidRPr="00FE131E" w:rsidRDefault="002B27E2" w:rsidP="00FE131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13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</w:t>
            </w:r>
          </w:p>
        </w:tc>
      </w:tr>
      <w:tr w:rsidR="002B27E2" w:rsidRPr="00FE131E" w:rsidTr="00ED2358">
        <w:trPr>
          <w:trHeight w:hRule="exact" w:val="430"/>
          <w:jc w:val="center"/>
        </w:trPr>
        <w:tc>
          <w:tcPr>
            <w:tcW w:w="1782" w:type="dxa"/>
            <w:vAlign w:val="center"/>
          </w:tcPr>
          <w:p w:rsidR="002B27E2" w:rsidRPr="00FE131E" w:rsidRDefault="002B27E2" w:rsidP="00FE131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E13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المجموع (عدد)</w:t>
            </w:r>
          </w:p>
        </w:tc>
        <w:tc>
          <w:tcPr>
            <w:tcW w:w="992" w:type="dxa"/>
            <w:vAlign w:val="center"/>
          </w:tcPr>
          <w:p w:rsidR="002B27E2" w:rsidRPr="00FE131E" w:rsidRDefault="002B27E2" w:rsidP="00FE131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13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10,630</w:t>
            </w:r>
          </w:p>
        </w:tc>
        <w:tc>
          <w:tcPr>
            <w:tcW w:w="851" w:type="dxa"/>
            <w:vAlign w:val="center"/>
          </w:tcPr>
          <w:p w:rsidR="002B27E2" w:rsidRPr="00FE131E" w:rsidRDefault="002B27E2" w:rsidP="00FE131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13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9,204</w:t>
            </w:r>
          </w:p>
        </w:tc>
        <w:tc>
          <w:tcPr>
            <w:tcW w:w="850" w:type="dxa"/>
            <w:vAlign w:val="center"/>
          </w:tcPr>
          <w:p w:rsidR="002B27E2" w:rsidRPr="00FE131E" w:rsidRDefault="002B27E2" w:rsidP="00FE131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13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9,345</w:t>
            </w:r>
          </w:p>
        </w:tc>
        <w:tc>
          <w:tcPr>
            <w:tcW w:w="851" w:type="dxa"/>
            <w:vAlign w:val="center"/>
          </w:tcPr>
          <w:p w:rsidR="002B27E2" w:rsidRPr="00FE131E" w:rsidRDefault="002B27E2" w:rsidP="00FE131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13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9,534</w:t>
            </w:r>
          </w:p>
        </w:tc>
      </w:tr>
    </w:tbl>
    <w:p w:rsidR="00ED2358" w:rsidRPr="00ED2358" w:rsidRDefault="00ED2358" w:rsidP="00AC670C">
      <w:pPr>
        <w:pStyle w:val="BodyText"/>
        <w:jc w:val="both"/>
        <w:rPr>
          <w:rFonts w:ascii="Simplified Arabic" w:hAnsi="Simplified Arabic"/>
          <w:sz w:val="16"/>
          <w:szCs w:val="16"/>
          <w:rtl/>
        </w:rPr>
      </w:pPr>
    </w:p>
    <w:p w:rsidR="0008497B" w:rsidRPr="00621B79" w:rsidRDefault="0008497B" w:rsidP="00AC670C">
      <w:pPr>
        <w:pStyle w:val="BodyText"/>
        <w:jc w:val="both"/>
        <w:rPr>
          <w:rFonts w:ascii="Simplified Arabic" w:hAnsi="Simplified Arabic"/>
          <w:sz w:val="26"/>
          <w:szCs w:val="26"/>
          <w:rtl/>
        </w:rPr>
      </w:pPr>
      <w:r w:rsidRPr="00621B79">
        <w:rPr>
          <w:rFonts w:ascii="Simplified Arabic" w:hAnsi="Simplified Arabic"/>
          <w:sz w:val="26"/>
          <w:szCs w:val="26"/>
          <w:rtl/>
        </w:rPr>
        <w:t xml:space="preserve">حوالي </w:t>
      </w:r>
      <w:r w:rsidR="00EC7F74" w:rsidRPr="00621B79">
        <w:rPr>
          <w:rFonts w:ascii="Simplified Arabic" w:hAnsi="Simplified Arabic"/>
          <w:sz w:val="26"/>
          <w:szCs w:val="26"/>
          <w:rtl/>
        </w:rPr>
        <w:t>462</w:t>
      </w:r>
      <w:r w:rsidRPr="00621B79">
        <w:rPr>
          <w:rFonts w:ascii="Simplified Arabic" w:hAnsi="Simplified Arabic"/>
          <w:sz w:val="26"/>
          <w:szCs w:val="26"/>
          <w:rtl/>
        </w:rPr>
        <w:t xml:space="preserve"> ألف مشارك في الأنشطة الثقافية للمراكز الثقافية في فلسطين </w:t>
      </w:r>
    </w:p>
    <w:p w:rsidR="0008497B" w:rsidRDefault="0008497B" w:rsidP="00FB298D">
      <w:pPr>
        <w:pStyle w:val="BodyText"/>
        <w:jc w:val="lowKashida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621B79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فيما يتعلق بعدد المشاركين في الأنشطة الثقافية للمراكز التي أدلت بالبيانات في عام </w:t>
      </w:r>
      <w:r w:rsidR="00A05F33" w:rsidRPr="00621B79">
        <w:rPr>
          <w:rFonts w:ascii="Simplified Arabic" w:hAnsi="Simplified Arabic"/>
          <w:b w:val="0"/>
          <w:bCs w:val="0"/>
          <w:sz w:val="24"/>
          <w:szCs w:val="24"/>
          <w:rtl/>
        </w:rPr>
        <w:t>2018</w:t>
      </w:r>
      <w:r w:rsidRPr="00621B79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فقد بلغ حوالي </w:t>
      </w:r>
      <w:r w:rsidR="00A05F33" w:rsidRPr="00621B79">
        <w:rPr>
          <w:rFonts w:ascii="Simplified Arabic" w:hAnsi="Simplified Arabic"/>
          <w:b w:val="0"/>
          <w:bCs w:val="0"/>
          <w:sz w:val="24"/>
          <w:szCs w:val="24"/>
          <w:rtl/>
        </w:rPr>
        <w:t>462</w:t>
      </w:r>
      <w:r w:rsidRPr="00621B79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ألف مشارك، منهم حوالي </w:t>
      </w:r>
      <w:r w:rsidR="00A05F33" w:rsidRPr="00621B79">
        <w:rPr>
          <w:rFonts w:ascii="Simplified Arabic" w:hAnsi="Simplified Arabic"/>
          <w:b w:val="0"/>
          <w:bCs w:val="0"/>
          <w:sz w:val="24"/>
          <w:szCs w:val="24"/>
          <w:rtl/>
        </w:rPr>
        <w:t>388</w:t>
      </w:r>
      <w:r w:rsidRPr="00621B79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ألف مشارك في الضفة الغربية، وحوالي </w:t>
      </w:r>
      <w:r w:rsidR="00A05F33" w:rsidRPr="00621B79">
        <w:rPr>
          <w:rFonts w:ascii="Simplified Arabic" w:hAnsi="Simplified Arabic"/>
          <w:b w:val="0"/>
          <w:bCs w:val="0"/>
          <w:sz w:val="24"/>
          <w:szCs w:val="24"/>
          <w:rtl/>
        </w:rPr>
        <w:t>74</w:t>
      </w:r>
      <w:r w:rsidRPr="00621B79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ألف مشارك في قطاع غزة، حيث كان أكبر عدد من المشاركين في الأنشطة الثقافية في محافظة </w:t>
      </w:r>
      <w:r w:rsidR="003655B7" w:rsidRPr="00621B79">
        <w:rPr>
          <w:rFonts w:ascii="Simplified Arabic" w:hAnsi="Simplified Arabic"/>
          <w:b w:val="0"/>
          <w:bCs w:val="0"/>
          <w:sz w:val="24"/>
          <w:szCs w:val="24"/>
          <w:rtl/>
        </w:rPr>
        <w:t>رام الله والبيرة</w:t>
      </w:r>
      <w:r w:rsidRPr="00621B79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حوالي 1</w:t>
      </w:r>
      <w:r w:rsidR="003655B7" w:rsidRPr="00621B79">
        <w:rPr>
          <w:rFonts w:ascii="Simplified Arabic" w:hAnsi="Simplified Arabic"/>
          <w:b w:val="0"/>
          <w:bCs w:val="0"/>
          <w:sz w:val="24"/>
          <w:szCs w:val="24"/>
          <w:rtl/>
        </w:rPr>
        <w:t>21</w:t>
      </w:r>
      <w:r w:rsidRPr="00621B79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ألف مشارك. فيما بلغ عدد المشاركين في الأنشطة الثقافية حوالي 5</w:t>
      </w:r>
      <w:r w:rsidR="0004416E" w:rsidRPr="00621B79">
        <w:rPr>
          <w:rFonts w:ascii="Simplified Arabic" w:hAnsi="Simplified Arabic"/>
          <w:b w:val="0"/>
          <w:bCs w:val="0"/>
          <w:sz w:val="24"/>
          <w:szCs w:val="24"/>
          <w:rtl/>
        </w:rPr>
        <w:t>15</w:t>
      </w:r>
      <w:r w:rsidRPr="00621B79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ألف مشارك عام </w:t>
      </w:r>
      <w:r w:rsidR="0004416E" w:rsidRPr="00621B79">
        <w:rPr>
          <w:rFonts w:ascii="Simplified Arabic" w:hAnsi="Simplified Arabic"/>
          <w:b w:val="0"/>
          <w:bCs w:val="0"/>
          <w:sz w:val="24"/>
          <w:szCs w:val="24"/>
          <w:rtl/>
        </w:rPr>
        <w:t>2017</w:t>
      </w:r>
      <w:r w:rsidRPr="00621B79">
        <w:rPr>
          <w:rFonts w:ascii="Simplified Arabic" w:hAnsi="Simplified Arabic"/>
          <w:b w:val="0"/>
          <w:bCs w:val="0"/>
          <w:sz w:val="24"/>
          <w:szCs w:val="24"/>
          <w:rtl/>
        </w:rPr>
        <w:t>.</w:t>
      </w:r>
    </w:p>
    <w:p w:rsidR="00FE131E" w:rsidRDefault="00FE131E" w:rsidP="00FB298D">
      <w:pPr>
        <w:pStyle w:val="BodyText"/>
        <w:jc w:val="lowKashida"/>
        <w:rPr>
          <w:rFonts w:ascii="Simplified Arabic" w:hAnsi="Simplified Arabic"/>
          <w:b w:val="0"/>
          <w:bCs w:val="0"/>
          <w:sz w:val="16"/>
          <w:szCs w:val="16"/>
          <w:rtl/>
        </w:rPr>
      </w:pPr>
    </w:p>
    <w:p w:rsidR="00ED2358" w:rsidRDefault="00ED2358" w:rsidP="00FB298D">
      <w:pPr>
        <w:pStyle w:val="BodyText"/>
        <w:jc w:val="lowKashida"/>
        <w:rPr>
          <w:rFonts w:ascii="Simplified Arabic" w:hAnsi="Simplified Arabic"/>
          <w:b w:val="0"/>
          <w:bCs w:val="0"/>
          <w:sz w:val="16"/>
          <w:szCs w:val="16"/>
          <w:rtl/>
        </w:rPr>
      </w:pPr>
    </w:p>
    <w:p w:rsidR="00ED2358" w:rsidRDefault="00ED2358" w:rsidP="00FB298D">
      <w:pPr>
        <w:pStyle w:val="BodyText"/>
        <w:jc w:val="lowKashida"/>
        <w:rPr>
          <w:rFonts w:ascii="Simplified Arabic" w:hAnsi="Simplified Arabic"/>
          <w:b w:val="0"/>
          <w:bCs w:val="0"/>
          <w:sz w:val="16"/>
          <w:szCs w:val="16"/>
          <w:rtl/>
        </w:rPr>
      </w:pPr>
    </w:p>
    <w:p w:rsidR="00ED2358" w:rsidRPr="00FE131E" w:rsidRDefault="00ED2358" w:rsidP="00FB298D">
      <w:pPr>
        <w:pStyle w:val="BodyText"/>
        <w:jc w:val="lowKashida"/>
        <w:rPr>
          <w:rFonts w:ascii="Simplified Arabic" w:hAnsi="Simplified Arabic"/>
          <w:b w:val="0"/>
          <w:bCs w:val="0"/>
          <w:sz w:val="16"/>
          <w:szCs w:val="16"/>
          <w:rtl/>
        </w:rPr>
      </w:pPr>
    </w:p>
    <w:p w:rsidR="006C7FBB" w:rsidRDefault="006C7FBB" w:rsidP="00926A7B">
      <w:pPr>
        <w:pStyle w:val="BodyText"/>
        <w:rPr>
          <w:rFonts w:ascii="Simplified Arabic" w:hAnsi="Simplified Arabic"/>
          <w:sz w:val="26"/>
          <w:szCs w:val="26"/>
          <w:rtl/>
        </w:rPr>
      </w:pPr>
      <w:r w:rsidRPr="00621B79">
        <w:rPr>
          <w:rFonts w:ascii="Simplified Arabic" w:hAnsi="Simplified Arabic"/>
          <w:sz w:val="26"/>
          <w:szCs w:val="26"/>
          <w:rtl/>
        </w:rPr>
        <w:t xml:space="preserve">توزيع المشاركين في الأنشطة الثقافية المنعقدة في المراكز الثقافية العاملة حسب </w:t>
      </w:r>
      <w:proofErr w:type="spellStart"/>
      <w:r w:rsidRPr="00621B79">
        <w:rPr>
          <w:rFonts w:ascii="Simplified Arabic" w:hAnsi="Simplified Arabic"/>
          <w:sz w:val="26"/>
          <w:szCs w:val="26"/>
          <w:rtl/>
        </w:rPr>
        <w:t>المحافظة،</w:t>
      </w:r>
      <w:proofErr w:type="spellEnd"/>
      <w:r w:rsidRPr="00621B79">
        <w:rPr>
          <w:rFonts w:ascii="Simplified Arabic" w:hAnsi="Simplified Arabic"/>
          <w:sz w:val="26"/>
          <w:szCs w:val="26"/>
          <w:rtl/>
        </w:rPr>
        <w:t xml:space="preserve"> 2018</w:t>
      </w:r>
    </w:p>
    <w:p w:rsidR="00ED2358" w:rsidRPr="00ED2358" w:rsidRDefault="00ED2358" w:rsidP="00926A7B">
      <w:pPr>
        <w:pStyle w:val="BodyText"/>
        <w:rPr>
          <w:rFonts w:ascii="Simplified Arabic" w:hAnsi="Simplified Arabic"/>
          <w:sz w:val="16"/>
          <w:szCs w:val="16"/>
          <w:rtl/>
        </w:rPr>
      </w:pPr>
    </w:p>
    <w:p w:rsidR="009536CF" w:rsidRPr="00621B79" w:rsidRDefault="00F76D39" w:rsidP="009536CF">
      <w:pPr>
        <w:pStyle w:val="BodyText"/>
        <w:rPr>
          <w:rFonts w:ascii="Simplified Arabic" w:hAnsi="Simplified Arabic"/>
          <w:sz w:val="24"/>
          <w:szCs w:val="24"/>
          <w:rtl/>
        </w:rPr>
      </w:pPr>
      <w:r w:rsidRPr="00621B79">
        <w:rPr>
          <w:rFonts w:ascii="Simplified Arabic" w:hAnsi="Simplified Arabic"/>
          <w:noProof/>
          <w:sz w:val="24"/>
          <w:szCs w:val="24"/>
          <w:rtl/>
        </w:rPr>
        <w:drawing>
          <wp:inline distT="0" distB="0" distL="0" distR="0">
            <wp:extent cx="3051810" cy="2828925"/>
            <wp:effectExtent l="19050" t="0" r="1524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131E" w:rsidRDefault="00FE131E" w:rsidP="009848BD">
      <w:pPr>
        <w:bidi/>
        <w:ind w:left="-2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ED2358" w:rsidRPr="00ED2358" w:rsidRDefault="00ED2358" w:rsidP="00FE131E">
      <w:pPr>
        <w:bidi/>
        <w:ind w:left="-2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08497B" w:rsidRPr="00621B79" w:rsidRDefault="0008497B" w:rsidP="00ED2358">
      <w:pPr>
        <w:bidi/>
        <w:ind w:left="-2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621B79">
        <w:rPr>
          <w:rFonts w:ascii="Simplified Arabic" w:hAnsi="Simplified Arabic" w:cs="Simplified Arabic"/>
          <w:b/>
          <w:bCs/>
          <w:sz w:val="26"/>
          <w:szCs w:val="26"/>
          <w:rtl/>
        </w:rPr>
        <w:t>حوالي 3</w:t>
      </w:r>
      <w:r w:rsidR="008230D0" w:rsidRPr="00621B79">
        <w:rPr>
          <w:rFonts w:ascii="Simplified Arabic" w:hAnsi="Simplified Arabic" w:cs="Simplified Arabic"/>
          <w:b/>
          <w:bCs/>
          <w:sz w:val="26"/>
          <w:szCs w:val="26"/>
          <w:rtl/>
        </w:rPr>
        <w:t>37</w:t>
      </w:r>
      <w:r w:rsidRPr="00621B7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ألف زائر زاروا المتاحف في فلسطين </w:t>
      </w:r>
    </w:p>
    <w:p w:rsidR="0008497B" w:rsidRDefault="0008497B" w:rsidP="004C0F7A">
      <w:pPr>
        <w:tabs>
          <w:tab w:val="left" w:pos="-1"/>
        </w:tabs>
        <w:bidi/>
        <w:ind w:right="-1" w:firstLine="1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621B79">
        <w:rPr>
          <w:rFonts w:ascii="Simplified Arabic" w:hAnsi="Simplified Arabic" w:cs="Simplified Arabic"/>
          <w:sz w:val="24"/>
          <w:szCs w:val="24"/>
          <w:rtl/>
        </w:rPr>
        <w:t xml:space="preserve">بلغ عدد المتاحف العاملة في فلسطين خلال عام </w:t>
      </w:r>
      <w:r w:rsidR="008230D0" w:rsidRPr="00621B79">
        <w:rPr>
          <w:rFonts w:ascii="Simplified Arabic" w:hAnsi="Simplified Arabic" w:cs="Simplified Arabic"/>
          <w:sz w:val="24"/>
          <w:szCs w:val="24"/>
          <w:rtl/>
        </w:rPr>
        <w:t>2018</w:t>
      </w:r>
      <w:r w:rsidRPr="00621B79">
        <w:rPr>
          <w:rFonts w:ascii="Simplified Arabic" w:hAnsi="Simplified Arabic" w:cs="Simplified Arabic"/>
          <w:sz w:val="24"/>
          <w:szCs w:val="24"/>
          <w:rtl/>
        </w:rPr>
        <w:t xml:space="preserve">؛ </w:t>
      </w:r>
      <w:r w:rsidR="003B176F" w:rsidRPr="00621B79">
        <w:rPr>
          <w:rFonts w:ascii="Simplified Arabic" w:hAnsi="Simplified Arabic" w:cs="Simplified Arabic"/>
          <w:sz w:val="24"/>
          <w:szCs w:val="24"/>
          <w:rtl/>
        </w:rPr>
        <w:t>33</w:t>
      </w:r>
      <w:r w:rsidRPr="00621B79">
        <w:rPr>
          <w:rFonts w:ascii="Simplified Arabic" w:hAnsi="Simplified Arabic" w:cs="Simplified Arabic"/>
          <w:sz w:val="24"/>
          <w:szCs w:val="24"/>
          <w:rtl/>
        </w:rPr>
        <w:t xml:space="preserve"> متحفاً. </w:t>
      </w:r>
      <w:r w:rsidR="003B176F" w:rsidRPr="00621B79">
        <w:rPr>
          <w:rFonts w:ascii="Simplified Arabic" w:hAnsi="Simplified Arabic" w:cs="Simplified Arabic"/>
          <w:sz w:val="24"/>
          <w:szCs w:val="24"/>
          <w:rtl/>
        </w:rPr>
        <w:t>28</w:t>
      </w:r>
      <w:r w:rsidRPr="00621B79">
        <w:rPr>
          <w:rFonts w:ascii="Simplified Arabic" w:hAnsi="Simplified Arabic" w:cs="Simplified Arabic"/>
          <w:sz w:val="24"/>
          <w:szCs w:val="24"/>
          <w:rtl/>
        </w:rPr>
        <w:t xml:space="preserve"> متحفاً في الضفة الغربية</w:t>
      </w:r>
      <w:r w:rsidR="004C0F7A" w:rsidRPr="00621B79">
        <w:rPr>
          <w:rFonts w:ascii="Simplified Arabic" w:hAnsi="Simplified Arabic" w:cs="Simplified Arabic"/>
          <w:sz w:val="24"/>
          <w:szCs w:val="24"/>
          <w:rtl/>
        </w:rPr>
        <w:t xml:space="preserve"> (منهم متحفين رفضا الإدلاء بالبيانات)</w:t>
      </w:r>
      <w:r w:rsidRPr="00621B79">
        <w:rPr>
          <w:rFonts w:ascii="Simplified Arabic" w:hAnsi="Simplified Arabic" w:cs="Simplified Arabic"/>
          <w:sz w:val="24"/>
          <w:szCs w:val="24"/>
          <w:rtl/>
        </w:rPr>
        <w:t xml:space="preserve">، و5 متاحف في قطاع غزة. </w:t>
      </w:r>
    </w:p>
    <w:p w:rsidR="00FE131E" w:rsidRPr="00FE131E" w:rsidRDefault="00FE131E" w:rsidP="00FE131E">
      <w:pPr>
        <w:tabs>
          <w:tab w:val="left" w:pos="-1"/>
        </w:tabs>
        <w:bidi/>
        <w:ind w:right="-1" w:firstLine="1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08497B" w:rsidRPr="00621B79" w:rsidRDefault="0008497B" w:rsidP="005A5711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621B79">
        <w:rPr>
          <w:rFonts w:ascii="Simplified Arabic" w:hAnsi="Simplified Arabic" w:cs="Simplified Arabic"/>
          <w:sz w:val="24"/>
          <w:szCs w:val="24"/>
          <w:rtl/>
        </w:rPr>
        <w:t xml:space="preserve">أما بخصوص الزوار للمتاحف التي أدلت بالبيانات فقد بلغ عددهم حوالي </w:t>
      </w:r>
      <w:r w:rsidR="004F6FEB" w:rsidRPr="00621B79">
        <w:rPr>
          <w:rFonts w:ascii="Simplified Arabic" w:hAnsi="Simplified Arabic" w:cs="Simplified Arabic"/>
          <w:sz w:val="24"/>
          <w:szCs w:val="24"/>
          <w:rtl/>
        </w:rPr>
        <w:t>337</w:t>
      </w:r>
      <w:r w:rsidRPr="00621B79">
        <w:rPr>
          <w:rFonts w:ascii="Simplified Arabic" w:hAnsi="Simplified Arabic" w:cs="Simplified Arabic"/>
          <w:sz w:val="24"/>
          <w:szCs w:val="24"/>
          <w:rtl/>
        </w:rPr>
        <w:t xml:space="preserve"> ألف زائر عام </w:t>
      </w:r>
      <w:r w:rsidR="004F6FEB" w:rsidRPr="00621B79">
        <w:rPr>
          <w:rFonts w:ascii="Simplified Arabic" w:hAnsi="Simplified Arabic" w:cs="Simplified Arabic"/>
          <w:sz w:val="24"/>
          <w:szCs w:val="24"/>
          <w:rtl/>
        </w:rPr>
        <w:t>2018</w:t>
      </w:r>
      <w:r w:rsidRPr="00621B79">
        <w:rPr>
          <w:rFonts w:ascii="Simplified Arabic" w:hAnsi="Simplified Arabic" w:cs="Simplified Arabic"/>
          <w:sz w:val="24"/>
          <w:szCs w:val="24"/>
          <w:rtl/>
        </w:rPr>
        <w:t xml:space="preserve">؛ </w:t>
      </w:r>
      <w:r w:rsidR="005A5711" w:rsidRPr="00621B79">
        <w:rPr>
          <w:rFonts w:ascii="Simplified Arabic" w:hAnsi="Simplified Arabic" w:cs="Simplified Arabic"/>
          <w:sz w:val="24"/>
          <w:szCs w:val="24"/>
          <w:rtl/>
        </w:rPr>
        <w:t>80</w:t>
      </w:r>
      <w:r w:rsidRPr="00621B79">
        <w:rPr>
          <w:rFonts w:ascii="Simplified Arabic" w:hAnsi="Simplified Arabic" w:cs="Simplified Arabic"/>
          <w:sz w:val="24"/>
          <w:szCs w:val="24"/>
          <w:rtl/>
        </w:rPr>
        <w:t>% فلسطينيون و</w:t>
      </w:r>
      <w:r w:rsidR="005A5711" w:rsidRPr="00621B79">
        <w:rPr>
          <w:rFonts w:ascii="Simplified Arabic" w:hAnsi="Simplified Arabic" w:cs="Simplified Arabic"/>
          <w:sz w:val="24"/>
          <w:szCs w:val="24"/>
          <w:rtl/>
        </w:rPr>
        <w:t>20</w:t>
      </w:r>
      <w:r w:rsidRPr="00621B79">
        <w:rPr>
          <w:rFonts w:ascii="Simplified Arabic" w:hAnsi="Simplified Arabic" w:cs="Simplified Arabic"/>
          <w:sz w:val="24"/>
          <w:szCs w:val="24"/>
          <w:rtl/>
        </w:rPr>
        <w:t xml:space="preserve">% من جنسيات أخرى. وتفيد البيانات بأن أكبر عدد للزائرين كان في شهر </w:t>
      </w:r>
      <w:r w:rsidR="00465E3A" w:rsidRPr="00621B79">
        <w:rPr>
          <w:rFonts w:ascii="Simplified Arabic" w:hAnsi="Simplified Arabic" w:cs="Simplified Arabic"/>
          <w:sz w:val="24"/>
          <w:szCs w:val="24"/>
          <w:rtl/>
        </w:rPr>
        <w:t>آذار</w:t>
      </w:r>
      <w:r w:rsidRPr="00621B79">
        <w:rPr>
          <w:rFonts w:ascii="Simplified Arabic" w:hAnsi="Simplified Arabic" w:cs="Simplified Arabic"/>
          <w:sz w:val="24"/>
          <w:szCs w:val="24"/>
          <w:rtl/>
        </w:rPr>
        <w:t xml:space="preserve"> حيث بلغ عددهم حوالي </w:t>
      </w:r>
      <w:r w:rsidR="00465E3A" w:rsidRPr="00621B79">
        <w:rPr>
          <w:rFonts w:ascii="Simplified Arabic" w:hAnsi="Simplified Arabic" w:cs="Simplified Arabic"/>
          <w:sz w:val="24"/>
          <w:szCs w:val="24"/>
          <w:rtl/>
        </w:rPr>
        <w:t>63</w:t>
      </w:r>
      <w:r w:rsidRPr="00621B79">
        <w:rPr>
          <w:rFonts w:ascii="Simplified Arabic" w:hAnsi="Simplified Arabic" w:cs="Simplified Arabic"/>
          <w:sz w:val="24"/>
          <w:szCs w:val="24"/>
          <w:rtl/>
        </w:rPr>
        <w:t xml:space="preserve"> ألف زائر، في حين بلغ أقل عدد للزائرين في شهر </w:t>
      </w:r>
      <w:r w:rsidR="00465E3A" w:rsidRPr="00621B79">
        <w:rPr>
          <w:rFonts w:ascii="Simplified Arabic" w:hAnsi="Simplified Arabic" w:cs="Simplified Arabic"/>
          <w:sz w:val="24"/>
          <w:szCs w:val="24"/>
          <w:rtl/>
        </w:rPr>
        <w:t>كانون ثاني</w:t>
      </w:r>
      <w:r w:rsidRPr="00621B79">
        <w:rPr>
          <w:rFonts w:ascii="Simplified Arabic" w:hAnsi="Simplified Arabic" w:cs="Simplified Arabic"/>
          <w:sz w:val="24"/>
          <w:szCs w:val="24"/>
          <w:rtl/>
        </w:rPr>
        <w:t xml:space="preserve"> بحوالي </w:t>
      </w:r>
      <w:r w:rsidR="00465E3A" w:rsidRPr="00621B79">
        <w:rPr>
          <w:rFonts w:ascii="Simplified Arabic" w:hAnsi="Simplified Arabic" w:cs="Simplified Arabic"/>
          <w:sz w:val="24"/>
          <w:szCs w:val="24"/>
          <w:rtl/>
        </w:rPr>
        <w:t>13</w:t>
      </w:r>
      <w:r w:rsidRPr="00621B79">
        <w:rPr>
          <w:rFonts w:ascii="Simplified Arabic" w:hAnsi="Simplified Arabic" w:cs="Simplified Arabic"/>
          <w:sz w:val="24"/>
          <w:szCs w:val="24"/>
          <w:rtl/>
        </w:rPr>
        <w:t xml:space="preserve"> آلاف زائر. في حين بلغ عدد زوار المتاحف حوالي </w:t>
      </w:r>
      <w:r w:rsidR="00465E3A" w:rsidRPr="00621B79">
        <w:rPr>
          <w:rFonts w:ascii="Simplified Arabic" w:hAnsi="Simplified Arabic" w:cs="Simplified Arabic"/>
          <w:sz w:val="24"/>
          <w:szCs w:val="24"/>
          <w:rtl/>
        </w:rPr>
        <w:t>358</w:t>
      </w:r>
      <w:r w:rsidRPr="00621B7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65E3A" w:rsidRPr="00621B79">
        <w:rPr>
          <w:rFonts w:ascii="Simplified Arabic" w:hAnsi="Simplified Arabic" w:cs="Simplified Arabic"/>
          <w:sz w:val="24"/>
          <w:szCs w:val="24"/>
          <w:rtl/>
        </w:rPr>
        <w:t>ألف</w:t>
      </w:r>
      <w:r w:rsidRPr="00621B79">
        <w:rPr>
          <w:rFonts w:ascii="Simplified Arabic" w:hAnsi="Simplified Arabic" w:cs="Simplified Arabic"/>
          <w:sz w:val="24"/>
          <w:szCs w:val="24"/>
          <w:rtl/>
        </w:rPr>
        <w:t xml:space="preserve"> زائر في العام </w:t>
      </w:r>
      <w:r w:rsidR="00465E3A" w:rsidRPr="00621B79">
        <w:rPr>
          <w:rFonts w:ascii="Simplified Arabic" w:hAnsi="Simplified Arabic" w:cs="Simplified Arabic"/>
          <w:sz w:val="24"/>
          <w:szCs w:val="24"/>
          <w:rtl/>
        </w:rPr>
        <w:t>2017</w:t>
      </w:r>
      <w:r w:rsidRPr="00621B79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5C5582" w:rsidRPr="00621B79" w:rsidRDefault="005C5582" w:rsidP="005C5582">
      <w:pPr>
        <w:bidi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08497B" w:rsidRPr="00621B79" w:rsidRDefault="00572801" w:rsidP="00B62FB9">
      <w:pPr>
        <w:ind w:left="-2"/>
        <w:jc w:val="right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621B79">
        <w:rPr>
          <w:rFonts w:ascii="Simplified Arabic" w:hAnsi="Simplified Arabic" w:cs="Simplified Arabic"/>
          <w:b/>
          <w:bCs/>
          <w:sz w:val="26"/>
          <w:szCs w:val="26"/>
          <w:rtl/>
        </w:rPr>
        <w:t>41</w:t>
      </w:r>
      <w:r w:rsidR="00FF42F1" w:rsidRPr="00621B7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="0008497B" w:rsidRPr="00621B79">
        <w:rPr>
          <w:rFonts w:ascii="Simplified Arabic" w:hAnsi="Simplified Arabic" w:cs="Simplified Arabic"/>
          <w:b/>
          <w:bCs/>
          <w:sz w:val="26"/>
          <w:szCs w:val="26"/>
          <w:rtl/>
        </w:rPr>
        <w:t>من المسرحيات المعروضة عرضت للكبار</w:t>
      </w:r>
    </w:p>
    <w:p w:rsidR="0008497B" w:rsidRDefault="00CC321B" w:rsidP="00A95C48">
      <w:pPr>
        <w:tabs>
          <w:tab w:val="left" w:pos="-1"/>
        </w:tabs>
        <w:bidi/>
        <w:ind w:right="-1" w:firstLine="1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621B79">
        <w:rPr>
          <w:rFonts w:ascii="Simplified Arabic" w:hAnsi="Simplified Arabic" w:cs="Simplified Arabic"/>
          <w:sz w:val="24"/>
          <w:szCs w:val="24"/>
          <w:rtl/>
        </w:rPr>
        <w:t>16</w:t>
      </w:r>
      <w:r w:rsidR="0008497B" w:rsidRPr="00621B79">
        <w:rPr>
          <w:rFonts w:ascii="Simplified Arabic" w:hAnsi="Simplified Arabic" w:cs="Simplified Arabic"/>
          <w:sz w:val="24"/>
          <w:szCs w:val="24"/>
          <w:rtl/>
        </w:rPr>
        <w:t xml:space="preserve"> مسرح عامل في فلسطين عام </w:t>
      </w:r>
      <w:r w:rsidRPr="00621B79">
        <w:rPr>
          <w:rFonts w:ascii="Simplified Arabic" w:hAnsi="Simplified Arabic" w:cs="Simplified Arabic"/>
          <w:sz w:val="24"/>
          <w:szCs w:val="24"/>
          <w:rtl/>
        </w:rPr>
        <w:t>2018</w:t>
      </w:r>
      <w:r w:rsidR="0008497B" w:rsidRPr="00621B79">
        <w:rPr>
          <w:rFonts w:ascii="Simplified Arabic" w:hAnsi="Simplified Arabic" w:cs="Simplified Arabic"/>
          <w:sz w:val="24"/>
          <w:szCs w:val="24"/>
          <w:rtl/>
        </w:rPr>
        <w:t xml:space="preserve">، منها </w:t>
      </w:r>
      <w:r w:rsidRPr="00621B79">
        <w:rPr>
          <w:rFonts w:ascii="Simplified Arabic" w:hAnsi="Simplified Arabic" w:cs="Simplified Arabic"/>
          <w:sz w:val="24"/>
          <w:szCs w:val="24"/>
          <w:rtl/>
        </w:rPr>
        <w:t>13</w:t>
      </w:r>
      <w:r w:rsidR="0008497B" w:rsidRPr="00621B79">
        <w:rPr>
          <w:rFonts w:ascii="Simplified Arabic" w:hAnsi="Simplified Arabic" w:cs="Simplified Arabic"/>
          <w:sz w:val="24"/>
          <w:szCs w:val="24"/>
          <w:rtl/>
        </w:rPr>
        <w:t xml:space="preserve"> مسرحاً عاملاً في الضفة الغربية</w:t>
      </w:r>
      <w:r w:rsidR="00F64561" w:rsidRPr="00621B79">
        <w:rPr>
          <w:rFonts w:ascii="Simplified Arabic" w:hAnsi="Simplified Arabic" w:cs="Simplified Arabic"/>
          <w:sz w:val="24"/>
          <w:szCs w:val="24"/>
          <w:rtl/>
        </w:rPr>
        <w:t xml:space="preserve"> (منهم مسرحاً واحداً رفض الإدلاء بالبيانات)</w:t>
      </w:r>
      <w:r w:rsidR="0008497B" w:rsidRPr="00621B79">
        <w:rPr>
          <w:rFonts w:ascii="Simplified Arabic" w:hAnsi="Simplified Arabic" w:cs="Simplified Arabic"/>
          <w:sz w:val="24"/>
          <w:szCs w:val="24"/>
          <w:rtl/>
        </w:rPr>
        <w:t>، و3 مسارح في قطاع غزة.</w:t>
      </w:r>
    </w:p>
    <w:p w:rsidR="00FE131E" w:rsidRPr="00FE131E" w:rsidRDefault="00FE131E" w:rsidP="00FE131E">
      <w:pPr>
        <w:tabs>
          <w:tab w:val="left" w:pos="-1"/>
        </w:tabs>
        <w:bidi/>
        <w:ind w:right="-1" w:firstLine="1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08497B" w:rsidRPr="00621B79" w:rsidRDefault="004829F8" w:rsidP="007D7557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621B79">
        <w:rPr>
          <w:rFonts w:ascii="Simplified Arabic" w:hAnsi="Simplified Arabic" w:cs="Simplified Arabic"/>
          <w:sz w:val="24"/>
          <w:szCs w:val="24"/>
          <w:rtl/>
        </w:rPr>
        <w:t>347</w:t>
      </w:r>
      <w:r w:rsidR="0008497B" w:rsidRPr="00621B79">
        <w:rPr>
          <w:rFonts w:ascii="Simplified Arabic" w:hAnsi="Simplified Arabic" w:cs="Simplified Arabic"/>
          <w:sz w:val="24"/>
          <w:szCs w:val="24"/>
          <w:rtl/>
        </w:rPr>
        <w:t xml:space="preserve"> مسرحية عرضت في المسارح في فلسطين عام </w:t>
      </w:r>
      <w:r w:rsidR="00440060" w:rsidRPr="00621B79">
        <w:rPr>
          <w:rFonts w:ascii="Simplified Arabic" w:hAnsi="Simplified Arabic" w:cs="Simplified Arabic"/>
          <w:sz w:val="24"/>
          <w:szCs w:val="24"/>
          <w:rtl/>
        </w:rPr>
        <w:t>2018</w:t>
      </w:r>
      <w:r w:rsidR="0008497B" w:rsidRPr="00621B79">
        <w:rPr>
          <w:rFonts w:ascii="Simplified Arabic" w:hAnsi="Simplified Arabic" w:cs="Simplified Arabic"/>
          <w:sz w:val="24"/>
          <w:szCs w:val="24"/>
          <w:rtl/>
        </w:rPr>
        <w:t xml:space="preserve">؛ </w:t>
      </w:r>
      <w:r w:rsidR="00440060" w:rsidRPr="00621B79">
        <w:rPr>
          <w:rFonts w:ascii="Simplified Arabic" w:hAnsi="Simplified Arabic" w:cs="Simplified Arabic"/>
          <w:sz w:val="24"/>
          <w:szCs w:val="24"/>
          <w:rtl/>
        </w:rPr>
        <w:t>256</w:t>
      </w:r>
      <w:r w:rsidR="0008497B" w:rsidRPr="00621B79">
        <w:rPr>
          <w:rFonts w:ascii="Simplified Arabic" w:hAnsi="Simplified Arabic" w:cs="Simplified Arabic"/>
          <w:sz w:val="24"/>
          <w:szCs w:val="24"/>
          <w:rtl/>
        </w:rPr>
        <w:t xml:space="preserve"> مسرحية في الضفة الغربية، و</w:t>
      </w:r>
      <w:r w:rsidR="00440060" w:rsidRPr="00621B79">
        <w:rPr>
          <w:rFonts w:ascii="Simplified Arabic" w:hAnsi="Simplified Arabic" w:cs="Simplified Arabic"/>
          <w:sz w:val="24"/>
          <w:szCs w:val="24"/>
          <w:rtl/>
        </w:rPr>
        <w:t>91</w:t>
      </w:r>
      <w:r w:rsidR="0008497B" w:rsidRPr="00621B79">
        <w:rPr>
          <w:rFonts w:ascii="Simplified Arabic" w:hAnsi="Simplified Arabic" w:cs="Simplified Arabic"/>
          <w:sz w:val="24"/>
          <w:szCs w:val="24"/>
          <w:rtl/>
        </w:rPr>
        <w:t xml:space="preserve"> مسرحية في قطاع غزة. </w:t>
      </w:r>
      <w:r w:rsidR="008F0EBB" w:rsidRPr="00621B79">
        <w:rPr>
          <w:rFonts w:ascii="Simplified Arabic" w:hAnsi="Simplified Arabic" w:cs="Simplified Arabic"/>
          <w:sz w:val="24"/>
          <w:szCs w:val="24"/>
          <w:rtl/>
        </w:rPr>
        <w:t>41</w:t>
      </w:r>
      <w:r w:rsidR="0008497B" w:rsidRPr="00621B79">
        <w:rPr>
          <w:rFonts w:ascii="Simplified Arabic" w:hAnsi="Simplified Arabic" w:cs="Simplified Arabic"/>
          <w:sz w:val="24"/>
          <w:szCs w:val="24"/>
          <w:rtl/>
        </w:rPr>
        <w:t>% من المسرحيات المعروضة للكبار و2</w:t>
      </w:r>
      <w:r w:rsidR="008F0EBB" w:rsidRPr="00621B79">
        <w:rPr>
          <w:rFonts w:ascii="Simplified Arabic" w:hAnsi="Simplified Arabic" w:cs="Simplified Arabic"/>
          <w:sz w:val="24"/>
          <w:szCs w:val="24"/>
          <w:rtl/>
        </w:rPr>
        <w:t>8</w:t>
      </w:r>
      <w:r w:rsidR="0008497B" w:rsidRPr="00621B79">
        <w:rPr>
          <w:rFonts w:ascii="Simplified Arabic" w:hAnsi="Simplified Arabic" w:cs="Simplified Arabic"/>
          <w:sz w:val="24"/>
          <w:szCs w:val="24"/>
          <w:rtl/>
        </w:rPr>
        <w:t xml:space="preserve">% عرضت للأطفال في حين </w:t>
      </w:r>
      <w:r w:rsidR="005A5711" w:rsidRPr="00621B79">
        <w:rPr>
          <w:rFonts w:ascii="Simplified Arabic" w:hAnsi="Simplified Arabic" w:cs="Simplified Arabic"/>
          <w:sz w:val="24"/>
          <w:szCs w:val="24"/>
          <w:rtl/>
        </w:rPr>
        <w:t>31</w:t>
      </w:r>
      <w:r w:rsidR="0008497B" w:rsidRPr="00621B79">
        <w:rPr>
          <w:rFonts w:ascii="Simplified Arabic" w:hAnsi="Simplified Arabic" w:cs="Simplified Arabic"/>
          <w:sz w:val="24"/>
          <w:szCs w:val="24"/>
          <w:rtl/>
        </w:rPr>
        <w:t xml:space="preserve">% عرضت للأطفال والكبار. أما بخصوص عدد المشاهدين للمسرحيات فقد بلغ عددهم حوالي </w:t>
      </w:r>
      <w:r w:rsidR="001C25E1" w:rsidRPr="00621B79">
        <w:rPr>
          <w:rFonts w:ascii="Simplified Arabic" w:hAnsi="Simplified Arabic" w:cs="Simplified Arabic"/>
          <w:sz w:val="24"/>
          <w:szCs w:val="24"/>
          <w:rtl/>
        </w:rPr>
        <w:t>85</w:t>
      </w:r>
      <w:r w:rsidR="0008497B" w:rsidRPr="00621B79">
        <w:rPr>
          <w:rFonts w:ascii="Simplified Arabic" w:hAnsi="Simplified Arabic" w:cs="Simplified Arabic"/>
          <w:sz w:val="24"/>
          <w:szCs w:val="24"/>
          <w:rtl/>
        </w:rPr>
        <w:t xml:space="preserve"> ألف مشاهد، وقد بلغ أعلى عدد للمشاهدين في شهر </w:t>
      </w:r>
      <w:r w:rsidR="001C25E1" w:rsidRPr="00621B79">
        <w:rPr>
          <w:rFonts w:ascii="Simplified Arabic" w:hAnsi="Simplified Arabic" w:cs="Simplified Arabic"/>
          <w:sz w:val="24"/>
          <w:szCs w:val="24"/>
          <w:rtl/>
        </w:rPr>
        <w:t>أيار</w:t>
      </w:r>
      <w:r w:rsidR="0008497B" w:rsidRPr="00621B79">
        <w:rPr>
          <w:rFonts w:ascii="Simplified Arabic" w:hAnsi="Simplified Arabic" w:cs="Simplified Arabic"/>
          <w:sz w:val="24"/>
          <w:szCs w:val="24"/>
          <w:rtl/>
        </w:rPr>
        <w:t xml:space="preserve"> حيث بلغ عددهم حوالي </w:t>
      </w:r>
      <w:r w:rsidR="001C25E1" w:rsidRPr="00621B79">
        <w:rPr>
          <w:rFonts w:ascii="Simplified Arabic" w:hAnsi="Simplified Arabic" w:cs="Simplified Arabic"/>
          <w:sz w:val="24"/>
          <w:szCs w:val="24"/>
          <w:rtl/>
        </w:rPr>
        <w:t>9</w:t>
      </w:r>
      <w:r w:rsidR="0008497B" w:rsidRPr="00621B79">
        <w:rPr>
          <w:rFonts w:ascii="Simplified Arabic" w:hAnsi="Simplified Arabic" w:cs="Simplified Arabic"/>
          <w:sz w:val="24"/>
          <w:szCs w:val="24"/>
          <w:rtl/>
        </w:rPr>
        <w:t xml:space="preserve"> آلاف مشاهد، ثم شهر </w:t>
      </w:r>
      <w:r w:rsidR="001C25E1" w:rsidRPr="00621B79">
        <w:rPr>
          <w:rFonts w:ascii="Simplified Arabic" w:hAnsi="Simplified Arabic" w:cs="Simplified Arabic"/>
          <w:sz w:val="24"/>
          <w:szCs w:val="24"/>
          <w:rtl/>
        </w:rPr>
        <w:t>تشرين أول</w:t>
      </w:r>
      <w:r w:rsidR="0008497B" w:rsidRPr="00621B79">
        <w:rPr>
          <w:rFonts w:ascii="Simplified Arabic" w:hAnsi="Simplified Arabic" w:cs="Simplified Arabic"/>
          <w:sz w:val="24"/>
          <w:szCs w:val="24"/>
          <w:rtl/>
        </w:rPr>
        <w:t xml:space="preserve"> حوالي </w:t>
      </w:r>
      <w:r w:rsidR="001C25E1" w:rsidRPr="00621B79">
        <w:rPr>
          <w:rFonts w:ascii="Simplified Arabic" w:hAnsi="Simplified Arabic" w:cs="Simplified Arabic"/>
          <w:sz w:val="24"/>
          <w:szCs w:val="24"/>
          <w:rtl/>
        </w:rPr>
        <w:t>8</w:t>
      </w:r>
      <w:r w:rsidR="0008497B" w:rsidRPr="00621B7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C25E1" w:rsidRPr="00621B79">
        <w:rPr>
          <w:rFonts w:ascii="Simplified Arabic" w:hAnsi="Simplified Arabic" w:cs="Simplified Arabic"/>
          <w:sz w:val="24"/>
          <w:szCs w:val="24"/>
          <w:rtl/>
        </w:rPr>
        <w:t>آلاف</w:t>
      </w:r>
      <w:r w:rsidR="0008497B" w:rsidRPr="00621B79">
        <w:rPr>
          <w:rFonts w:ascii="Simplified Arabic" w:hAnsi="Simplified Arabic" w:cs="Simplified Arabic"/>
          <w:sz w:val="24"/>
          <w:szCs w:val="24"/>
          <w:rtl/>
        </w:rPr>
        <w:t xml:space="preserve"> مشاهد.</w:t>
      </w:r>
      <w:r w:rsidR="0008497B" w:rsidRPr="00621B7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08497B" w:rsidRPr="00621B79">
        <w:rPr>
          <w:rFonts w:ascii="Simplified Arabic" w:hAnsi="Simplified Arabic" w:cs="Simplified Arabic"/>
          <w:sz w:val="24"/>
          <w:szCs w:val="24"/>
          <w:rtl/>
        </w:rPr>
        <w:t xml:space="preserve">في حين بلغ عدد المشاهدين للمسرحيات حوالي </w:t>
      </w:r>
      <w:r w:rsidR="001C25E1" w:rsidRPr="00621B79">
        <w:rPr>
          <w:rFonts w:ascii="Simplified Arabic" w:hAnsi="Simplified Arabic" w:cs="Simplified Arabic"/>
          <w:sz w:val="24"/>
          <w:szCs w:val="24"/>
          <w:rtl/>
        </w:rPr>
        <w:t>90</w:t>
      </w:r>
      <w:r w:rsidR="0008497B" w:rsidRPr="00621B79">
        <w:rPr>
          <w:rFonts w:ascii="Simplified Arabic" w:hAnsi="Simplified Arabic" w:cs="Simplified Arabic"/>
          <w:sz w:val="24"/>
          <w:szCs w:val="24"/>
          <w:rtl/>
        </w:rPr>
        <w:t xml:space="preserve"> ألف مشاهد في العام </w:t>
      </w:r>
      <w:r w:rsidR="001C25E1" w:rsidRPr="00621B79">
        <w:rPr>
          <w:rFonts w:ascii="Simplified Arabic" w:hAnsi="Simplified Arabic" w:cs="Simplified Arabic"/>
          <w:sz w:val="24"/>
          <w:szCs w:val="24"/>
          <w:rtl/>
        </w:rPr>
        <w:t>2017.</w:t>
      </w:r>
      <w:r w:rsidR="0008497B" w:rsidRPr="00621B79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  <w:p w:rsidR="00E9351D" w:rsidRDefault="00E9351D" w:rsidP="00E9351D">
      <w:pPr>
        <w:bidi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ED2358" w:rsidRDefault="00ED2358" w:rsidP="00ED2358">
      <w:pPr>
        <w:bidi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ED2358" w:rsidRDefault="00ED2358" w:rsidP="00ED2358">
      <w:pPr>
        <w:bidi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ED2358" w:rsidRDefault="00ED2358" w:rsidP="00ED2358">
      <w:pPr>
        <w:bidi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ED2358" w:rsidRDefault="00ED2358" w:rsidP="00ED2358">
      <w:pPr>
        <w:bidi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ED2358" w:rsidRDefault="00ED2358" w:rsidP="00ED2358">
      <w:pPr>
        <w:bidi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ED2358" w:rsidRDefault="00ED2358" w:rsidP="00ED2358">
      <w:pPr>
        <w:bidi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ED2358" w:rsidRDefault="00ED2358" w:rsidP="00ED2358">
      <w:pPr>
        <w:bidi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ED2358" w:rsidRDefault="00ED2358" w:rsidP="00ED2358">
      <w:pPr>
        <w:bidi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ED2358" w:rsidRDefault="00ED2358" w:rsidP="00ED2358">
      <w:pPr>
        <w:ind w:left="-2"/>
        <w:jc w:val="right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7C6DAB" w:rsidRDefault="007C6DAB" w:rsidP="00ED2358">
      <w:pPr>
        <w:ind w:left="-2"/>
        <w:jc w:val="right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</w:p>
    <w:p w:rsidR="00ED2358" w:rsidRPr="00621B79" w:rsidRDefault="00E9351D" w:rsidP="00ED2358">
      <w:pPr>
        <w:ind w:left="-2"/>
        <w:jc w:val="right"/>
        <w:rPr>
          <w:rFonts w:ascii="Simplified Arabic" w:hAnsi="Simplified Arabic" w:cs="Simplified Arabic"/>
          <w:b/>
          <w:bCs/>
          <w:sz w:val="26"/>
          <w:szCs w:val="26"/>
        </w:rPr>
      </w:pPr>
      <w:r w:rsidRPr="00621B79">
        <w:rPr>
          <w:rFonts w:ascii="Simplified Arabic" w:hAnsi="Simplified Arabic" w:cs="Simplified Arabic"/>
          <w:b/>
          <w:bCs/>
          <w:sz w:val="26"/>
          <w:szCs w:val="26"/>
          <w:rtl/>
        </w:rPr>
        <w:t>القدس عاصمة دائمة للثقافة العربية والإسلامية</w:t>
      </w:r>
      <w:r w:rsidR="0034559A" w:rsidRPr="00621B79">
        <w:rPr>
          <w:rStyle w:val="FootnoteReference"/>
          <w:rFonts w:ascii="Simplified Arabic" w:hAnsi="Simplified Arabic" w:cs="Simplified Arabic"/>
          <w:b/>
          <w:bCs/>
          <w:sz w:val="26"/>
          <w:szCs w:val="26"/>
          <w:rtl/>
        </w:rPr>
        <w:footnoteReference w:id="2"/>
      </w:r>
      <w:r w:rsidRPr="00621B7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</w:p>
    <w:p w:rsidR="001824F5" w:rsidRDefault="001824F5" w:rsidP="001824F5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621B79">
        <w:rPr>
          <w:rFonts w:ascii="Simplified Arabic" w:hAnsi="Simplified Arabic" w:cs="Simplified Arabic"/>
          <w:sz w:val="24"/>
          <w:szCs w:val="24"/>
          <w:rtl/>
        </w:rPr>
        <w:t>القدس باتت عاصمة دائمة للثقافة العربية والإسلامية، وذلك بعد قرار وزراء الثقافة لبلدان المؤتمر الإسلامي بتاريخ 29/11/2018 المنعقد في العاصمة البحرينية المنامة، وقرار مؤتمر وزراء الثقافة العرب باعتبار القدس عاصمة دائمة للثقافة العربية</w:t>
      </w:r>
      <w:r w:rsidR="00FB496A" w:rsidRPr="00621B79">
        <w:rPr>
          <w:rFonts w:ascii="Simplified Arabic" w:hAnsi="Simplified Arabic" w:cs="Simplified Arabic"/>
          <w:sz w:val="24"/>
          <w:szCs w:val="24"/>
          <w:rtl/>
        </w:rPr>
        <w:t xml:space="preserve"> والذي صدر</w:t>
      </w:r>
      <w:r w:rsidRPr="00621B79">
        <w:rPr>
          <w:rFonts w:ascii="Simplified Arabic" w:hAnsi="Simplified Arabic" w:cs="Simplified Arabic"/>
          <w:sz w:val="24"/>
          <w:szCs w:val="24"/>
          <w:rtl/>
        </w:rPr>
        <w:t xml:space="preserve"> بتاريخ 28/10/2010.</w:t>
      </w:r>
    </w:p>
    <w:p w:rsidR="00FE131E" w:rsidRPr="00621B79" w:rsidRDefault="00FE131E" w:rsidP="00FE131E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6A5465" w:rsidRDefault="006A5465" w:rsidP="006A5465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621B79">
        <w:rPr>
          <w:rFonts w:ascii="Simplified Arabic" w:hAnsi="Simplified Arabic" w:cs="Simplified Arabic"/>
          <w:sz w:val="24"/>
          <w:szCs w:val="24"/>
          <w:rtl/>
        </w:rPr>
        <w:t>بلغ عدد المراكز الثقافية العاملة في محافظة القدس 51 مركزاً خلال العام 2018، منهم 13 مركزاً رفض</w:t>
      </w:r>
      <w:r w:rsidR="008901B5" w:rsidRPr="00621B79">
        <w:rPr>
          <w:rFonts w:ascii="Simplified Arabic" w:hAnsi="Simplified Arabic" w:cs="Simplified Arabic"/>
          <w:sz w:val="24"/>
          <w:szCs w:val="24"/>
          <w:rtl/>
        </w:rPr>
        <w:t>وا</w:t>
      </w:r>
      <w:r w:rsidRPr="00621B79">
        <w:rPr>
          <w:rFonts w:ascii="Simplified Arabic" w:hAnsi="Simplified Arabic" w:cs="Simplified Arabic"/>
          <w:sz w:val="24"/>
          <w:szCs w:val="24"/>
          <w:rtl/>
        </w:rPr>
        <w:t xml:space="preserve"> الإدلاء بالبيانات. </w:t>
      </w:r>
      <w:r w:rsidR="00753FE7" w:rsidRPr="00621B79">
        <w:rPr>
          <w:rFonts w:ascii="Simplified Arabic" w:hAnsi="Simplified Arabic" w:cs="Simplified Arabic"/>
          <w:sz w:val="24"/>
          <w:szCs w:val="24"/>
          <w:rtl/>
        </w:rPr>
        <w:t>فيما بلغ عدد المتاحف العاملة 4 متاحف ومسرحين عاملين خلال العام 2018.</w:t>
      </w:r>
      <w:r w:rsidRPr="00621B79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  <w:p w:rsidR="00FE131E" w:rsidRPr="00FE131E" w:rsidRDefault="00FE131E" w:rsidP="00FE131E">
      <w:pPr>
        <w:bidi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6A5465" w:rsidRDefault="002B2EE3" w:rsidP="006A5465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621B79">
        <w:rPr>
          <w:rFonts w:ascii="Simplified Arabic" w:hAnsi="Simplified Arabic" w:cs="Simplified Arabic"/>
          <w:sz w:val="24"/>
          <w:szCs w:val="24"/>
          <w:rtl/>
        </w:rPr>
        <w:t>عقدت</w:t>
      </w:r>
      <w:r w:rsidR="006A5465" w:rsidRPr="00621B79">
        <w:rPr>
          <w:rFonts w:ascii="Simplified Arabic" w:hAnsi="Simplified Arabic" w:cs="Simplified Arabic"/>
          <w:sz w:val="24"/>
          <w:szCs w:val="24"/>
          <w:rtl/>
        </w:rPr>
        <w:t xml:space="preserve"> المراكز الثقافية التي أدلت بالبيانات في محافظة القدس 849 نشاطاً </w:t>
      </w:r>
      <w:r w:rsidR="001719F8" w:rsidRPr="00621B79">
        <w:rPr>
          <w:rFonts w:ascii="Simplified Arabic" w:hAnsi="Simplified Arabic" w:cs="Simplified Arabic"/>
          <w:sz w:val="24"/>
          <w:szCs w:val="24"/>
          <w:rtl/>
        </w:rPr>
        <w:t xml:space="preserve">ثقافياً </w:t>
      </w:r>
      <w:r w:rsidR="006A5465" w:rsidRPr="00621B79">
        <w:rPr>
          <w:rFonts w:ascii="Simplified Arabic" w:hAnsi="Simplified Arabic" w:cs="Simplified Arabic"/>
          <w:sz w:val="24"/>
          <w:szCs w:val="24"/>
          <w:rtl/>
        </w:rPr>
        <w:t xml:space="preserve">خلال </w:t>
      </w:r>
      <w:r w:rsidR="002A7859" w:rsidRPr="00621B79">
        <w:rPr>
          <w:rFonts w:ascii="Simplified Arabic" w:hAnsi="Simplified Arabic" w:cs="Simplified Arabic"/>
          <w:sz w:val="24"/>
          <w:szCs w:val="24"/>
          <w:rtl/>
        </w:rPr>
        <w:t>ال</w:t>
      </w:r>
      <w:r w:rsidR="006A5465" w:rsidRPr="00621B79">
        <w:rPr>
          <w:rFonts w:ascii="Simplified Arabic" w:hAnsi="Simplified Arabic" w:cs="Simplified Arabic"/>
          <w:sz w:val="24"/>
          <w:szCs w:val="24"/>
          <w:rtl/>
        </w:rPr>
        <w:t>عام 2018؛ بواقع 656 دورة، و99 محاضرة، و68 عرض فني، و18 معرض بالإضافة إلى 8 ندوات.</w:t>
      </w:r>
    </w:p>
    <w:p w:rsidR="00FE131E" w:rsidRPr="00FE131E" w:rsidRDefault="00FE131E" w:rsidP="00FE131E">
      <w:pPr>
        <w:bidi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6A5465" w:rsidRPr="00621B79" w:rsidRDefault="006A5465" w:rsidP="002B2EE3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621B79">
        <w:rPr>
          <w:rFonts w:ascii="Simplified Arabic" w:hAnsi="Simplified Arabic" w:cs="Simplified Arabic"/>
          <w:sz w:val="24"/>
          <w:szCs w:val="24"/>
          <w:rtl/>
        </w:rPr>
        <w:t xml:space="preserve">وفيما يتعلق بعدد المشاركين في الأنشطة الثقافية </w:t>
      </w:r>
      <w:r w:rsidR="002B2EE3" w:rsidRPr="00621B79">
        <w:rPr>
          <w:rFonts w:ascii="Simplified Arabic" w:hAnsi="Simplified Arabic" w:cs="Simplified Arabic"/>
          <w:sz w:val="24"/>
          <w:szCs w:val="24"/>
          <w:rtl/>
        </w:rPr>
        <w:t>المنعقدة في</w:t>
      </w:r>
      <w:r w:rsidRPr="00621B79">
        <w:rPr>
          <w:rFonts w:ascii="Simplified Arabic" w:hAnsi="Simplified Arabic" w:cs="Simplified Arabic"/>
          <w:sz w:val="24"/>
          <w:szCs w:val="24"/>
          <w:rtl/>
        </w:rPr>
        <w:t xml:space="preserve"> المراكز الثقافية</w:t>
      </w:r>
      <w:r w:rsidR="002B2EE3" w:rsidRPr="00621B79">
        <w:rPr>
          <w:rFonts w:ascii="Simplified Arabic" w:hAnsi="Simplified Arabic" w:cs="Simplified Arabic"/>
          <w:sz w:val="24"/>
          <w:szCs w:val="24"/>
          <w:rtl/>
        </w:rPr>
        <w:t xml:space="preserve"> التي أدلت بالبيانات</w:t>
      </w:r>
      <w:r w:rsidRPr="00621B79">
        <w:rPr>
          <w:rFonts w:ascii="Simplified Arabic" w:hAnsi="Simplified Arabic" w:cs="Simplified Arabic"/>
          <w:sz w:val="24"/>
          <w:szCs w:val="24"/>
          <w:rtl/>
        </w:rPr>
        <w:t xml:space="preserve"> في محافظة القدس خلال العام 2018 فقد بلغ حوالي 29 ألف مشارك، أكثر من نصفهم شاركوا في الدورات.</w:t>
      </w:r>
    </w:p>
    <w:p w:rsidR="00BC0DE9" w:rsidRPr="00621B79" w:rsidRDefault="00BC0DE9" w:rsidP="00BC0DE9">
      <w:pPr>
        <w:bidi/>
        <w:jc w:val="center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E9351D" w:rsidRPr="00FE131E" w:rsidRDefault="0067133B" w:rsidP="00FE131E">
      <w:pPr>
        <w:bidi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621B79">
        <w:rPr>
          <w:rFonts w:ascii="Simplified Arabic" w:hAnsi="Simplified Arabic" w:cs="Simplified Arabic"/>
          <w:b/>
          <w:bCs/>
          <w:sz w:val="26"/>
          <w:szCs w:val="26"/>
          <w:rtl/>
        </w:rPr>
        <w:t>التوزيع النسبي للمشاركين في الأنشطة الثقافية المنعقدة في المراكز الثقافية في محافظة القدس</w:t>
      </w:r>
      <w:r w:rsidR="00815253" w:rsidRPr="00621B7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حسب نوع النشاط</w:t>
      </w:r>
      <w:r w:rsidRPr="00621B79">
        <w:rPr>
          <w:rFonts w:ascii="Simplified Arabic" w:hAnsi="Simplified Arabic" w:cs="Simplified Arabic"/>
          <w:b/>
          <w:bCs/>
          <w:sz w:val="26"/>
          <w:szCs w:val="26"/>
          <w:rtl/>
        </w:rPr>
        <w:t>، 2018</w:t>
      </w:r>
    </w:p>
    <w:p w:rsidR="0067133B" w:rsidRPr="00621B79" w:rsidRDefault="00642146" w:rsidP="00ED2358">
      <w:pPr>
        <w:bidi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621B79">
        <w:rPr>
          <w:rFonts w:ascii="Simplified Arabic" w:hAnsi="Simplified Arabic" w:cs="Simplified Arabic"/>
          <w:noProof/>
          <w:sz w:val="24"/>
          <w:szCs w:val="24"/>
          <w:rtl/>
        </w:rPr>
        <w:drawing>
          <wp:inline distT="0" distB="0" distL="0" distR="0">
            <wp:extent cx="3051810" cy="1447800"/>
            <wp:effectExtent l="19050" t="0" r="1524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16178" w:rsidRPr="00FE131E" w:rsidRDefault="00116178" w:rsidP="007D7557">
      <w:pPr>
        <w:bidi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FE131E" w:rsidRPr="00FE131E" w:rsidRDefault="00FE131E" w:rsidP="00116178">
      <w:pPr>
        <w:bidi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C2366A" w:rsidRPr="00621B79" w:rsidRDefault="00D2394D" w:rsidP="00FE131E">
      <w:pPr>
        <w:bidi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621B79">
        <w:rPr>
          <w:rFonts w:ascii="Simplified Arabic" w:hAnsi="Simplified Arabic" w:cs="Simplified Arabic"/>
          <w:b/>
          <w:bCs/>
          <w:sz w:val="26"/>
          <w:szCs w:val="26"/>
          <w:rtl/>
        </w:rPr>
        <w:t>إقامة مهرجانات ومعارض بدعم من وزارة الثقافة</w:t>
      </w:r>
    </w:p>
    <w:p w:rsidR="00C50BA8" w:rsidRDefault="007A1D08" w:rsidP="00944DF1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621B79">
        <w:rPr>
          <w:rFonts w:ascii="Simplified Arabic" w:hAnsi="Simplified Arabic" w:cs="Simplified Arabic"/>
          <w:sz w:val="24"/>
          <w:szCs w:val="24"/>
          <w:rtl/>
        </w:rPr>
        <w:t xml:space="preserve">عملت وزارة الثقافة على دعم وتنظيم إقامة مهرجانات تراثية وثقافية ومعارض </w:t>
      </w:r>
      <w:r w:rsidR="00944DF1" w:rsidRPr="00621B79">
        <w:rPr>
          <w:rFonts w:ascii="Simplified Arabic" w:hAnsi="Simplified Arabic" w:cs="Simplified Arabic"/>
          <w:sz w:val="24"/>
          <w:szCs w:val="24"/>
          <w:rtl/>
        </w:rPr>
        <w:t>للحرف والصناعات التراثية</w:t>
      </w:r>
      <w:r w:rsidRPr="00621B79">
        <w:rPr>
          <w:rFonts w:ascii="Simplified Arabic" w:hAnsi="Simplified Arabic" w:cs="Simplified Arabic"/>
          <w:sz w:val="24"/>
          <w:szCs w:val="24"/>
          <w:rtl/>
        </w:rPr>
        <w:t xml:space="preserve"> خلال العام 2018، حيث </w:t>
      </w:r>
      <w:r w:rsidR="00944DF1" w:rsidRPr="00621B79">
        <w:rPr>
          <w:rFonts w:ascii="Simplified Arabic" w:hAnsi="Simplified Arabic" w:cs="Simplified Arabic"/>
          <w:sz w:val="24"/>
          <w:szCs w:val="24"/>
          <w:rtl/>
        </w:rPr>
        <w:t>دعمت إقامة</w:t>
      </w:r>
      <w:r w:rsidRPr="00621B79">
        <w:rPr>
          <w:rFonts w:ascii="Simplified Arabic" w:hAnsi="Simplified Arabic" w:cs="Simplified Arabic"/>
          <w:sz w:val="24"/>
          <w:szCs w:val="24"/>
          <w:rtl/>
        </w:rPr>
        <w:t xml:space="preserve"> 14 مهرجاناً، </w:t>
      </w:r>
      <w:r w:rsidR="00944DF1" w:rsidRPr="00621B79">
        <w:rPr>
          <w:rFonts w:ascii="Simplified Arabic" w:hAnsi="Simplified Arabic" w:cs="Simplified Arabic"/>
          <w:sz w:val="24"/>
          <w:szCs w:val="24"/>
          <w:rtl/>
        </w:rPr>
        <w:t>ودعمت إقامة معرض فلسطين الدولي الحادي عشر للكتاب بمشاركة أكثر من 500 دار نشر عربية ودولية</w:t>
      </w:r>
      <w:r w:rsidRPr="00621B79">
        <w:rPr>
          <w:rFonts w:ascii="Simplified Arabic" w:hAnsi="Simplified Arabic" w:cs="Simplified Arabic"/>
          <w:sz w:val="24"/>
          <w:szCs w:val="24"/>
          <w:rtl/>
        </w:rPr>
        <w:t xml:space="preserve">، و3 معارض </w:t>
      </w:r>
      <w:r w:rsidR="00944DF1" w:rsidRPr="00621B79">
        <w:rPr>
          <w:rFonts w:ascii="Simplified Arabic" w:hAnsi="Simplified Arabic" w:cs="Simplified Arabic"/>
          <w:sz w:val="24"/>
          <w:szCs w:val="24"/>
          <w:rtl/>
        </w:rPr>
        <w:t>للحرف والصناعات التراثية</w:t>
      </w:r>
      <w:r w:rsidRPr="00621B79">
        <w:rPr>
          <w:rFonts w:ascii="Simplified Arabic" w:hAnsi="Simplified Arabic" w:cs="Simplified Arabic"/>
          <w:sz w:val="24"/>
          <w:szCs w:val="24"/>
          <w:rtl/>
        </w:rPr>
        <w:t xml:space="preserve"> خلال العام 2018</w:t>
      </w:r>
      <w:r w:rsidR="0077087F" w:rsidRPr="00621B79">
        <w:rPr>
          <w:rFonts w:ascii="Simplified Arabic" w:hAnsi="Simplified Arabic" w:cs="Simplified Arabic"/>
          <w:sz w:val="24"/>
          <w:szCs w:val="24"/>
          <w:rtl/>
        </w:rPr>
        <w:t xml:space="preserve">. </w:t>
      </w:r>
    </w:p>
    <w:p w:rsidR="00FE131E" w:rsidRPr="00FE131E" w:rsidRDefault="00FE131E" w:rsidP="00FE131E">
      <w:pPr>
        <w:bidi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77087F" w:rsidRDefault="0077087F" w:rsidP="00824AD5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621B79">
        <w:rPr>
          <w:rFonts w:ascii="Simplified Arabic" w:hAnsi="Simplified Arabic" w:cs="Simplified Arabic"/>
          <w:sz w:val="24"/>
          <w:szCs w:val="24"/>
          <w:rtl/>
        </w:rPr>
        <w:t xml:space="preserve">بلغ قيمة الإنفاق </w:t>
      </w:r>
      <w:r w:rsidR="00D116E1" w:rsidRPr="00621B79">
        <w:rPr>
          <w:rFonts w:ascii="Simplified Arabic" w:hAnsi="Simplified Arabic" w:cs="Simplified Arabic"/>
          <w:sz w:val="24"/>
          <w:szCs w:val="24"/>
          <w:rtl/>
        </w:rPr>
        <w:t>على إقامة المهرجانات من موازنة وزارة الثقافة وصندوق التنمية الثقافي</w:t>
      </w:r>
      <w:r w:rsidRPr="00621B7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116E1" w:rsidRPr="00621B79">
        <w:rPr>
          <w:rFonts w:ascii="Simplified Arabic" w:hAnsi="Simplified Arabic" w:cs="Simplified Arabic"/>
          <w:sz w:val="24"/>
          <w:szCs w:val="24"/>
          <w:rtl/>
        </w:rPr>
        <w:t xml:space="preserve">حوالي 130 ألف </w:t>
      </w:r>
      <w:proofErr w:type="spellStart"/>
      <w:r w:rsidR="00D116E1" w:rsidRPr="00621B79">
        <w:rPr>
          <w:rFonts w:ascii="Simplified Arabic" w:hAnsi="Simplified Arabic" w:cs="Simplified Arabic"/>
          <w:sz w:val="24"/>
          <w:szCs w:val="24"/>
          <w:rtl/>
        </w:rPr>
        <w:t>شي</w:t>
      </w:r>
      <w:r w:rsidR="00CA69B4" w:rsidRPr="00621B79">
        <w:rPr>
          <w:rFonts w:ascii="Simplified Arabic" w:hAnsi="Simplified Arabic" w:cs="Simplified Arabic"/>
          <w:sz w:val="24"/>
          <w:szCs w:val="24"/>
          <w:rtl/>
        </w:rPr>
        <w:t>ق</w:t>
      </w:r>
      <w:r w:rsidR="00D116E1" w:rsidRPr="00621B79">
        <w:rPr>
          <w:rFonts w:ascii="Simplified Arabic" w:hAnsi="Simplified Arabic" w:cs="Simplified Arabic"/>
          <w:sz w:val="24"/>
          <w:szCs w:val="24"/>
          <w:rtl/>
        </w:rPr>
        <w:t>ل</w:t>
      </w:r>
      <w:proofErr w:type="spellEnd"/>
      <w:r w:rsidR="00D116E1" w:rsidRPr="00621B7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24AD5" w:rsidRPr="00621B79">
        <w:rPr>
          <w:rFonts w:ascii="Simplified Arabic" w:hAnsi="Simplified Arabic" w:cs="Simplified Arabic"/>
          <w:sz w:val="24"/>
          <w:szCs w:val="24"/>
          <w:rtl/>
        </w:rPr>
        <w:t xml:space="preserve">فيما بلغ قيمة الإنفاق على إقامة المعارض حوالي </w:t>
      </w:r>
      <w:r w:rsidR="00824AD5" w:rsidRPr="00621B79">
        <w:rPr>
          <w:rFonts w:ascii="Simplified Arabic" w:hAnsi="Simplified Arabic" w:cs="Simplified Arabic"/>
          <w:sz w:val="24"/>
          <w:szCs w:val="24"/>
        </w:rPr>
        <w:t>2.5</w:t>
      </w:r>
      <w:r w:rsidR="00824AD5" w:rsidRPr="00621B79">
        <w:rPr>
          <w:rFonts w:ascii="Simplified Arabic" w:hAnsi="Simplified Arabic" w:cs="Simplified Arabic"/>
          <w:sz w:val="24"/>
          <w:szCs w:val="24"/>
          <w:rtl/>
        </w:rPr>
        <w:t xml:space="preserve"> مليون </w:t>
      </w:r>
      <w:proofErr w:type="spellStart"/>
      <w:r w:rsidR="00824AD5" w:rsidRPr="00621B79">
        <w:rPr>
          <w:rFonts w:ascii="Simplified Arabic" w:hAnsi="Simplified Arabic" w:cs="Simplified Arabic"/>
          <w:sz w:val="24"/>
          <w:szCs w:val="24"/>
          <w:rtl/>
        </w:rPr>
        <w:t>شيقل</w:t>
      </w:r>
      <w:proofErr w:type="spellEnd"/>
      <w:r w:rsidR="00824AD5" w:rsidRPr="00621B7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116E1" w:rsidRPr="00621B79">
        <w:rPr>
          <w:rFonts w:ascii="Simplified Arabic" w:hAnsi="Simplified Arabic" w:cs="Simplified Arabic"/>
          <w:sz w:val="24"/>
          <w:szCs w:val="24"/>
          <w:rtl/>
        </w:rPr>
        <w:t>خلال العام 2018.</w:t>
      </w:r>
    </w:p>
    <w:p w:rsidR="00FE131E" w:rsidRPr="00FE131E" w:rsidRDefault="00FE131E" w:rsidP="00FE131E">
      <w:pPr>
        <w:bidi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D2394D" w:rsidRPr="00621B79" w:rsidRDefault="00D2394D" w:rsidP="0087610A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621B79">
        <w:rPr>
          <w:rFonts w:ascii="Simplified Arabic" w:hAnsi="Simplified Arabic" w:cs="Simplified Arabic"/>
          <w:sz w:val="24"/>
          <w:szCs w:val="24"/>
          <w:rtl/>
        </w:rPr>
        <w:t xml:space="preserve">أما بالنسبة للمسارح فقد بلغت قيمة </w:t>
      </w:r>
      <w:r w:rsidR="004A71E3" w:rsidRPr="00621B79">
        <w:rPr>
          <w:rFonts w:ascii="Simplified Arabic" w:hAnsi="Simplified Arabic" w:cs="Simplified Arabic"/>
          <w:sz w:val="24"/>
          <w:szCs w:val="24"/>
          <w:rtl/>
        </w:rPr>
        <w:t>الإنفاق</w:t>
      </w:r>
      <w:r w:rsidRPr="00621B79">
        <w:rPr>
          <w:rFonts w:ascii="Simplified Arabic" w:hAnsi="Simplified Arabic" w:cs="Simplified Arabic"/>
          <w:sz w:val="24"/>
          <w:szCs w:val="24"/>
          <w:rtl/>
        </w:rPr>
        <w:t xml:space="preserve"> على دعم المسارح بما فيها الإنتاج المسرحي حوالي 556 ألف </w:t>
      </w:r>
      <w:proofErr w:type="spellStart"/>
      <w:r w:rsidRPr="00621B79">
        <w:rPr>
          <w:rFonts w:ascii="Simplified Arabic" w:hAnsi="Simplified Arabic" w:cs="Simplified Arabic"/>
          <w:sz w:val="24"/>
          <w:szCs w:val="24"/>
          <w:rtl/>
        </w:rPr>
        <w:t>شيقل</w:t>
      </w:r>
      <w:proofErr w:type="spellEnd"/>
      <w:r w:rsidRPr="00621B79">
        <w:rPr>
          <w:rFonts w:ascii="Simplified Arabic" w:hAnsi="Simplified Arabic" w:cs="Simplified Arabic"/>
          <w:sz w:val="24"/>
          <w:szCs w:val="24"/>
          <w:rtl/>
        </w:rPr>
        <w:t xml:space="preserve"> من موازنة وزارة الثقافة وصندوق التنمية الثقافي للعام 2018.</w:t>
      </w:r>
    </w:p>
    <w:p w:rsidR="00535462" w:rsidRDefault="00535462" w:rsidP="00535462">
      <w:pPr>
        <w:bidi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ED2358" w:rsidRDefault="00ED2358" w:rsidP="00ED2358">
      <w:pPr>
        <w:bidi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ED2358" w:rsidRDefault="00ED2358" w:rsidP="00ED2358">
      <w:pPr>
        <w:bidi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ED2358" w:rsidRDefault="00ED2358" w:rsidP="00ED2358">
      <w:pPr>
        <w:bidi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ED2358" w:rsidRDefault="00ED2358" w:rsidP="00ED2358">
      <w:pPr>
        <w:bidi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ED2358" w:rsidRDefault="00ED2358" w:rsidP="00ED2358">
      <w:pPr>
        <w:bidi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ED2358" w:rsidRDefault="00ED2358" w:rsidP="00ED2358">
      <w:pPr>
        <w:bidi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ED2358" w:rsidRDefault="00ED2358" w:rsidP="00ED2358">
      <w:pPr>
        <w:bidi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ED2358" w:rsidRDefault="00ED2358" w:rsidP="00ED2358">
      <w:pPr>
        <w:bidi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ED2358" w:rsidRPr="00621B79" w:rsidRDefault="00ED2358" w:rsidP="00ED2358">
      <w:pPr>
        <w:bidi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A03156" w:rsidRPr="00621B79" w:rsidRDefault="00A03156" w:rsidP="0008497B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621B7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المصادر: </w:t>
      </w:r>
    </w:p>
    <w:p w:rsidR="00A03156" w:rsidRPr="00621B79" w:rsidRDefault="00C802BE" w:rsidP="00C802BE">
      <w:pPr>
        <w:pStyle w:val="ListParagraph"/>
        <w:numPr>
          <w:ilvl w:val="0"/>
          <w:numId w:val="9"/>
        </w:numPr>
        <w:bidi/>
        <w:ind w:left="270" w:hanging="284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621B7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الجهاز المركزي للإحصاء الفلسطيني، 2019. </w:t>
      </w:r>
      <w:r w:rsidRPr="00621B79">
        <w:rPr>
          <w:rFonts w:ascii="Simplified Arabic" w:hAnsi="Simplified Arabic" w:cs="Simplified Arabic"/>
          <w:sz w:val="24"/>
          <w:szCs w:val="24"/>
          <w:rtl/>
        </w:rPr>
        <w:t xml:space="preserve">قاعدة بيانات المسح الشامل للمراكز الثقافية والمسارح والمتاحف، 2018. رام الله </w:t>
      </w:r>
      <w:r w:rsidR="00175C9B" w:rsidRPr="00621B79">
        <w:rPr>
          <w:rFonts w:ascii="Simplified Arabic" w:hAnsi="Simplified Arabic" w:cs="Simplified Arabic"/>
          <w:sz w:val="24"/>
          <w:szCs w:val="24"/>
          <w:rtl/>
        </w:rPr>
        <w:t>–</w:t>
      </w:r>
      <w:r w:rsidRPr="00621B79">
        <w:rPr>
          <w:rFonts w:ascii="Simplified Arabic" w:hAnsi="Simplified Arabic" w:cs="Simplified Arabic"/>
          <w:sz w:val="24"/>
          <w:szCs w:val="24"/>
          <w:rtl/>
        </w:rPr>
        <w:t xml:space="preserve"> فلسطين</w:t>
      </w:r>
    </w:p>
    <w:p w:rsidR="00ED2358" w:rsidRPr="00ED2358" w:rsidRDefault="00175C9B" w:rsidP="00175C9B">
      <w:pPr>
        <w:pStyle w:val="ListParagraph"/>
        <w:numPr>
          <w:ilvl w:val="0"/>
          <w:numId w:val="9"/>
        </w:numPr>
        <w:bidi/>
        <w:ind w:left="270" w:hanging="284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621B7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وزارة الثقافة، 2019. </w:t>
      </w:r>
      <w:r w:rsidR="000B7561" w:rsidRPr="00621B79">
        <w:rPr>
          <w:rFonts w:ascii="Simplified Arabic" w:hAnsi="Simplified Arabic" w:cs="Simplified Arabic"/>
          <w:sz w:val="24"/>
          <w:szCs w:val="24"/>
          <w:rtl/>
        </w:rPr>
        <w:t>الإدارة العامة للتخطيط وإدارة المشاريع، قاعدة بيانات السجلات الإدارية</w:t>
      </w:r>
      <w:r w:rsidR="00716F52" w:rsidRPr="00621B79">
        <w:rPr>
          <w:rFonts w:ascii="Simplified Arabic" w:hAnsi="Simplified Arabic" w:cs="Simplified Arabic"/>
          <w:sz w:val="24"/>
          <w:szCs w:val="24"/>
          <w:rtl/>
        </w:rPr>
        <w:t>، 2018</w:t>
      </w:r>
      <w:r w:rsidR="000B7561" w:rsidRPr="00621B79">
        <w:rPr>
          <w:rFonts w:ascii="Simplified Arabic" w:hAnsi="Simplified Arabic" w:cs="Simplified Arabic"/>
          <w:sz w:val="24"/>
          <w:szCs w:val="24"/>
          <w:rtl/>
        </w:rPr>
        <w:t xml:space="preserve">. رام الله </w:t>
      </w:r>
      <w:proofErr w:type="spellStart"/>
      <w:r w:rsidR="00ED2358">
        <w:rPr>
          <w:rFonts w:ascii="Simplified Arabic" w:hAnsi="Simplified Arabic" w:cs="Simplified Arabic"/>
          <w:sz w:val="24"/>
          <w:szCs w:val="24"/>
          <w:rtl/>
        </w:rPr>
        <w:t>–</w:t>
      </w:r>
      <w:proofErr w:type="spellEnd"/>
      <w:r w:rsidR="000B7561" w:rsidRPr="00621B79">
        <w:rPr>
          <w:rFonts w:ascii="Simplified Arabic" w:hAnsi="Simplified Arabic" w:cs="Simplified Arabic"/>
          <w:sz w:val="24"/>
          <w:szCs w:val="24"/>
          <w:rtl/>
        </w:rPr>
        <w:t xml:space="preserve"> فلسطين</w:t>
      </w:r>
    </w:p>
    <w:p w:rsidR="00ED2358" w:rsidRDefault="00ED2358" w:rsidP="00ED2358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ED2358" w:rsidRDefault="00ED2358" w:rsidP="00ED2358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ED2358" w:rsidRDefault="00ED2358" w:rsidP="00ED2358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ED2358" w:rsidRDefault="00ED2358" w:rsidP="00ED2358">
      <w:pPr>
        <w:bidi/>
        <w:jc w:val="both"/>
        <w:rPr>
          <w:rFonts w:ascii="Simplified Arabic" w:hAnsi="Simplified Arabic" w:cs="Simplified Arabic"/>
          <w:sz w:val="24"/>
          <w:szCs w:val="24"/>
        </w:rPr>
      </w:pPr>
    </w:p>
    <w:p w:rsidR="00ED2358" w:rsidRDefault="00ED2358" w:rsidP="00ED2358">
      <w:pPr>
        <w:bidi/>
        <w:jc w:val="center"/>
        <w:rPr>
          <w:rFonts w:ascii="Simplified Arabic" w:hAnsi="Simplified Arabic" w:cs="Simplified Arabic"/>
          <w:sz w:val="24"/>
          <w:szCs w:val="24"/>
        </w:rPr>
      </w:pPr>
      <w:r w:rsidRPr="00ED2358">
        <w:rPr>
          <w:rFonts w:ascii="Simplified Arabic" w:hAnsi="Simplified Arabic" w:cs="Simplified Arabic"/>
          <w:noProof/>
          <w:sz w:val="24"/>
          <w:szCs w:val="24"/>
          <w:rtl/>
        </w:rPr>
        <w:drawing>
          <wp:inline distT="0" distB="0" distL="0" distR="0">
            <wp:extent cx="914400" cy="933450"/>
            <wp:effectExtent l="19050" t="0" r="0" b="0"/>
            <wp:docPr id="10" name="Picture 2" descr="cid:image006.jpg@01D4D4C2.37FF5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6.jpg@01D4D4C2.37FF50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2358">
        <w:rPr>
          <w:rFonts w:ascii="Simplified Arabic" w:hAnsi="Simplified Arabic" w:cs="Simplified Arabic" w:hint="cs"/>
          <w:noProof/>
          <w:sz w:val="24"/>
          <w:szCs w:val="24"/>
          <w:rtl/>
        </w:rPr>
        <w:drawing>
          <wp:inline distT="0" distB="0" distL="0" distR="0">
            <wp:extent cx="847725" cy="1057275"/>
            <wp:effectExtent l="19050" t="0" r="9525" b="0"/>
            <wp:docPr id="11" name="Picture 0" descr="jad-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d-sign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334" cy="106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C9B" w:rsidRPr="00ED2358" w:rsidRDefault="000B7561" w:rsidP="00ED2358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ED2358">
        <w:rPr>
          <w:rFonts w:ascii="Simplified Arabic" w:hAnsi="Simplified Arabic" w:cs="Simplified Arabic"/>
          <w:sz w:val="24"/>
          <w:szCs w:val="24"/>
        </w:rPr>
        <w:t> </w:t>
      </w:r>
    </w:p>
    <w:p w:rsidR="006B14BC" w:rsidRDefault="006B14BC" w:rsidP="006B14BC">
      <w:pPr>
        <w:pStyle w:val="ListParagraph"/>
        <w:bidi/>
        <w:ind w:left="270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FE131E" w:rsidRPr="00621B79" w:rsidRDefault="00FE131E" w:rsidP="00FE131E">
      <w:pPr>
        <w:pStyle w:val="ListParagraph"/>
        <w:bidi/>
        <w:ind w:left="270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6A7B65" w:rsidRPr="00621B79" w:rsidRDefault="006A7B65" w:rsidP="00E601A6">
      <w:pPr>
        <w:pStyle w:val="BodyText"/>
        <w:tabs>
          <w:tab w:val="left" w:pos="-77"/>
        </w:tabs>
        <w:jc w:val="both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sectPr w:rsidR="006A7B65" w:rsidRPr="00621B79" w:rsidSect="00FE131E">
      <w:headerReference w:type="default" r:id="rId12"/>
      <w:footerReference w:type="even" r:id="rId13"/>
      <w:footerReference w:type="default" r:id="rId14"/>
      <w:endnotePr>
        <w:numFmt w:val="lowerLetter"/>
      </w:endnotePr>
      <w:pgSz w:w="11909" w:h="16834" w:code="9"/>
      <w:pgMar w:top="453" w:right="720" w:bottom="720" w:left="720" w:header="1" w:footer="567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22A" w:rsidRDefault="0085422A">
      <w:r>
        <w:separator/>
      </w:r>
    </w:p>
  </w:endnote>
  <w:endnote w:type="continuationSeparator" w:id="0">
    <w:p w:rsidR="0085422A" w:rsidRDefault="00854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812" w:rsidRDefault="009213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281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2812" w:rsidRDefault="00B4281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-2100820782"/>
      <w:docPartObj>
        <w:docPartGallery w:val="Page Numbers (Bottom of Page)"/>
        <w:docPartUnique/>
      </w:docPartObj>
    </w:sdtPr>
    <w:sdtContent>
      <w:p w:rsidR="00ED2358" w:rsidRPr="00ED2358" w:rsidRDefault="0092135C">
        <w:pPr>
          <w:pStyle w:val="Footer"/>
          <w:jc w:val="center"/>
          <w:rPr>
            <w:sz w:val="24"/>
            <w:szCs w:val="24"/>
          </w:rPr>
        </w:pPr>
        <w:r w:rsidRPr="00ED2358">
          <w:rPr>
            <w:sz w:val="24"/>
            <w:szCs w:val="24"/>
          </w:rPr>
          <w:fldChar w:fldCharType="begin"/>
        </w:r>
        <w:r w:rsidR="00ED2358" w:rsidRPr="00ED2358">
          <w:rPr>
            <w:sz w:val="24"/>
            <w:szCs w:val="24"/>
          </w:rPr>
          <w:instrText xml:space="preserve"> PAGE   \* MERGEFORMAT </w:instrText>
        </w:r>
        <w:r w:rsidRPr="00ED2358">
          <w:rPr>
            <w:sz w:val="24"/>
            <w:szCs w:val="24"/>
          </w:rPr>
          <w:fldChar w:fldCharType="separate"/>
        </w:r>
        <w:r w:rsidR="007C6DAB">
          <w:rPr>
            <w:noProof/>
            <w:sz w:val="24"/>
            <w:szCs w:val="24"/>
          </w:rPr>
          <w:t>1</w:t>
        </w:r>
        <w:r w:rsidRPr="00ED2358">
          <w:rPr>
            <w:sz w:val="24"/>
            <w:szCs w:val="24"/>
          </w:rPr>
          <w:fldChar w:fldCharType="end"/>
        </w:r>
      </w:p>
    </w:sdtContent>
  </w:sdt>
  <w:p w:rsidR="00ED2358" w:rsidRPr="00ED2358" w:rsidRDefault="00ED2358">
    <w:pPr>
      <w:pStyle w:val="Footer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22A" w:rsidRDefault="0085422A">
      <w:r>
        <w:separator/>
      </w:r>
    </w:p>
  </w:footnote>
  <w:footnote w:type="continuationSeparator" w:id="0">
    <w:p w:rsidR="0085422A" w:rsidRDefault="0085422A">
      <w:r>
        <w:continuationSeparator/>
      </w:r>
    </w:p>
  </w:footnote>
  <w:footnote w:id="1">
    <w:p w:rsidR="00D825CF" w:rsidRPr="00D825CF" w:rsidRDefault="00D825CF" w:rsidP="00ED1A64">
      <w:pPr>
        <w:pStyle w:val="FootnoteText"/>
        <w:bidi/>
        <w:rPr>
          <w:rFonts w:ascii="Simplified Arabic" w:hAnsi="Simplified Arabic" w:cs="Simplified Arabic"/>
          <w:sz w:val="16"/>
          <w:szCs w:val="16"/>
          <w:rtl/>
        </w:rPr>
      </w:pPr>
      <w:r w:rsidRPr="00D825CF">
        <w:rPr>
          <w:rStyle w:val="FootnoteReference"/>
          <w:rFonts w:ascii="Simplified Arabic" w:hAnsi="Simplified Arabic" w:cs="Simplified Arabic"/>
          <w:sz w:val="16"/>
          <w:szCs w:val="16"/>
        </w:rPr>
        <w:footnoteRef/>
      </w:r>
      <w:r w:rsidRPr="00D825CF">
        <w:rPr>
          <w:rFonts w:ascii="Simplified Arabic" w:hAnsi="Simplified Arabic" w:cs="Simplified Arabic"/>
          <w:sz w:val="16"/>
          <w:szCs w:val="16"/>
        </w:rPr>
        <w:t xml:space="preserve"> </w:t>
      </w:r>
      <w:r w:rsidRPr="00D825CF">
        <w:rPr>
          <w:rFonts w:ascii="Simplified Arabic" w:hAnsi="Simplified Arabic" w:cs="Simplified Arabic"/>
          <w:sz w:val="16"/>
          <w:szCs w:val="16"/>
          <w:rtl/>
        </w:rPr>
        <w:t xml:space="preserve"> </w:t>
      </w:r>
      <w:r w:rsidR="00ED1A64">
        <w:rPr>
          <w:rFonts w:ascii="Simplified Arabic" w:hAnsi="Simplified Arabic" w:cs="Simplified Arabic" w:hint="cs"/>
          <w:sz w:val="16"/>
          <w:szCs w:val="16"/>
          <w:rtl/>
        </w:rPr>
        <w:t>بلغت نسبة الرفض حوالي 4% من مجموع المراكز الثقافية العاملة في الأعوام 2011، 2014، 2017، 2018</w:t>
      </w:r>
    </w:p>
  </w:footnote>
  <w:footnote w:id="2">
    <w:p w:rsidR="00B42812" w:rsidRPr="0034559A" w:rsidRDefault="00B42812" w:rsidP="0034559A">
      <w:pPr>
        <w:pStyle w:val="FootnoteText"/>
        <w:bidi/>
        <w:rPr>
          <w:rFonts w:ascii="Simplified Arabic" w:hAnsi="Simplified Arabic" w:cs="Simplified Arabic"/>
          <w:sz w:val="16"/>
          <w:szCs w:val="16"/>
          <w:rtl/>
        </w:rPr>
      </w:pPr>
      <w:r w:rsidRPr="0034559A">
        <w:rPr>
          <w:rStyle w:val="FootnoteReference"/>
          <w:rFonts w:ascii="Simplified Arabic" w:hAnsi="Simplified Arabic" w:cs="Simplified Arabic"/>
          <w:sz w:val="16"/>
          <w:szCs w:val="16"/>
        </w:rPr>
        <w:footnoteRef/>
      </w:r>
      <w:r w:rsidRPr="0034559A">
        <w:rPr>
          <w:rFonts w:ascii="Simplified Arabic" w:hAnsi="Simplified Arabic" w:cs="Simplified Arabic"/>
          <w:sz w:val="16"/>
          <w:szCs w:val="16"/>
        </w:rPr>
        <w:t xml:space="preserve"> </w:t>
      </w:r>
      <w:r w:rsidRPr="0034559A">
        <w:rPr>
          <w:rFonts w:ascii="Simplified Arabic" w:hAnsi="Simplified Arabic" w:cs="Simplified Arabic"/>
          <w:sz w:val="16"/>
          <w:szCs w:val="16"/>
          <w:rtl/>
        </w:rPr>
        <w:t xml:space="preserve"> بيانات محافظة القدس مشمولة ضمن بيانات الضفة الغربية الواردة في البيان.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B79" w:rsidRDefault="00621B79" w:rsidP="00621B79">
    <w:pPr>
      <w:pStyle w:val="Header"/>
      <w:tabs>
        <w:tab w:val="left" w:pos="397"/>
        <w:tab w:val="left" w:pos="3754"/>
        <w:tab w:val="center" w:pos="5103"/>
      </w:tabs>
      <w:bidi/>
      <w:rPr>
        <w:rFonts w:cs="Simplified Arabic"/>
        <w:b/>
        <w:bCs/>
        <w:sz w:val="24"/>
        <w:szCs w:val="24"/>
        <w:rtl/>
      </w:rPr>
    </w:pPr>
    <w:r>
      <w:rPr>
        <w:rFonts w:cs="Simplified Arabic"/>
        <w:b/>
        <w:bCs/>
        <w:sz w:val="24"/>
        <w:szCs w:val="24"/>
        <w:rtl/>
      </w:rPr>
      <w:tab/>
    </w:r>
  </w:p>
  <w:p w:rsidR="00B42812" w:rsidRPr="00FF7478" w:rsidRDefault="00B42812" w:rsidP="00E60702">
    <w:pPr>
      <w:pStyle w:val="Header"/>
      <w:tabs>
        <w:tab w:val="clear" w:pos="8306"/>
        <w:tab w:val="left" w:pos="397"/>
        <w:tab w:val="center" w:pos="5103"/>
        <w:tab w:val="left" w:pos="7795"/>
      </w:tabs>
      <w:bidi/>
      <w:ind w:right="-426"/>
      <w:rPr>
        <w:rFonts w:cs="Simplified Arabic"/>
        <w:b/>
        <w:bCs/>
        <w:sz w:val="6"/>
        <w:szCs w:val="6"/>
        <w:rtl/>
      </w:rPr>
    </w:pPr>
    <w:r w:rsidRPr="00FF7478">
      <w:rPr>
        <w:rFonts w:cs="Simplified Arabic"/>
        <w:b/>
        <w:bCs/>
        <w:sz w:val="24"/>
        <w:szCs w:val="24"/>
        <w:rtl/>
      </w:rPr>
      <w:tab/>
    </w:r>
    <w:r w:rsidRPr="00FF7478">
      <w:rPr>
        <w:rFonts w:cs="Simplified Arabic"/>
        <w:b/>
        <w:bCs/>
        <w:sz w:val="24"/>
        <w:szCs w:val="24"/>
        <w:rtl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3B9B"/>
    <w:multiLevelType w:val="hybridMultilevel"/>
    <w:tmpl w:val="ADB0E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22AA08F9"/>
    <w:multiLevelType w:val="hybridMultilevel"/>
    <w:tmpl w:val="BADE858A"/>
    <w:lvl w:ilvl="0" w:tplc="80F6FD6C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color w:val="auto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22AA0F0E"/>
    <w:multiLevelType w:val="hybridMultilevel"/>
    <w:tmpl w:val="990001FE"/>
    <w:lvl w:ilvl="0" w:tplc="04090001">
      <w:start w:val="1"/>
      <w:numFmt w:val="bullet"/>
      <w:lvlText w:val=""/>
      <w:lvlJc w:val="left"/>
      <w:pPr>
        <w:tabs>
          <w:tab w:val="num" w:pos="719"/>
        </w:tabs>
        <w:ind w:left="719" w:righ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9"/>
        </w:tabs>
        <w:ind w:left="1439" w:right="14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righ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righ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right="35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righ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righ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right="57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right="6479" w:hanging="360"/>
      </w:pPr>
      <w:rPr>
        <w:rFonts w:ascii="Wingdings" w:hAnsi="Wingdings" w:hint="default"/>
      </w:rPr>
    </w:lvl>
  </w:abstractNum>
  <w:abstractNum w:abstractNumId="3">
    <w:nsid w:val="299F62CC"/>
    <w:multiLevelType w:val="hybridMultilevel"/>
    <w:tmpl w:val="FD3EC5A4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58F87AD8"/>
    <w:multiLevelType w:val="hybridMultilevel"/>
    <w:tmpl w:val="E63C509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60C079FC"/>
    <w:multiLevelType w:val="hybridMultilevel"/>
    <w:tmpl w:val="099AB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>
    <w:nsid w:val="63DB2263"/>
    <w:multiLevelType w:val="hybridMultilevel"/>
    <w:tmpl w:val="1A8CEA94"/>
    <w:lvl w:ilvl="0" w:tplc="DDC215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C39D8"/>
    <w:multiLevelType w:val="hybridMultilevel"/>
    <w:tmpl w:val="AAC86362"/>
    <w:lvl w:ilvl="0" w:tplc="04090001">
      <w:start w:val="1"/>
      <w:numFmt w:val="bullet"/>
      <w:lvlText w:val=""/>
      <w:lvlJc w:val="left"/>
      <w:pPr>
        <w:tabs>
          <w:tab w:val="num" w:pos="719"/>
        </w:tabs>
        <w:ind w:left="719" w:righ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9"/>
        </w:tabs>
        <w:ind w:left="1439" w:right="14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righ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righ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right="35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righ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righ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right="57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right="6479" w:hanging="360"/>
      </w:pPr>
      <w:rPr>
        <w:rFonts w:ascii="Wingdings" w:hAnsi="Wingdings" w:hint="default"/>
      </w:rPr>
    </w:lvl>
  </w:abstractNum>
  <w:abstractNum w:abstractNumId="8">
    <w:nsid w:val="7ED20902"/>
    <w:multiLevelType w:val="hybridMultilevel"/>
    <w:tmpl w:val="7B503B02"/>
    <w:lvl w:ilvl="0" w:tplc="04090001">
      <w:start w:val="1"/>
      <w:numFmt w:val="bullet"/>
      <w:lvlText w:val=""/>
      <w:lvlJc w:val="left"/>
      <w:pPr>
        <w:tabs>
          <w:tab w:val="num" w:pos="719"/>
        </w:tabs>
        <w:ind w:left="719" w:righ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9"/>
        </w:tabs>
        <w:ind w:left="1439" w:right="14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righ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righ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right="35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righ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righ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right="57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right="64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</w:compat>
  <w:rsids>
    <w:rsidRoot w:val="00E73C85"/>
    <w:rsid w:val="000006CC"/>
    <w:rsid w:val="000014BF"/>
    <w:rsid w:val="00004592"/>
    <w:rsid w:val="000155AC"/>
    <w:rsid w:val="000160C6"/>
    <w:rsid w:val="000173A0"/>
    <w:rsid w:val="00021FB1"/>
    <w:rsid w:val="00024B89"/>
    <w:rsid w:val="000325A5"/>
    <w:rsid w:val="000372E4"/>
    <w:rsid w:val="00037F3F"/>
    <w:rsid w:val="00040345"/>
    <w:rsid w:val="0004416E"/>
    <w:rsid w:val="00061E46"/>
    <w:rsid w:val="00061E57"/>
    <w:rsid w:val="00063D6B"/>
    <w:rsid w:val="00072429"/>
    <w:rsid w:val="000738E4"/>
    <w:rsid w:val="00080996"/>
    <w:rsid w:val="00082322"/>
    <w:rsid w:val="000831D4"/>
    <w:rsid w:val="00084654"/>
    <w:rsid w:val="0008497B"/>
    <w:rsid w:val="00086825"/>
    <w:rsid w:val="00087016"/>
    <w:rsid w:val="00094E99"/>
    <w:rsid w:val="000A1BB2"/>
    <w:rsid w:val="000A6978"/>
    <w:rsid w:val="000B115E"/>
    <w:rsid w:val="000B69AC"/>
    <w:rsid w:val="000B6CBB"/>
    <w:rsid w:val="000B7561"/>
    <w:rsid w:val="000C61B4"/>
    <w:rsid w:val="000D1EB5"/>
    <w:rsid w:val="000E1DA6"/>
    <w:rsid w:val="000E3CF4"/>
    <w:rsid w:val="000E7AC5"/>
    <w:rsid w:val="001050F5"/>
    <w:rsid w:val="00107643"/>
    <w:rsid w:val="0010795A"/>
    <w:rsid w:val="00112D33"/>
    <w:rsid w:val="00113A43"/>
    <w:rsid w:val="00116178"/>
    <w:rsid w:val="001321FA"/>
    <w:rsid w:val="00143A73"/>
    <w:rsid w:val="00147EB4"/>
    <w:rsid w:val="001600DB"/>
    <w:rsid w:val="00170336"/>
    <w:rsid w:val="001713F1"/>
    <w:rsid w:val="001719F8"/>
    <w:rsid w:val="00172F2A"/>
    <w:rsid w:val="001730BD"/>
    <w:rsid w:val="00175805"/>
    <w:rsid w:val="00175C9B"/>
    <w:rsid w:val="001821C7"/>
    <w:rsid w:val="001824F5"/>
    <w:rsid w:val="00183511"/>
    <w:rsid w:val="00186269"/>
    <w:rsid w:val="00190E4A"/>
    <w:rsid w:val="001930A6"/>
    <w:rsid w:val="001956A8"/>
    <w:rsid w:val="00195C06"/>
    <w:rsid w:val="001A1AAE"/>
    <w:rsid w:val="001A33C0"/>
    <w:rsid w:val="001B0255"/>
    <w:rsid w:val="001B6292"/>
    <w:rsid w:val="001C25E1"/>
    <w:rsid w:val="001C5ABF"/>
    <w:rsid w:val="001D2B6D"/>
    <w:rsid w:val="001E2EEF"/>
    <w:rsid w:val="001F44A0"/>
    <w:rsid w:val="001F46A8"/>
    <w:rsid w:val="001F6319"/>
    <w:rsid w:val="001F7D75"/>
    <w:rsid w:val="002126E0"/>
    <w:rsid w:val="00215AED"/>
    <w:rsid w:val="00217FD3"/>
    <w:rsid w:val="0022551A"/>
    <w:rsid w:val="00233ABC"/>
    <w:rsid w:val="002350BD"/>
    <w:rsid w:val="00243377"/>
    <w:rsid w:val="002451D5"/>
    <w:rsid w:val="00254CB6"/>
    <w:rsid w:val="002654E8"/>
    <w:rsid w:val="0027589B"/>
    <w:rsid w:val="002768D1"/>
    <w:rsid w:val="002837C2"/>
    <w:rsid w:val="00292CF1"/>
    <w:rsid w:val="002956D0"/>
    <w:rsid w:val="002A7859"/>
    <w:rsid w:val="002B27E2"/>
    <w:rsid w:val="002B2C30"/>
    <w:rsid w:val="002B2EE3"/>
    <w:rsid w:val="002C12C6"/>
    <w:rsid w:val="002C6089"/>
    <w:rsid w:val="002C6C1C"/>
    <w:rsid w:val="002D2132"/>
    <w:rsid w:val="002D5B62"/>
    <w:rsid w:val="002D6502"/>
    <w:rsid w:val="002E189B"/>
    <w:rsid w:val="002E7F22"/>
    <w:rsid w:val="002F72CB"/>
    <w:rsid w:val="00304147"/>
    <w:rsid w:val="00317407"/>
    <w:rsid w:val="00323A77"/>
    <w:rsid w:val="003273B3"/>
    <w:rsid w:val="0032766C"/>
    <w:rsid w:val="00327ED7"/>
    <w:rsid w:val="00335BCC"/>
    <w:rsid w:val="003430F3"/>
    <w:rsid w:val="0034412A"/>
    <w:rsid w:val="0034559A"/>
    <w:rsid w:val="0035146E"/>
    <w:rsid w:val="00354D57"/>
    <w:rsid w:val="00357223"/>
    <w:rsid w:val="003655B7"/>
    <w:rsid w:val="003733A6"/>
    <w:rsid w:val="003769FD"/>
    <w:rsid w:val="00385400"/>
    <w:rsid w:val="00387AE4"/>
    <w:rsid w:val="003925B6"/>
    <w:rsid w:val="003947AE"/>
    <w:rsid w:val="00395601"/>
    <w:rsid w:val="003979BF"/>
    <w:rsid w:val="003B176F"/>
    <w:rsid w:val="003B1DF1"/>
    <w:rsid w:val="003B409B"/>
    <w:rsid w:val="003B75E7"/>
    <w:rsid w:val="003E3009"/>
    <w:rsid w:val="003E46B9"/>
    <w:rsid w:val="003F1AA6"/>
    <w:rsid w:val="003F1CF5"/>
    <w:rsid w:val="003F6144"/>
    <w:rsid w:val="004204DE"/>
    <w:rsid w:val="00432D50"/>
    <w:rsid w:val="004334CF"/>
    <w:rsid w:val="004335D7"/>
    <w:rsid w:val="00437A54"/>
    <w:rsid w:val="00440060"/>
    <w:rsid w:val="0044182E"/>
    <w:rsid w:val="00442B7A"/>
    <w:rsid w:val="00444EEC"/>
    <w:rsid w:val="00465E3A"/>
    <w:rsid w:val="00472705"/>
    <w:rsid w:val="004735A7"/>
    <w:rsid w:val="00480C9E"/>
    <w:rsid w:val="00481DC8"/>
    <w:rsid w:val="0048262E"/>
    <w:rsid w:val="004829F8"/>
    <w:rsid w:val="00490F57"/>
    <w:rsid w:val="004968CE"/>
    <w:rsid w:val="004A1453"/>
    <w:rsid w:val="004A71E3"/>
    <w:rsid w:val="004B2FBF"/>
    <w:rsid w:val="004B447E"/>
    <w:rsid w:val="004C0F7A"/>
    <w:rsid w:val="004C1539"/>
    <w:rsid w:val="004C1576"/>
    <w:rsid w:val="004C50C3"/>
    <w:rsid w:val="004D0CD1"/>
    <w:rsid w:val="004D5344"/>
    <w:rsid w:val="004E2772"/>
    <w:rsid w:val="004E2AA7"/>
    <w:rsid w:val="004E3CC2"/>
    <w:rsid w:val="004E5F3D"/>
    <w:rsid w:val="004E6199"/>
    <w:rsid w:val="004F13AC"/>
    <w:rsid w:val="004F2885"/>
    <w:rsid w:val="004F5855"/>
    <w:rsid w:val="004F59C5"/>
    <w:rsid w:val="004F6FEB"/>
    <w:rsid w:val="00504812"/>
    <w:rsid w:val="005104AB"/>
    <w:rsid w:val="00513A3E"/>
    <w:rsid w:val="0051480E"/>
    <w:rsid w:val="00517904"/>
    <w:rsid w:val="00521155"/>
    <w:rsid w:val="00525E94"/>
    <w:rsid w:val="00526F70"/>
    <w:rsid w:val="005308B3"/>
    <w:rsid w:val="00535462"/>
    <w:rsid w:val="00546CEF"/>
    <w:rsid w:val="005470AB"/>
    <w:rsid w:val="005660B9"/>
    <w:rsid w:val="00572801"/>
    <w:rsid w:val="00574212"/>
    <w:rsid w:val="00581391"/>
    <w:rsid w:val="00590923"/>
    <w:rsid w:val="00591CD4"/>
    <w:rsid w:val="00594A95"/>
    <w:rsid w:val="005A03AF"/>
    <w:rsid w:val="005A5711"/>
    <w:rsid w:val="005B244F"/>
    <w:rsid w:val="005C0960"/>
    <w:rsid w:val="005C5582"/>
    <w:rsid w:val="005C729C"/>
    <w:rsid w:val="005C76EE"/>
    <w:rsid w:val="005D24F5"/>
    <w:rsid w:val="005D6BCE"/>
    <w:rsid w:val="005D6BF0"/>
    <w:rsid w:val="005D7EA8"/>
    <w:rsid w:val="005E5AEF"/>
    <w:rsid w:val="005E69F1"/>
    <w:rsid w:val="005F1C5D"/>
    <w:rsid w:val="00601C0B"/>
    <w:rsid w:val="0060216D"/>
    <w:rsid w:val="00605185"/>
    <w:rsid w:val="00620BC6"/>
    <w:rsid w:val="00620E60"/>
    <w:rsid w:val="00621B79"/>
    <w:rsid w:val="00622025"/>
    <w:rsid w:val="00622911"/>
    <w:rsid w:val="006243E6"/>
    <w:rsid w:val="006307FD"/>
    <w:rsid w:val="00631979"/>
    <w:rsid w:val="00635747"/>
    <w:rsid w:val="00640556"/>
    <w:rsid w:val="00642146"/>
    <w:rsid w:val="006426C7"/>
    <w:rsid w:val="00642CF2"/>
    <w:rsid w:val="00652169"/>
    <w:rsid w:val="00652484"/>
    <w:rsid w:val="00654065"/>
    <w:rsid w:val="0067133B"/>
    <w:rsid w:val="00675FC0"/>
    <w:rsid w:val="006839AB"/>
    <w:rsid w:val="00696386"/>
    <w:rsid w:val="006A423C"/>
    <w:rsid w:val="006A5465"/>
    <w:rsid w:val="006A7B65"/>
    <w:rsid w:val="006B14BC"/>
    <w:rsid w:val="006B2490"/>
    <w:rsid w:val="006B3189"/>
    <w:rsid w:val="006B4DF2"/>
    <w:rsid w:val="006B5EAC"/>
    <w:rsid w:val="006C7FBB"/>
    <w:rsid w:val="006D594C"/>
    <w:rsid w:val="006D5CBC"/>
    <w:rsid w:val="006E04AC"/>
    <w:rsid w:val="006E082F"/>
    <w:rsid w:val="006F310E"/>
    <w:rsid w:val="006F3620"/>
    <w:rsid w:val="00702D49"/>
    <w:rsid w:val="00707664"/>
    <w:rsid w:val="00715307"/>
    <w:rsid w:val="00715769"/>
    <w:rsid w:val="00716F52"/>
    <w:rsid w:val="007351A5"/>
    <w:rsid w:val="007525A7"/>
    <w:rsid w:val="00752A29"/>
    <w:rsid w:val="00753FE7"/>
    <w:rsid w:val="00754003"/>
    <w:rsid w:val="00755DFE"/>
    <w:rsid w:val="00760F55"/>
    <w:rsid w:val="00762921"/>
    <w:rsid w:val="007673A1"/>
    <w:rsid w:val="0077087F"/>
    <w:rsid w:val="007725FD"/>
    <w:rsid w:val="0077404C"/>
    <w:rsid w:val="0077507D"/>
    <w:rsid w:val="00783BF7"/>
    <w:rsid w:val="0078526A"/>
    <w:rsid w:val="00793283"/>
    <w:rsid w:val="007939E2"/>
    <w:rsid w:val="007946E6"/>
    <w:rsid w:val="007A0ACB"/>
    <w:rsid w:val="007A1D08"/>
    <w:rsid w:val="007A42B0"/>
    <w:rsid w:val="007A7605"/>
    <w:rsid w:val="007C2A3D"/>
    <w:rsid w:val="007C6DAB"/>
    <w:rsid w:val="007D03F2"/>
    <w:rsid w:val="007D5619"/>
    <w:rsid w:val="007D7557"/>
    <w:rsid w:val="007E5B79"/>
    <w:rsid w:val="007F11B5"/>
    <w:rsid w:val="007F1306"/>
    <w:rsid w:val="007F1710"/>
    <w:rsid w:val="007F7BB1"/>
    <w:rsid w:val="00810573"/>
    <w:rsid w:val="00810AB8"/>
    <w:rsid w:val="00814F40"/>
    <w:rsid w:val="00815253"/>
    <w:rsid w:val="008166A1"/>
    <w:rsid w:val="00816C1A"/>
    <w:rsid w:val="008230D0"/>
    <w:rsid w:val="00824AD5"/>
    <w:rsid w:val="00832788"/>
    <w:rsid w:val="0083365D"/>
    <w:rsid w:val="00836185"/>
    <w:rsid w:val="00842135"/>
    <w:rsid w:val="00842CC8"/>
    <w:rsid w:val="00843353"/>
    <w:rsid w:val="00843433"/>
    <w:rsid w:val="00845A4E"/>
    <w:rsid w:val="008467D0"/>
    <w:rsid w:val="0085304B"/>
    <w:rsid w:val="0085422A"/>
    <w:rsid w:val="0086629F"/>
    <w:rsid w:val="0087202C"/>
    <w:rsid w:val="00875371"/>
    <w:rsid w:val="0087610A"/>
    <w:rsid w:val="00883CE9"/>
    <w:rsid w:val="008901B5"/>
    <w:rsid w:val="00890F40"/>
    <w:rsid w:val="008B205A"/>
    <w:rsid w:val="008B2ED8"/>
    <w:rsid w:val="008B3A30"/>
    <w:rsid w:val="008B44CE"/>
    <w:rsid w:val="008C3C43"/>
    <w:rsid w:val="008D2C5B"/>
    <w:rsid w:val="008E0504"/>
    <w:rsid w:val="008E27C5"/>
    <w:rsid w:val="008F0EBB"/>
    <w:rsid w:val="008F7D61"/>
    <w:rsid w:val="0090199B"/>
    <w:rsid w:val="00907150"/>
    <w:rsid w:val="00907B35"/>
    <w:rsid w:val="00912957"/>
    <w:rsid w:val="009173FE"/>
    <w:rsid w:val="00921238"/>
    <w:rsid w:val="0092135C"/>
    <w:rsid w:val="00926A7B"/>
    <w:rsid w:val="00935049"/>
    <w:rsid w:val="00937113"/>
    <w:rsid w:val="00940DD2"/>
    <w:rsid w:val="00944DF1"/>
    <w:rsid w:val="00946D5F"/>
    <w:rsid w:val="00947CB0"/>
    <w:rsid w:val="009536CF"/>
    <w:rsid w:val="009704B0"/>
    <w:rsid w:val="009848BD"/>
    <w:rsid w:val="00986036"/>
    <w:rsid w:val="009930DA"/>
    <w:rsid w:val="00993317"/>
    <w:rsid w:val="00995940"/>
    <w:rsid w:val="009A5868"/>
    <w:rsid w:val="009A761B"/>
    <w:rsid w:val="009C4A72"/>
    <w:rsid w:val="009C66B2"/>
    <w:rsid w:val="009E2C7D"/>
    <w:rsid w:val="009F5450"/>
    <w:rsid w:val="00A03156"/>
    <w:rsid w:val="00A05F33"/>
    <w:rsid w:val="00A14F59"/>
    <w:rsid w:val="00A329B9"/>
    <w:rsid w:val="00A40238"/>
    <w:rsid w:val="00A413BC"/>
    <w:rsid w:val="00A44BC4"/>
    <w:rsid w:val="00A465A4"/>
    <w:rsid w:val="00A550DC"/>
    <w:rsid w:val="00A72D47"/>
    <w:rsid w:val="00A774C2"/>
    <w:rsid w:val="00A8304C"/>
    <w:rsid w:val="00A85B09"/>
    <w:rsid w:val="00A86D20"/>
    <w:rsid w:val="00A95C48"/>
    <w:rsid w:val="00A974CB"/>
    <w:rsid w:val="00AB6FC3"/>
    <w:rsid w:val="00AC064A"/>
    <w:rsid w:val="00AC3E33"/>
    <w:rsid w:val="00AC670C"/>
    <w:rsid w:val="00AD0CFC"/>
    <w:rsid w:val="00AD4188"/>
    <w:rsid w:val="00AF6C21"/>
    <w:rsid w:val="00B20867"/>
    <w:rsid w:val="00B217E4"/>
    <w:rsid w:val="00B23C69"/>
    <w:rsid w:val="00B27158"/>
    <w:rsid w:val="00B32B44"/>
    <w:rsid w:val="00B356E1"/>
    <w:rsid w:val="00B36303"/>
    <w:rsid w:val="00B40F7E"/>
    <w:rsid w:val="00B42812"/>
    <w:rsid w:val="00B45F72"/>
    <w:rsid w:val="00B4627D"/>
    <w:rsid w:val="00B50D91"/>
    <w:rsid w:val="00B6142A"/>
    <w:rsid w:val="00B6146E"/>
    <w:rsid w:val="00B62FB9"/>
    <w:rsid w:val="00B6423A"/>
    <w:rsid w:val="00B6451F"/>
    <w:rsid w:val="00B64F08"/>
    <w:rsid w:val="00B77090"/>
    <w:rsid w:val="00B81B0A"/>
    <w:rsid w:val="00B840C1"/>
    <w:rsid w:val="00B8777A"/>
    <w:rsid w:val="00B96DF5"/>
    <w:rsid w:val="00BC0DE9"/>
    <w:rsid w:val="00BC5ECC"/>
    <w:rsid w:val="00BC5EEC"/>
    <w:rsid w:val="00BD2D86"/>
    <w:rsid w:val="00BD3615"/>
    <w:rsid w:val="00BD70F7"/>
    <w:rsid w:val="00BE09B4"/>
    <w:rsid w:val="00BE1D84"/>
    <w:rsid w:val="00BF38D6"/>
    <w:rsid w:val="00C01D0A"/>
    <w:rsid w:val="00C13267"/>
    <w:rsid w:val="00C142F2"/>
    <w:rsid w:val="00C14C1B"/>
    <w:rsid w:val="00C1582B"/>
    <w:rsid w:val="00C22BF9"/>
    <w:rsid w:val="00C22F82"/>
    <w:rsid w:val="00C2366A"/>
    <w:rsid w:val="00C257F1"/>
    <w:rsid w:val="00C30CCD"/>
    <w:rsid w:val="00C331ED"/>
    <w:rsid w:val="00C3331E"/>
    <w:rsid w:val="00C40119"/>
    <w:rsid w:val="00C40748"/>
    <w:rsid w:val="00C459D0"/>
    <w:rsid w:val="00C45DE6"/>
    <w:rsid w:val="00C47810"/>
    <w:rsid w:val="00C50BA8"/>
    <w:rsid w:val="00C517BA"/>
    <w:rsid w:val="00C55DBF"/>
    <w:rsid w:val="00C604E1"/>
    <w:rsid w:val="00C63062"/>
    <w:rsid w:val="00C64B19"/>
    <w:rsid w:val="00C715E8"/>
    <w:rsid w:val="00C802BE"/>
    <w:rsid w:val="00C83E80"/>
    <w:rsid w:val="00C86F15"/>
    <w:rsid w:val="00C97078"/>
    <w:rsid w:val="00CA113C"/>
    <w:rsid w:val="00CA327E"/>
    <w:rsid w:val="00CA69B4"/>
    <w:rsid w:val="00CA6DD1"/>
    <w:rsid w:val="00CB1E0E"/>
    <w:rsid w:val="00CC321B"/>
    <w:rsid w:val="00CC7F1C"/>
    <w:rsid w:val="00CD47A8"/>
    <w:rsid w:val="00CD485D"/>
    <w:rsid w:val="00CD5E62"/>
    <w:rsid w:val="00CE53C4"/>
    <w:rsid w:val="00CF7F5F"/>
    <w:rsid w:val="00D010B0"/>
    <w:rsid w:val="00D01BE8"/>
    <w:rsid w:val="00D116E1"/>
    <w:rsid w:val="00D15F75"/>
    <w:rsid w:val="00D2394D"/>
    <w:rsid w:val="00D444F8"/>
    <w:rsid w:val="00D50A66"/>
    <w:rsid w:val="00D50BA3"/>
    <w:rsid w:val="00D57316"/>
    <w:rsid w:val="00D61D5F"/>
    <w:rsid w:val="00D62C65"/>
    <w:rsid w:val="00D65F64"/>
    <w:rsid w:val="00D74E80"/>
    <w:rsid w:val="00D7631E"/>
    <w:rsid w:val="00D825CF"/>
    <w:rsid w:val="00D91F6E"/>
    <w:rsid w:val="00DB1602"/>
    <w:rsid w:val="00DB58AA"/>
    <w:rsid w:val="00DC1BC8"/>
    <w:rsid w:val="00DC7F28"/>
    <w:rsid w:val="00DD75F6"/>
    <w:rsid w:val="00DD7907"/>
    <w:rsid w:val="00DE2D01"/>
    <w:rsid w:val="00DE4CD6"/>
    <w:rsid w:val="00DF4615"/>
    <w:rsid w:val="00DF6C04"/>
    <w:rsid w:val="00E00E6E"/>
    <w:rsid w:val="00E01AC4"/>
    <w:rsid w:val="00E0494F"/>
    <w:rsid w:val="00E05DD7"/>
    <w:rsid w:val="00E108FA"/>
    <w:rsid w:val="00E11718"/>
    <w:rsid w:val="00E219BA"/>
    <w:rsid w:val="00E312AB"/>
    <w:rsid w:val="00E35405"/>
    <w:rsid w:val="00E3632A"/>
    <w:rsid w:val="00E403DA"/>
    <w:rsid w:val="00E50F2F"/>
    <w:rsid w:val="00E540B1"/>
    <w:rsid w:val="00E54BE6"/>
    <w:rsid w:val="00E57B23"/>
    <w:rsid w:val="00E601A6"/>
    <w:rsid w:val="00E60702"/>
    <w:rsid w:val="00E61DBC"/>
    <w:rsid w:val="00E7267E"/>
    <w:rsid w:val="00E73C85"/>
    <w:rsid w:val="00E768E4"/>
    <w:rsid w:val="00E8566F"/>
    <w:rsid w:val="00E864D9"/>
    <w:rsid w:val="00E9351D"/>
    <w:rsid w:val="00EA0880"/>
    <w:rsid w:val="00EB202E"/>
    <w:rsid w:val="00EC7F74"/>
    <w:rsid w:val="00ED1A64"/>
    <w:rsid w:val="00ED2358"/>
    <w:rsid w:val="00ED2FF6"/>
    <w:rsid w:val="00EE3400"/>
    <w:rsid w:val="00EE6500"/>
    <w:rsid w:val="00EF5A77"/>
    <w:rsid w:val="00F00C0B"/>
    <w:rsid w:val="00F02DB1"/>
    <w:rsid w:val="00F03143"/>
    <w:rsid w:val="00F04A18"/>
    <w:rsid w:val="00F055A2"/>
    <w:rsid w:val="00F14008"/>
    <w:rsid w:val="00F31BA6"/>
    <w:rsid w:val="00F3549A"/>
    <w:rsid w:val="00F36641"/>
    <w:rsid w:val="00F40607"/>
    <w:rsid w:val="00F42DC6"/>
    <w:rsid w:val="00F43DFF"/>
    <w:rsid w:val="00F50DE5"/>
    <w:rsid w:val="00F53BBE"/>
    <w:rsid w:val="00F62BF0"/>
    <w:rsid w:val="00F64561"/>
    <w:rsid w:val="00F76D39"/>
    <w:rsid w:val="00F77803"/>
    <w:rsid w:val="00F91AE5"/>
    <w:rsid w:val="00F91FE8"/>
    <w:rsid w:val="00F95CE6"/>
    <w:rsid w:val="00F97302"/>
    <w:rsid w:val="00FA0A04"/>
    <w:rsid w:val="00FA1398"/>
    <w:rsid w:val="00FA4B82"/>
    <w:rsid w:val="00FA66CB"/>
    <w:rsid w:val="00FA788B"/>
    <w:rsid w:val="00FB298D"/>
    <w:rsid w:val="00FB496A"/>
    <w:rsid w:val="00FB523C"/>
    <w:rsid w:val="00FC10EC"/>
    <w:rsid w:val="00FC3D14"/>
    <w:rsid w:val="00FD13E8"/>
    <w:rsid w:val="00FD154B"/>
    <w:rsid w:val="00FD723A"/>
    <w:rsid w:val="00FE131E"/>
    <w:rsid w:val="00FE2574"/>
    <w:rsid w:val="00FF42F1"/>
    <w:rsid w:val="00FF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F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1C5ABF"/>
    <w:pPr>
      <w:keepNext/>
      <w:bidi/>
      <w:outlineLvl w:val="0"/>
    </w:pPr>
    <w:rPr>
      <w:rFonts w:cs="Simplified Arabic"/>
      <w:sz w:val="24"/>
      <w:szCs w:val="24"/>
    </w:rPr>
  </w:style>
  <w:style w:type="paragraph" w:styleId="Heading2">
    <w:name w:val="heading 2"/>
    <w:basedOn w:val="Normal"/>
    <w:next w:val="Normal"/>
    <w:qFormat/>
    <w:rsid w:val="001C5ABF"/>
    <w:pPr>
      <w:keepNext/>
      <w:bidi/>
      <w:jc w:val="both"/>
      <w:outlineLvl w:val="1"/>
    </w:pPr>
    <w:rPr>
      <w:rFonts w:cs="Simplified Arabic"/>
      <w:b/>
      <w:bCs/>
      <w:i/>
      <w:iCs/>
      <w:sz w:val="32"/>
      <w:szCs w:val="32"/>
    </w:rPr>
  </w:style>
  <w:style w:type="paragraph" w:styleId="Heading3">
    <w:name w:val="heading 3"/>
    <w:basedOn w:val="Normal"/>
    <w:next w:val="Normal"/>
    <w:qFormat/>
    <w:rsid w:val="001C5ABF"/>
    <w:pPr>
      <w:keepNext/>
      <w:bidi/>
      <w:jc w:val="both"/>
      <w:outlineLvl w:val="2"/>
    </w:pPr>
    <w:rPr>
      <w:rFonts w:cs="Simplified Arabic"/>
      <w:b/>
      <w:bCs/>
      <w:sz w:val="32"/>
      <w:szCs w:val="32"/>
    </w:rPr>
  </w:style>
  <w:style w:type="paragraph" w:styleId="Heading4">
    <w:name w:val="heading 4"/>
    <w:basedOn w:val="Normal"/>
    <w:next w:val="Normal"/>
    <w:qFormat/>
    <w:rsid w:val="001C5ABF"/>
    <w:pPr>
      <w:keepNext/>
      <w:bidi/>
      <w:jc w:val="both"/>
      <w:outlineLvl w:val="3"/>
    </w:pPr>
    <w:rPr>
      <w:rFonts w:cs="Simplified Arabic"/>
      <w:b/>
      <w:bCs/>
      <w:sz w:val="36"/>
      <w:szCs w:val="36"/>
    </w:rPr>
  </w:style>
  <w:style w:type="paragraph" w:styleId="Heading5">
    <w:name w:val="heading 5"/>
    <w:basedOn w:val="Normal"/>
    <w:next w:val="Normal"/>
    <w:qFormat/>
    <w:rsid w:val="001C5ABF"/>
    <w:pPr>
      <w:keepNext/>
      <w:bidi/>
      <w:jc w:val="both"/>
      <w:outlineLvl w:val="4"/>
    </w:pPr>
    <w:rPr>
      <w:rFonts w:cs="Simplified Arabic"/>
      <w:b/>
      <w:bCs/>
      <w:i/>
      <w:iCs/>
      <w:sz w:val="36"/>
      <w:szCs w:val="36"/>
    </w:rPr>
  </w:style>
  <w:style w:type="paragraph" w:styleId="Heading6">
    <w:name w:val="heading 6"/>
    <w:basedOn w:val="Normal"/>
    <w:next w:val="Normal"/>
    <w:qFormat/>
    <w:rsid w:val="001C5ABF"/>
    <w:pPr>
      <w:keepNext/>
      <w:jc w:val="center"/>
      <w:outlineLvl w:val="5"/>
    </w:pPr>
    <w:rPr>
      <w:rFonts w:cs="Simplified Arabic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1C5ABF"/>
    <w:pPr>
      <w:keepNext/>
      <w:overflowPunct/>
      <w:autoSpaceDE/>
      <w:autoSpaceDN/>
      <w:bidi/>
      <w:adjustRightInd/>
      <w:jc w:val="center"/>
      <w:textAlignment w:val="auto"/>
      <w:outlineLvl w:val="6"/>
    </w:pPr>
    <w:rPr>
      <w:rFonts w:cs="Simplified Arabic"/>
      <w:b/>
      <w:bCs/>
      <w:noProof/>
      <w:szCs w:val="32"/>
    </w:rPr>
  </w:style>
  <w:style w:type="paragraph" w:styleId="Heading8">
    <w:name w:val="heading 8"/>
    <w:basedOn w:val="Normal"/>
    <w:next w:val="Normal"/>
    <w:qFormat/>
    <w:rsid w:val="001C5ABF"/>
    <w:pPr>
      <w:keepNext/>
      <w:overflowPunct/>
      <w:autoSpaceDE/>
      <w:autoSpaceDN/>
      <w:adjustRightInd/>
      <w:jc w:val="center"/>
      <w:textAlignment w:val="auto"/>
      <w:outlineLvl w:val="7"/>
    </w:pPr>
    <w:rPr>
      <w:rFonts w:cs="Traditional Arabic"/>
      <w:b/>
      <w:bCs/>
      <w:noProof/>
      <w:sz w:val="28"/>
      <w:szCs w:val="22"/>
    </w:rPr>
  </w:style>
  <w:style w:type="paragraph" w:styleId="Heading9">
    <w:name w:val="heading 9"/>
    <w:basedOn w:val="Normal"/>
    <w:next w:val="Normal"/>
    <w:qFormat/>
    <w:rsid w:val="001C5ABF"/>
    <w:pPr>
      <w:keepNext/>
      <w:overflowPunct/>
      <w:autoSpaceDE/>
      <w:autoSpaceDN/>
      <w:bidi/>
      <w:adjustRightInd/>
      <w:spacing w:line="480" w:lineRule="exact"/>
      <w:ind w:left="318"/>
      <w:jc w:val="center"/>
      <w:textAlignment w:val="auto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5AB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C5AB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semiHidden/>
    <w:rsid w:val="001C5ABF"/>
    <w:pPr>
      <w:bidi/>
      <w:jc w:val="center"/>
    </w:pPr>
    <w:rPr>
      <w:rFonts w:cs="Simplified Arabic"/>
      <w:b/>
      <w:bCs/>
      <w:sz w:val="36"/>
      <w:szCs w:val="36"/>
    </w:rPr>
  </w:style>
  <w:style w:type="paragraph" w:styleId="FootnoteText">
    <w:name w:val="footnote text"/>
    <w:basedOn w:val="Normal"/>
    <w:semiHidden/>
    <w:rsid w:val="001C5ABF"/>
  </w:style>
  <w:style w:type="character" w:styleId="FootnoteReference">
    <w:name w:val="footnote reference"/>
    <w:basedOn w:val="DefaultParagraphFont"/>
    <w:semiHidden/>
    <w:rsid w:val="001C5ABF"/>
    <w:rPr>
      <w:vertAlign w:val="superscript"/>
    </w:rPr>
  </w:style>
  <w:style w:type="paragraph" w:styleId="Title">
    <w:name w:val="Title"/>
    <w:basedOn w:val="Normal"/>
    <w:qFormat/>
    <w:rsid w:val="001C5ABF"/>
    <w:pPr>
      <w:overflowPunct/>
      <w:autoSpaceDE/>
      <w:autoSpaceDN/>
      <w:bidi/>
      <w:adjustRightInd/>
      <w:jc w:val="center"/>
      <w:textAlignment w:val="auto"/>
    </w:pPr>
    <w:rPr>
      <w:rFonts w:cs="Simplified Arabic"/>
      <w:b/>
      <w:bCs/>
      <w:noProof/>
      <w:sz w:val="32"/>
      <w:szCs w:val="28"/>
    </w:rPr>
  </w:style>
  <w:style w:type="character" w:styleId="PageNumber">
    <w:name w:val="page number"/>
    <w:basedOn w:val="DefaultParagraphFont"/>
    <w:semiHidden/>
    <w:rsid w:val="001C5ABF"/>
  </w:style>
  <w:style w:type="paragraph" w:styleId="BodyText2">
    <w:name w:val="Body Text 2"/>
    <w:basedOn w:val="Normal"/>
    <w:semiHidden/>
    <w:rsid w:val="001C5ABF"/>
    <w:pPr>
      <w:bidi/>
    </w:pPr>
    <w:rPr>
      <w:rFonts w:cs="Simplified Arabic"/>
      <w:b/>
      <w:bCs/>
      <w:i/>
      <w:iCs/>
      <w:sz w:val="28"/>
      <w:szCs w:val="28"/>
    </w:rPr>
  </w:style>
  <w:style w:type="paragraph" w:styleId="BodyText3">
    <w:name w:val="Body Text 3"/>
    <w:basedOn w:val="Normal"/>
    <w:semiHidden/>
    <w:rsid w:val="001C5ABF"/>
    <w:pPr>
      <w:bidi/>
      <w:jc w:val="lowKashida"/>
    </w:pPr>
    <w:rPr>
      <w:rFonts w:cs="Simplified Arabic"/>
      <w:sz w:val="26"/>
      <w:szCs w:val="26"/>
    </w:rPr>
  </w:style>
  <w:style w:type="paragraph" w:styleId="BodyTextIndent">
    <w:name w:val="Body Text Indent"/>
    <w:basedOn w:val="Normal"/>
    <w:semiHidden/>
    <w:rsid w:val="001C5ABF"/>
    <w:pPr>
      <w:overflowPunct/>
      <w:autoSpaceDE/>
      <w:autoSpaceDN/>
      <w:bidi/>
      <w:adjustRightInd/>
      <w:jc w:val="lowKashida"/>
      <w:textAlignment w:val="auto"/>
    </w:pPr>
    <w:rPr>
      <w:rFonts w:cs="Simplified Arabic"/>
      <w:snapToGrid w:val="0"/>
      <w:sz w:val="24"/>
    </w:rPr>
  </w:style>
  <w:style w:type="paragraph" w:styleId="Subtitle">
    <w:name w:val="Subtitle"/>
    <w:basedOn w:val="Normal"/>
    <w:qFormat/>
    <w:rsid w:val="001C5ABF"/>
    <w:pPr>
      <w:bidi/>
      <w:jc w:val="center"/>
    </w:pPr>
    <w:rPr>
      <w:rFonts w:cs="Simplified Arabic"/>
      <w:i/>
      <w:iCs/>
      <w:sz w:val="24"/>
      <w:szCs w:val="24"/>
    </w:rPr>
  </w:style>
  <w:style w:type="paragraph" w:styleId="NormalWeb">
    <w:name w:val="Normal (Web)"/>
    <w:basedOn w:val="Normal"/>
    <w:semiHidden/>
    <w:rsid w:val="001C5A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D8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430F3"/>
  </w:style>
  <w:style w:type="table" w:styleId="TableGrid">
    <w:name w:val="Table Grid"/>
    <w:basedOn w:val="TableNormal"/>
    <w:uiPriority w:val="59"/>
    <w:rsid w:val="00E60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semiHidden/>
    <w:rsid w:val="0008497B"/>
    <w:rPr>
      <w:rFonts w:cs="Simplified Arabic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C802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2957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D23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/>
      <c:barChart>
        <c:barDir val="bar"/>
        <c:grouping val="clustered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120,922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64,228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63,062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45,072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29,283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28,749</a:t>
                    </a:r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16,381</a:t>
                    </a:r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15,542</a:t>
                    </a:r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15,211</a:t>
                    </a:r>
                  </a:p>
                </c:rich>
              </c:tx>
              <c:showVal val="1"/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14,233</a:t>
                    </a:r>
                  </a:p>
                </c:rich>
              </c:tx>
              <c:showVal val="1"/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13,077</a:t>
                    </a:r>
                  </a:p>
                </c:rich>
              </c:tx>
              <c:showVal val="1"/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12,091</a:t>
                    </a:r>
                  </a:p>
                </c:rich>
              </c:tx>
              <c:showVal val="1"/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9,246</a:t>
                    </a:r>
                  </a:p>
                </c:rich>
              </c:tx>
              <c:showVal val="1"/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8,581</a:t>
                    </a:r>
                  </a:p>
                </c:rich>
              </c:tx>
              <c:showVal val="1"/>
            </c:dLbl>
            <c:dLbl>
              <c:idx val="14"/>
              <c:tx>
                <c:rich>
                  <a:bodyPr/>
                  <a:lstStyle/>
                  <a:p>
                    <a:r>
                      <a:rPr lang="en-US"/>
                      <a:t>3,749</a:t>
                    </a:r>
                  </a:p>
                </c:rich>
              </c:tx>
              <c:showVal val="1"/>
            </c:dLbl>
            <c:dLbl>
              <c:idx val="15"/>
              <c:tx>
                <c:rich>
                  <a:bodyPr/>
                  <a:lstStyle/>
                  <a:p>
                    <a:r>
                      <a:rPr lang="en-US"/>
                      <a:t>2,603</a:t>
                    </a:r>
                  </a:p>
                </c:rich>
              </c:tx>
              <c:showVal val="1"/>
            </c:dLbl>
            <c:showVal val="1"/>
          </c:dLbls>
          <c:cat>
            <c:strRef>
              <c:f>Sheet1!$A$2:$A$17</c:f>
              <c:strCache>
                <c:ptCount val="16"/>
                <c:pt idx="0">
                  <c:v>رام الله والبيرة</c:v>
                </c:pt>
                <c:pt idx="1">
                  <c:v>نابلس</c:v>
                </c:pt>
                <c:pt idx="2">
                  <c:v>بيت لحم</c:v>
                </c:pt>
                <c:pt idx="3">
                  <c:v>الخليل</c:v>
                </c:pt>
                <c:pt idx="4">
                  <c:v>القدس</c:v>
                </c:pt>
                <c:pt idx="5">
                  <c:v>غزة</c:v>
                </c:pt>
                <c:pt idx="6">
                  <c:v>دير البلح</c:v>
                </c:pt>
                <c:pt idx="7">
                  <c:v>طولكرم</c:v>
                </c:pt>
                <c:pt idx="8">
                  <c:v>قلقيلية</c:v>
                </c:pt>
                <c:pt idx="9">
                  <c:v>شمال غزة</c:v>
                </c:pt>
                <c:pt idx="10">
                  <c:v>جنين</c:v>
                </c:pt>
                <c:pt idx="11">
                  <c:v>رفح</c:v>
                </c:pt>
                <c:pt idx="12">
                  <c:v>أريحا والأغوار</c:v>
                </c:pt>
                <c:pt idx="13">
                  <c:v>سلفيت</c:v>
                </c:pt>
                <c:pt idx="14">
                  <c:v>طوباس</c:v>
                </c:pt>
                <c:pt idx="15">
                  <c:v>خانيونس</c:v>
                </c:pt>
              </c:strCache>
            </c:strRef>
          </c:cat>
          <c:val>
            <c:numRef>
              <c:f>Sheet1!$B$2:$B$17</c:f>
              <c:numCache>
                <c:formatCode>General</c:formatCode>
                <c:ptCount val="16"/>
                <c:pt idx="0">
                  <c:v>120922</c:v>
                </c:pt>
                <c:pt idx="1">
                  <c:v>64228</c:v>
                </c:pt>
                <c:pt idx="2">
                  <c:v>63062</c:v>
                </c:pt>
                <c:pt idx="3">
                  <c:v>45072</c:v>
                </c:pt>
                <c:pt idx="4">
                  <c:v>29283</c:v>
                </c:pt>
                <c:pt idx="5">
                  <c:v>28749</c:v>
                </c:pt>
                <c:pt idx="6">
                  <c:v>16381</c:v>
                </c:pt>
                <c:pt idx="7">
                  <c:v>15542</c:v>
                </c:pt>
                <c:pt idx="8">
                  <c:v>15211</c:v>
                </c:pt>
                <c:pt idx="9">
                  <c:v>14233</c:v>
                </c:pt>
                <c:pt idx="10">
                  <c:v>13077</c:v>
                </c:pt>
                <c:pt idx="11">
                  <c:v>12091</c:v>
                </c:pt>
                <c:pt idx="12">
                  <c:v>9246</c:v>
                </c:pt>
                <c:pt idx="13">
                  <c:v>8581</c:v>
                </c:pt>
                <c:pt idx="14">
                  <c:v>3749</c:v>
                </c:pt>
                <c:pt idx="15">
                  <c:v>2603</c:v>
                </c:pt>
              </c:numCache>
            </c:numRef>
          </c:val>
        </c:ser>
        <c:axId val="87682432"/>
        <c:axId val="87701376"/>
      </c:barChart>
      <c:catAx>
        <c:axId val="87682432"/>
        <c:scaling>
          <c:orientation val="maxMin"/>
        </c:scaling>
        <c:axPos val="l"/>
        <c:tickLblPos val="nextTo"/>
        <c:txPr>
          <a:bodyPr/>
          <a:lstStyle/>
          <a:p>
            <a:pPr>
              <a:defRPr>
                <a:latin typeface="Simplified Arabic" pitchFamily="18" charset="-78"/>
                <a:cs typeface="Simplified Arabic" pitchFamily="18" charset="-78"/>
              </a:defRPr>
            </a:pPr>
            <a:endParaRPr lang="ar-SA"/>
          </a:p>
        </c:txPr>
        <c:crossAx val="87701376"/>
        <c:crosses val="autoZero"/>
        <c:auto val="1"/>
        <c:lblAlgn val="ctr"/>
        <c:lblOffset val="100"/>
      </c:catAx>
      <c:valAx>
        <c:axId val="87701376"/>
        <c:scaling>
          <c:orientation val="minMax"/>
        </c:scaling>
        <c:delete val="1"/>
        <c:axPos val="t"/>
        <c:numFmt formatCode="General" sourceLinked="1"/>
        <c:tickLblPos val="none"/>
        <c:crossAx val="8768243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1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3.9630907559776329E-2"/>
                  <c:y val="8.3206779965628502E-2"/>
                </c:manualLayout>
              </c:layout>
              <c:tx>
                <c:rich>
                  <a:bodyPr/>
                  <a:lstStyle/>
                  <a:p>
                    <a:r>
                      <a:rPr lang="ar-SA" sz="800"/>
                      <a:t>دورات</a:t>
                    </a:r>
                  </a:p>
                  <a:p>
                    <a:r>
                      <a:rPr lang="ar-SA" sz="800"/>
                      <a:t> 51%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1"/>
              <c:layout>
                <c:manualLayout>
                  <c:x val="-9.5126171026374523E-2"/>
                  <c:y val="-4.391107738038769E-3"/>
                </c:manualLayout>
              </c:layout>
              <c:tx>
                <c:rich>
                  <a:bodyPr/>
                  <a:lstStyle/>
                  <a:p>
                    <a:r>
                      <a:rPr lang="ar-SA" sz="800"/>
                      <a:t>عروض فنية</a:t>
                    </a:r>
                  </a:p>
                  <a:p>
                    <a:r>
                      <a:rPr lang="ar-SA" sz="800"/>
                      <a:t> 20%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2"/>
              <c:layout>
                <c:manualLayout>
                  <c:x val="-7.2003499562554724E-2"/>
                  <c:y val="0.1260948925606839"/>
                </c:manualLayout>
              </c:layout>
              <c:tx>
                <c:rich>
                  <a:bodyPr/>
                  <a:lstStyle/>
                  <a:p>
                    <a:r>
                      <a:rPr lang="ar-SA" sz="800"/>
                      <a:t>محاضرات</a:t>
                    </a:r>
                  </a:p>
                  <a:p>
                    <a:r>
                      <a:rPr lang="ar-SA" sz="800"/>
                      <a:t>16%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3"/>
              <c:layout>
                <c:manualLayout>
                  <c:x val="-9.6045625382970179E-2"/>
                  <c:y val="3.5665398284544817E-3"/>
                </c:manualLayout>
              </c:layout>
              <c:tx>
                <c:rich>
                  <a:bodyPr/>
                  <a:lstStyle/>
                  <a:p>
                    <a:r>
                      <a:rPr lang="ar-SA" sz="800">
                        <a:latin typeface="Simplified Arabic" pitchFamily="18" charset="-78"/>
                        <a:cs typeface="Simplified Arabic" pitchFamily="18" charset="-78"/>
                      </a:rPr>
                      <a:t>معارض</a:t>
                    </a:r>
                  </a:p>
                  <a:p>
                    <a:r>
                      <a:rPr lang="ar-SA" sz="800">
                        <a:latin typeface="Simplified Arabic" pitchFamily="18" charset="-78"/>
                        <a:cs typeface="Simplified Arabic" pitchFamily="18" charset="-78"/>
                      </a:rPr>
                      <a:t> 11%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4"/>
              <c:layout>
                <c:manualLayout>
                  <c:x val="0.24666869824792584"/>
                  <c:y val="3.5663338088445383E-3"/>
                </c:manualLayout>
              </c:layout>
              <c:tx>
                <c:rich>
                  <a:bodyPr/>
                  <a:lstStyle/>
                  <a:p>
                    <a:r>
                      <a:rPr lang="ar-SA" sz="800">
                        <a:latin typeface="Simplified Arabic" pitchFamily="18" charset="-78"/>
                        <a:cs typeface="Simplified Arabic" pitchFamily="18" charset="-78"/>
                      </a:rPr>
                      <a:t>ندوات</a:t>
                    </a:r>
                  </a:p>
                  <a:p>
                    <a:r>
                      <a:rPr lang="ar-SA" sz="800">
                        <a:latin typeface="Simplified Arabic" pitchFamily="18" charset="-78"/>
                        <a:cs typeface="Simplified Arabic" pitchFamily="18" charset="-78"/>
                      </a:rPr>
                      <a:t>2%</a:t>
                    </a:r>
                  </a:p>
                </c:rich>
              </c:tx>
              <c:showVal val="1"/>
              <c:showCatName val="1"/>
              <c:showPercent val="1"/>
            </c:dLbl>
            <c:showVal val="1"/>
            <c:showCatName val="1"/>
            <c:showPercent val="1"/>
            <c:showLeaderLines val="1"/>
          </c:dLbls>
          <c:cat>
            <c:strRef>
              <c:f>Sheet1!$A$2:$A$6</c:f>
              <c:strCache>
                <c:ptCount val="5"/>
                <c:pt idx="0">
                  <c:v>دورات</c:v>
                </c:pt>
                <c:pt idx="1">
                  <c:v>عروض فنية </c:v>
                </c:pt>
                <c:pt idx="2">
                  <c:v>محاضرات</c:v>
                </c:pt>
                <c:pt idx="3">
                  <c:v>معارض</c:v>
                </c:pt>
                <c:pt idx="4">
                  <c:v>ندوات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15035</c:v>
                </c:pt>
                <c:pt idx="1">
                  <c:v>5686</c:v>
                </c:pt>
                <c:pt idx="2">
                  <c:v>4798</c:v>
                </c:pt>
                <c:pt idx="3">
                  <c:v>3231</c:v>
                </c:pt>
                <c:pt idx="4">
                  <c:v>533</c:v>
                </c:pt>
              </c:numCache>
            </c:numRef>
          </c:val>
        </c:ser>
        <c:firstSliceAng val="0"/>
      </c:pieChart>
    </c:plotArea>
    <c:plotVisOnly val="1"/>
  </c:chart>
  <c:txPr>
    <a:bodyPr/>
    <a:lstStyle/>
    <a:p>
      <a:pPr>
        <a:defRPr>
          <a:solidFill>
            <a:sysClr val="windowText" lastClr="000000"/>
          </a:solidFill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EDDFE-C385-4E4C-A6A0-0D7ABF59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الجهاز المركزي للاحصاء الفلسطيني</vt:lpstr>
    </vt:vector>
  </TitlesOfParts>
  <Company>company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الجهاز المركزي للاحصاء الفلسطيني</dc:title>
  <dc:creator>safad</dc:creator>
  <cp:lastModifiedBy>hbadran</cp:lastModifiedBy>
  <cp:revision>4</cp:revision>
  <cp:lastPrinted>2019-03-12T12:15:00Z</cp:lastPrinted>
  <dcterms:created xsi:type="dcterms:W3CDTF">2019-03-12T12:19:00Z</dcterms:created>
  <dcterms:modified xsi:type="dcterms:W3CDTF">2019-03-12T12:36:00Z</dcterms:modified>
</cp:coreProperties>
</file>