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69" w:rsidRDefault="00333B62" w:rsidP="00640869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640869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5842AA" w:rsidRPr="00640869">
        <w:rPr>
          <w:rFonts w:cs="Simplified Arabic" w:hint="cs"/>
          <w:b/>
          <w:bCs/>
          <w:sz w:val="32"/>
          <w:szCs w:val="32"/>
          <w:rtl/>
        </w:rPr>
        <w:t>ا</w:t>
      </w:r>
      <w:r w:rsidR="00AC406E" w:rsidRPr="00640869">
        <w:rPr>
          <w:rFonts w:cs="Simplified Arabic" w:hint="cs"/>
          <w:b/>
          <w:bCs/>
          <w:sz w:val="32"/>
          <w:szCs w:val="32"/>
          <w:rtl/>
        </w:rPr>
        <w:t>رتفاع</w:t>
      </w:r>
      <w:r w:rsidR="00AD384C" w:rsidRPr="00640869">
        <w:rPr>
          <w:rFonts w:cs="Simplified Arabic"/>
          <w:b/>
          <w:bCs/>
          <w:sz w:val="32"/>
          <w:szCs w:val="32"/>
          <w:rtl/>
        </w:rPr>
        <w:t xml:space="preserve"> عدد رخص الأبنية على مستوى فلسطين* </w:t>
      </w:r>
    </w:p>
    <w:p w:rsidR="00AD384C" w:rsidRPr="00640869" w:rsidRDefault="00AD384C" w:rsidP="00640869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32"/>
          <w:szCs w:val="32"/>
          <w:rtl/>
        </w:rPr>
      </w:pPr>
      <w:r w:rsidRPr="00640869">
        <w:rPr>
          <w:rFonts w:cs="Simplified Arabic"/>
          <w:b/>
          <w:bCs/>
          <w:sz w:val="32"/>
          <w:szCs w:val="32"/>
          <w:rtl/>
        </w:rPr>
        <w:t xml:space="preserve">خلال الربع </w:t>
      </w:r>
      <w:r w:rsidR="004F12A4" w:rsidRPr="00640869">
        <w:rPr>
          <w:rFonts w:cs="Simplified Arabic" w:hint="cs"/>
          <w:b/>
          <w:bCs/>
          <w:sz w:val="32"/>
          <w:szCs w:val="32"/>
          <w:rtl/>
        </w:rPr>
        <w:t>الرابع</w:t>
      </w:r>
      <w:r w:rsidRPr="00640869">
        <w:rPr>
          <w:rFonts w:cs="Simplified Arabic"/>
          <w:b/>
          <w:bCs/>
          <w:sz w:val="32"/>
          <w:szCs w:val="32"/>
          <w:rtl/>
        </w:rPr>
        <w:t xml:space="preserve"> 20</w:t>
      </w:r>
      <w:r w:rsidRPr="00640869">
        <w:rPr>
          <w:rFonts w:cs="Simplified Arabic" w:hint="cs"/>
          <w:b/>
          <w:bCs/>
          <w:sz w:val="32"/>
          <w:szCs w:val="32"/>
          <w:rtl/>
        </w:rPr>
        <w:t>2</w:t>
      </w:r>
      <w:r w:rsidR="00B418FF" w:rsidRPr="00640869">
        <w:rPr>
          <w:rFonts w:cs="Simplified Arabic" w:hint="cs"/>
          <w:b/>
          <w:bCs/>
          <w:sz w:val="32"/>
          <w:szCs w:val="32"/>
          <w:rtl/>
        </w:rPr>
        <w:t>2</w:t>
      </w:r>
      <w:r w:rsidR="006A21C0" w:rsidRPr="00640869">
        <w:rPr>
          <w:rFonts w:cs="Simplified Arabic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6A21C0" w:rsidRPr="00640869">
        <w:rPr>
          <w:rFonts w:cs="Simplified Arabic" w:hint="cs"/>
          <w:b/>
          <w:bCs/>
          <w:sz w:val="32"/>
          <w:szCs w:val="32"/>
          <w:rtl/>
        </w:rPr>
        <w:t>مقارنة بالربع السابق</w:t>
      </w:r>
      <w:r w:rsidRPr="00640869">
        <w:rPr>
          <w:rFonts w:cs="Simplified Arabic"/>
          <w:b/>
          <w:bCs/>
          <w:sz w:val="32"/>
          <w:szCs w:val="32"/>
          <w:rtl/>
        </w:rPr>
        <w:t xml:space="preserve">، نتج عن </w:t>
      </w:r>
      <w:r w:rsidR="005842AA" w:rsidRPr="00640869">
        <w:rPr>
          <w:rFonts w:cs="Simplified Arabic" w:hint="cs"/>
          <w:b/>
          <w:bCs/>
          <w:sz w:val="32"/>
          <w:szCs w:val="32"/>
          <w:rtl/>
        </w:rPr>
        <w:t>ا</w:t>
      </w:r>
      <w:r w:rsidR="00AC406E" w:rsidRPr="00640869">
        <w:rPr>
          <w:rFonts w:cs="Simplified Arabic" w:hint="cs"/>
          <w:b/>
          <w:bCs/>
          <w:sz w:val="32"/>
          <w:szCs w:val="32"/>
          <w:rtl/>
        </w:rPr>
        <w:t xml:space="preserve">رتفاع </w:t>
      </w:r>
      <w:r w:rsidR="006A7DAA" w:rsidRPr="00640869">
        <w:rPr>
          <w:rFonts w:cs="Simplified Arabic"/>
          <w:b/>
          <w:bCs/>
          <w:sz w:val="32"/>
          <w:szCs w:val="32"/>
          <w:rtl/>
        </w:rPr>
        <w:t>في عدد رخص ال</w:t>
      </w:r>
      <w:r w:rsidR="006A7DAA" w:rsidRPr="00640869">
        <w:rPr>
          <w:rFonts w:cs="Simplified Arabic" w:hint="cs"/>
          <w:b/>
          <w:bCs/>
          <w:sz w:val="32"/>
          <w:szCs w:val="32"/>
          <w:rtl/>
        </w:rPr>
        <w:t>أ</w:t>
      </w:r>
      <w:r w:rsidRPr="00640869">
        <w:rPr>
          <w:rFonts w:cs="Simplified Arabic"/>
          <w:b/>
          <w:bCs/>
          <w:sz w:val="32"/>
          <w:szCs w:val="32"/>
          <w:rtl/>
        </w:rPr>
        <w:t>بنية الجديدة</w:t>
      </w:r>
    </w:p>
    <w:p w:rsidR="00934066" w:rsidRPr="00640869" w:rsidRDefault="00934066" w:rsidP="00640869">
      <w:pPr>
        <w:rPr>
          <w:sz w:val="28"/>
          <w:szCs w:val="28"/>
        </w:rPr>
      </w:pPr>
    </w:p>
    <w:p w:rsidR="00806D87" w:rsidRPr="00640869" w:rsidRDefault="00806D87" w:rsidP="00640869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2,804</w:t>
      </w:r>
      <w:r w:rsidR="00DD4B79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64086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640869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B418FF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1,674</w:t>
      </w:r>
      <w:r w:rsidR="000B2949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640869" w:rsidRDefault="00806D87" w:rsidP="00640869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640869" w:rsidRDefault="00AC406E" w:rsidP="00640869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40869">
        <w:rPr>
          <w:rFonts w:ascii="Simplified Arabic" w:hAnsi="Simplified Arabic" w:cs="Simplified Arabic"/>
          <w:sz w:val="26"/>
          <w:szCs w:val="26"/>
          <w:rtl/>
        </w:rPr>
        <w:t>ارتفع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53570E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5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640869">
        <w:rPr>
          <w:rFonts w:ascii="Simplified Arabic" w:hAnsi="Simplified Arabic" w:cs="Simplified Arabic"/>
          <w:sz w:val="26"/>
          <w:szCs w:val="26"/>
          <w:rtl/>
        </w:rPr>
        <w:t>202</w:t>
      </w:r>
      <w:r w:rsidR="00C40002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، كما سجل </w:t>
      </w:r>
      <w:r w:rsidR="008B36AE" w:rsidRPr="00640869">
        <w:rPr>
          <w:rFonts w:ascii="Simplified Arabic" w:hAnsi="Simplified Arabic" w:cs="Simplified Arabic"/>
          <w:sz w:val="26"/>
          <w:szCs w:val="26"/>
          <w:rtl/>
        </w:rPr>
        <w:t>ا</w:t>
      </w:r>
      <w:r w:rsidR="00C40002" w:rsidRPr="00640869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640869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640869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12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640869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401E02" w:rsidRPr="00640869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C40002" w:rsidRPr="00640869">
        <w:rPr>
          <w:rFonts w:ascii="Simplified Arabic" w:hAnsi="Simplified Arabic" w:cs="Simplified Arabic"/>
          <w:sz w:val="26"/>
          <w:szCs w:val="26"/>
          <w:rtl/>
        </w:rPr>
        <w:t>ا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رتفعت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C40002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>، وا</w:t>
      </w:r>
      <w:r w:rsidR="00C40002" w:rsidRPr="00640869">
        <w:rPr>
          <w:rFonts w:ascii="Simplified Arabic" w:hAnsi="Simplified Arabic" w:cs="Simplified Arabic"/>
          <w:sz w:val="26"/>
          <w:szCs w:val="26"/>
          <w:rtl/>
        </w:rPr>
        <w:t>نخفضت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4F12A4" w:rsidRPr="00640869">
        <w:rPr>
          <w:rFonts w:ascii="Simplified Arabic" w:hAnsi="Simplified Arabic" w:cs="Simplified Arabic"/>
          <w:sz w:val="26"/>
          <w:szCs w:val="26"/>
          <w:rtl/>
        </w:rPr>
        <w:t>14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640869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401E02" w:rsidRPr="00640869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64086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640869" w:rsidRDefault="00013901" w:rsidP="00640869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640869" w:rsidRDefault="00806D87" w:rsidP="00640869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DD4B79" w:rsidRPr="00640869">
        <w:rPr>
          <w:rFonts w:ascii="Simplified Arabic" w:hAnsi="Simplified Arabic" w:cs="Simplified Arabic"/>
          <w:sz w:val="26"/>
          <w:szCs w:val="26"/>
          <w:rtl/>
        </w:rPr>
        <w:t>1</w:t>
      </w:r>
      <w:r w:rsidR="003F4E26" w:rsidRPr="00640869">
        <w:rPr>
          <w:rFonts w:ascii="Simplified Arabic" w:hAnsi="Simplified Arabic" w:cs="Simplified Arabic"/>
          <w:sz w:val="26"/>
          <w:szCs w:val="26"/>
          <w:rtl/>
        </w:rPr>
        <w:t>,</w:t>
      </w:r>
      <w:r w:rsidR="00771859" w:rsidRPr="00640869">
        <w:rPr>
          <w:rFonts w:ascii="Simplified Arabic" w:hAnsi="Simplified Arabic" w:cs="Simplified Arabic"/>
          <w:sz w:val="26"/>
          <w:szCs w:val="26"/>
          <w:rtl/>
        </w:rPr>
        <w:t>399</w:t>
      </w:r>
      <w:r w:rsidR="00492C21" w:rsidRPr="00640869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C1DF6" w:rsidRPr="00640869">
        <w:rPr>
          <w:rFonts w:ascii="Simplified Arabic" w:hAnsi="Simplified Arabic" w:cs="Simplified Arabic"/>
          <w:sz w:val="26"/>
          <w:szCs w:val="26"/>
          <w:rtl/>
        </w:rPr>
        <w:t>1,</w:t>
      </w:r>
      <w:r w:rsidR="00771859" w:rsidRPr="00640869">
        <w:rPr>
          <w:rFonts w:ascii="Simplified Arabic" w:hAnsi="Simplified Arabic" w:cs="Simplified Arabic"/>
          <w:sz w:val="26"/>
          <w:szCs w:val="26"/>
          <w:rtl/>
        </w:rPr>
        <w:t>1</w:t>
      </w:r>
      <w:r w:rsidR="00DC1DF6" w:rsidRPr="00640869">
        <w:rPr>
          <w:rFonts w:ascii="Simplified Arabic" w:hAnsi="Simplified Arabic" w:cs="Simplified Arabic"/>
          <w:sz w:val="26"/>
          <w:szCs w:val="26"/>
          <w:rtl/>
        </w:rPr>
        <w:t>37</w:t>
      </w:r>
      <w:r w:rsidR="001C3FA3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640869">
        <w:rPr>
          <w:rFonts w:ascii="Simplified Arabic" w:hAnsi="Simplified Arabic" w:cs="Simplified Arabic"/>
          <w:sz w:val="26"/>
          <w:szCs w:val="26"/>
          <w:rtl/>
        </w:rPr>
        <w:t>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640869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640869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640869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64086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640869">
        <w:rPr>
          <w:rFonts w:ascii="Simplified Arabic" w:hAnsi="Simplified Arabic" w:cs="Simplified Arabic"/>
          <w:sz w:val="26"/>
          <w:szCs w:val="26"/>
          <w:rtl/>
        </w:rPr>
        <w:t>و</w:t>
      </w:r>
      <w:r w:rsidR="008B36AE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771859" w:rsidRPr="00640869">
        <w:rPr>
          <w:rFonts w:ascii="Simplified Arabic" w:hAnsi="Simplified Arabic" w:cs="Simplified Arabic"/>
          <w:sz w:val="26"/>
          <w:szCs w:val="26"/>
          <w:rtl/>
        </w:rPr>
        <w:t>62</w:t>
      </w:r>
      <w:r w:rsidR="00EA2D7E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640869">
        <w:rPr>
          <w:rFonts w:ascii="Simplified Arabic" w:hAnsi="Simplified Arabic" w:cs="Simplified Arabic"/>
          <w:sz w:val="26"/>
          <w:szCs w:val="26"/>
          <w:rtl/>
        </w:rPr>
        <w:t>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640869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640869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640869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640869">
        <w:rPr>
          <w:rFonts w:ascii="Simplified Arabic" w:hAnsi="Simplified Arabic" w:cs="Simplified Arabic"/>
          <w:sz w:val="26"/>
          <w:szCs w:val="26"/>
          <w:rtl/>
        </w:rPr>
        <w:t>ال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640869" w:rsidRDefault="00806D87" w:rsidP="00640869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333B62" w:rsidRPr="00640869" w:rsidRDefault="00806D87" w:rsidP="00640869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CA434D" w:rsidRPr="00640869">
        <w:rPr>
          <w:rFonts w:ascii="Simplified Arabic" w:hAnsi="Simplified Arabic" w:cs="Simplified Arabic"/>
          <w:sz w:val="26"/>
          <w:szCs w:val="26"/>
          <w:rtl/>
        </w:rPr>
        <w:t>5</w:t>
      </w:r>
      <w:r w:rsidR="00D67047" w:rsidRPr="00640869">
        <w:rPr>
          <w:rFonts w:ascii="Simplified Arabic" w:hAnsi="Simplified Arabic" w:cs="Simplified Arabic"/>
          <w:sz w:val="26"/>
          <w:szCs w:val="26"/>
          <w:rtl/>
        </w:rPr>
        <w:t>,</w:t>
      </w:r>
      <w:r w:rsidR="006306D2" w:rsidRPr="00640869">
        <w:rPr>
          <w:rFonts w:ascii="Simplified Arabic" w:hAnsi="Simplified Arabic" w:cs="Simplified Arabic"/>
          <w:sz w:val="26"/>
          <w:szCs w:val="26"/>
          <w:rtl/>
        </w:rPr>
        <w:t>982</w:t>
      </w:r>
      <w:r w:rsidR="008B36AE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855D9F" w:rsidRPr="00640869">
        <w:rPr>
          <w:rFonts w:ascii="Simplified Arabic" w:hAnsi="Simplified Arabic" w:cs="Simplified Arabic"/>
          <w:sz w:val="26"/>
          <w:szCs w:val="26"/>
          <w:rtl/>
        </w:rPr>
        <w:t>1,004</w:t>
      </w:r>
      <w:r w:rsidR="00911678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352D89" w:rsidRPr="00640869">
        <w:rPr>
          <w:rFonts w:ascii="Simplified Arabic" w:hAnsi="Simplified Arabic" w:cs="Simplified Arabic"/>
          <w:sz w:val="26"/>
          <w:szCs w:val="26"/>
          <w:rtl/>
        </w:rPr>
        <w:t>4,</w:t>
      </w:r>
      <w:r w:rsidR="00855D9F" w:rsidRPr="00640869">
        <w:rPr>
          <w:rFonts w:ascii="Simplified Arabic" w:hAnsi="Simplified Arabic" w:cs="Simplified Arabic"/>
          <w:sz w:val="26"/>
          <w:szCs w:val="26"/>
          <w:rtl/>
        </w:rPr>
        <w:t>715</w:t>
      </w:r>
      <w:r w:rsidR="00940F0C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640869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جديدة</w:t>
      </w:r>
      <w:r w:rsidR="00333B62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806D87" w:rsidRPr="00640869" w:rsidRDefault="00806D87" w:rsidP="00640869">
      <w:pPr>
        <w:tabs>
          <w:tab w:val="left" w:pos="9070"/>
          <w:tab w:val="right" w:pos="9212"/>
        </w:tabs>
        <w:ind w:right="284"/>
        <w:jc w:val="both"/>
        <w:rPr>
          <w:rFonts w:ascii="Simplified Arabic" w:hAnsi="Simplified Arabic" w:cs="Simplified Arabic"/>
          <w:sz w:val="26"/>
          <w:szCs w:val="26"/>
        </w:rPr>
      </w:pP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مساحتها </w:t>
      </w:r>
      <w:r w:rsidR="00855D9F" w:rsidRPr="00640869">
        <w:rPr>
          <w:rFonts w:ascii="Simplified Arabic" w:hAnsi="Simplified Arabic" w:cs="Simplified Arabic"/>
          <w:sz w:val="26"/>
          <w:szCs w:val="26"/>
          <w:rtl/>
        </w:rPr>
        <w:t>801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640869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352D89" w:rsidRPr="00640869">
        <w:rPr>
          <w:rFonts w:ascii="Simplified Arabic" w:hAnsi="Simplified Arabic" w:cs="Simplified Arabic"/>
          <w:sz w:val="26"/>
          <w:szCs w:val="26"/>
          <w:rtl/>
        </w:rPr>
        <w:t>1,</w:t>
      </w:r>
      <w:r w:rsidR="00855D9F" w:rsidRPr="00640869">
        <w:rPr>
          <w:rFonts w:ascii="Simplified Arabic" w:hAnsi="Simplified Arabic" w:cs="Simplified Arabic"/>
          <w:sz w:val="26"/>
          <w:szCs w:val="26"/>
          <w:rtl/>
        </w:rPr>
        <w:t>267</w:t>
      </w:r>
      <w:r w:rsidR="00FA6550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640869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="00333B62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قائمة</w:t>
      </w:r>
      <w:r w:rsidR="00333B62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مجموع مساحاتها </w:t>
      </w:r>
      <w:r w:rsidR="00855D9F" w:rsidRPr="00640869">
        <w:rPr>
          <w:rFonts w:ascii="Simplified Arabic" w:hAnsi="Simplified Arabic" w:cs="Simplified Arabic"/>
          <w:sz w:val="26"/>
          <w:szCs w:val="26"/>
          <w:rtl/>
        </w:rPr>
        <w:t>203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640869" w:rsidRDefault="00806D87" w:rsidP="00640869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Fonts w:ascii="Simplified Arabic" w:hAnsi="Simplified Arabic"/>
          <w:sz w:val="16"/>
          <w:szCs w:val="16"/>
          <w:rtl/>
        </w:rPr>
      </w:pPr>
    </w:p>
    <w:p w:rsidR="00107EC2" w:rsidRDefault="00806D87" w:rsidP="00640869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640869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640869">
        <w:rPr>
          <w:rFonts w:ascii="Simplified Arabic" w:hAnsi="Simplified Arabic" w:cs="Simplified Arabic"/>
          <w:sz w:val="26"/>
          <w:szCs w:val="26"/>
          <w:rtl/>
        </w:rPr>
        <w:t>ا</w:t>
      </w:r>
      <w:r w:rsidR="00725F3A" w:rsidRPr="00640869">
        <w:rPr>
          <w:rFonts w:ascii="Simplified Arabic" w:hAnsi="Simplified Arabic" w:cs="Simplified Arabic"/>
          <w:sz w:val="26"/>
          <w:szCs w:val="26"/>
          <w:rtl/>
        </w:rPr>
        <w:t>رتفاع</w:t>
      </w:r>
      <w:r w:rsidR="00F152D9" w:rsidRPr="00640869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EF3B20" w:rsidRPr="00640869">
        <w:rPr>
          <w:rFonts w:ascii="Simplified Arabic" w:hAnsi="Simplified Arabic" w:cs="Simplified Arabic"/>
          <w:sz w:val="26"/>
          <w:szCs w:val="26"/>
          <w:rtl/>
        </w:rPr>
        <w:t>8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EF3B20" w:rsidRPr="00640869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323EB1"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640869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D63681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3B20" w:rsidRPr="00640869">
        <w:rPr>
          <w:rFonts w:ascii="Simplified Arabic" w:hAnsi="Simplified Arabic" w:cs="Simplified Arabic"/>
          <w:sz w:val="26"/>
          <w:szCs w:val="26"/>
          <w:rtl/>
        </w:rPr>
        <w:t>الثالث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D95B92" w:rsidRPr="00640869">
        <w:rPr>
          <w:rFonts w:ascii="Simplified Arabic" w:hAnsi="Simplified Arabic" w:cs="Simplified Arabic"/>
          <w:sz w:val="26"/>
          <w:szCs w:val="26"/>
          <w:rtl/>
        </w:rPr>
        <w:t>2022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، و</w:t>
      </w:r>
      <w:r w:rsidR="00CA434D" w:rsidRPr="00640869">
        <w:rPr>
          <w:rFonts w:ascii="Simplified Arabic" w:hAnsi="Simplified Arabic" w:cs="Simplified Arabic"/>
          <w:sz w:val="26"/>
          <w:szCs w:val="26"/>
          <w:rtl/>
        </w:rPr>
        <w:t>ا</w:t>
      </w:r>
      <w:r w:rsidR="00725F3A" w:rsidRPr="00640869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CA434D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D1356" w:rsidRPr="00640869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3B20" w:rsidRPr="00640869">
        <w:rPr>
          <w:rFonts w:ascii="Simplified Arabic" w:hAnsi="Simplified Arabic" w:cs="Simplified Arabic"/>
          <w:sz w:val="26"/>
          <w:szCs w:val="26"/>
          <w:rtl/>
        </w:rPr>
        <w:t>4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640869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640869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640869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640869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640869">
        <w:rPr>
          <w:rFonts w:ascii="Simplified Arabic" w:hAnsi="Simplified Arabic" w:cs="Simplified Arabic"/>
          <w:sz w:val="26"/>
          <w:szCs w:val="26"/>
          <w:rtl/>
        </w:rPr>
        <w:t>2</w:t>
      </w:r>
      <w:r w:rsidR="005959C7" w:rsidRPr="00640869">
        <w:rPr>
          <w:rFonts w:ascii="Simplified Arabic" w:hAnsi="Simplified Arabic" w:cs="Simplified Arabic"/>
          <w:sz w:val="26"/>
          <w:szCs w:val="26"/>
          <w:rtl/>
        </w:rPr>
        <w:t>1</w:t>
      </w:r>
      <w:r w:rsidRPr="00640869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640869" w:rsidRPr="00640869" w:rsidRDefault="00640869" w:rsidP="00640869">
      <w:pPr>
        <w:tabs>
          <w:tab w:val="left" w:pos="9070"/>
          <w:tab w:val="right" w:pos="9212"/>
        </w:tabs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9558D" w:rsidRPr="00877CF8" w:rsidRDefault="00DA668E" w:rsidP="00640869">
      <w:pPr>
        <w:ind w:left="34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877CF8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E97CFE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="000F003D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A6550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CA271F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1</w:t>
      </w:r>
      <w:r w:rsidR="000F003D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97CFE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الرابع</w:t>
      </w:r>
      <w:r w:rsidR="00D70601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  <w:r w:rsidR="00CA271F" w:rsidRPr="00877CF8">
        <w:rPr>
          <w:rFonts w:ascii="Simplified Arabic" w:hAnsi="Simplified Arabic" w:cs="Simplified Arabic"/>
          <w:b/>
          <w:bCs/>
          <w:sz w:val="26"/>
          <w:szCs w:val="26"/>
          <w:rtl/>
        </w:rPr>
        <w:t>2</w:t>
      </w:r>
    </w:p>
    <w:p w:rsidR="0049065D" w:rsidRPr="00F83A0B" w:rsidRDefault="0049065D" w:rsidP="00640869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464879" w:rsidP="00640869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200400" cy="2152650"/>
            <wp:effectExtent l="57150" t="57150" r="38100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640869">
      <w:pPr>
        <w:pStyle w:val="BodyText"/>
        <w:jc w:val="both"/>
        <w:rPr>
          <w:sz w:val="18"/>
          <w:szCs w:val="18"/>
          <w:rtl/>
        </w:rPr>
      </w:pPr>
    </w:p>
    <w:p w:rsidR="00640869" w:rsidRPr="00826C9F" w:rsidRDefault="00640869" w:rsidP="00640869">
      <w:pPr>
        <w:pStyle w:val="BodyText"/>
        <w:jc w:val="both"/>
        <w:rPr>
          <w:sz w:val="16"/>
          <w:szCs w:val="16"/>
          <w:rtl/>
        </w:rPr>
      </w:pPr>
    </w:p>
    <w:p w:rsidR="00464879" w:rsidRPr="00640869" w:rsidRDefault="00C86748" w:rsidP="00640869">
      <w:pPr>
        <w:pStyle w:val="BodyText"/>
        <w:jc w:val="both"/>
        <w:rPr>
          <w:b/>
          <w:bCs/>
          <w:sz w:val="22"/>
          <w:szCs w:val="22"/>
          <w:rtl/>
        </w:rPr>
      </w:pPr>
      <w:r w:rsidRPr="00640869">
        <w:rPr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Default="00BF1E8A" w:rsidP="00640869">
      <w:pPr>
        <w:pStyle w:val="BodyText"/>
        <w:jc w:val="both"/>
        <w:rPr>
          <w:b/>
          <w:bCs/>
          <w:rtl/>
        </w:rPr>
      </w:pPr>
    </w:p>
    <w:p w:rsidR="00BF1E8A" w:rsidRPr="00CA30E8" w:rsidRDefault="00BF1E8A" w:rsidP="00640869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640869">
      <w:headerReference w:type="default" r:id="rId9"/>
      <w:pgSz w:w="12240" w:h="15840"/>
      <w:pgMar w:top="993" w:right="900" w:bottom="1134" w:left="851" w:header="284" w:footer="720" w:gutter="0"/>
      <w:cols w:space="785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E6" w:rsidRDefault="00F067E6">
      <w:r>
        <w:separator/>
      </w:r>
    </w:p>
  </w:endnote>
  <w:endnote w:type="continuationSeparator" w:id="0">
    <w:p w:rsidR="00F067E6" w:rsidRDefault="00F0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E6" w:rsidRDefault="00F067E6">
      <w:r>
        <w:separator/>
      </w:r>
    </w:p>
  </w:footnote>
  <w:footnote w:type="continuationSeparator" w:id="0">
    <w:p w:rsidR="00F067E6" w:rsidRDefault="00F0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Pr="00333B62" w:rsidRDefault="00825925" w:rsidP="00063D4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3F2C"/>
    <w:rsid w:val="000049B9"/>
    <w:rsid w:val="00007E28"/>
    <w:rsid w:val="00011143"/>
    <w:rsid w:val="0001231F"/>
    <w:rsid w:val="00013901"/>
    <w:rsid w:val="00024C1F"/>
    <w:rsid w:val="000323FE"/>
    <w:rsid w:val="00043023"/>
    <w:rsid w:val="000440C4"/>
    <w:rsid w:val="00051C4C"/>
    <w:rsid w:val="00053FB3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763"/>
    <w:rsid w:val="0008553D"/>
    <w:rsid w:val="00090C4E"/>
    <w:rsid w:val="00092AB0"/>
    <w:rsid w:val="000933A8"/>
    <w:rsid w:val="00097D8D"/>
    <w:rsid w:val="000A5DEA"/>
    <w:rsid w:val="000A7D5F"/>
    <w:rsid w:val="000B1A9A"/>
    <w:rsid w:val="000B2949"/>
    <w:rsid w:val="000C1A37"/>
    <w:rsid w:val="000C376E"/>
    <w:rsid w:val="000C5BA8"/>
    <w:rsid w:val="000D39DC"/>
    <w:rsid w:val="000D6034"/>
    <w:rsid w:val="000D76DD"/>
    <w:rsid w:val="000E2629"/>
    <w:rsid w:val="000E7805"/>
    <w:rsid w:val="000F003D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9E7"/>
    <w:rsid w:val="00137F91"/>
    <w:rsid w:val="00141908"/>
    <w:rsid w:val="00141DC0"/>
    <w:rsid w:val="00144176"/>
    <w:rsid w:val="00163D8E"/>
    <w:rsid w:val="0018396A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1E7E19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45CF4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33B62"/>
    <w:rsid w:val="00344E0F"/>
    <w:rsid w:val="00352D89"/>
    <w:rsid w:val="00356D2A"/>
    <w:rsid w:val="00374098"/>
    <w:rsid w:val="00374DAB"/>
    <w:rsid w:val="0037770F"/>
    <w:rsid w:val="003803B9"/>
    <w:rsid w:val="00381384"/>
    <w:rsid w:val="00381ACE"/>
    <w:rsid w:val="00385F93"/>
    <w:rsid w:val="00386C9A"/>
    <w:rsid w:val="00390BEE"/>
    <w:rsid w:val="00391381"/>
    <w:rsid w:val="00394D03"/>
    <w:rsid w:val="003A2CA7"/>
    <w:rsid w:val="003B1BC7"/>
    <w:rsid w:val="003C1D6F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677CE"/>
    <w:rsid w:val="0047710F"/>
    <w:rsid w:val="0048400C"/>
    <w:rsid w:val="00485A19"/>
    <w:rsid w:val="0049065D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12A4"/>
    <w:rsid w:val="004F62FD"/>
    <w:rsid w:val="004F6846"/>
    <w:rsid w:val="004F7195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42AA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C068A"/>
    <w:rsid w:val="005D6CA1"/>
    <w:rsid w:val="005E1718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306D2"/>
    <w:rsid w:val="00633996"/>
    <w:rsid w:val="006375EF"/>
    <w:rsid w:val="00640869"/>
    <w:rsid w:val="00641A72"/>
    <w:rsid w:val="006431F1"/>
    <w:rsid w:val="006444C4"/>
    <w:rsid w:val="00644839"/>
    <w:rsid w:val="006528F1"/>
    <w:rsid w:val="006541CD"/>
    <w:rsid w:val="00666A55"/>
    <w:rsid w:val="00667077"/>
    <w:rsid w:val="0067406B"/>
    <w:rsid w:val="0067593C"/>
    <w:rsid w:val="00675CF0"/>
    <w:rsid w:val="006774C7"/>
    <w:rsid w:val="00682964"/>
    <w:rsid w:val="00683B5E"/>
    <w:rsid w:val="00697D91"/>
    <w:rsid w:val="006A21C0"/>
    <w:rsid w:val="006A240D"/>
    <w:rsid w:val="006A36C5"/>
    <w:rsid w:val="006A474D"/>
    <w:rsid w:val="006A6650"/>
    <w:rsid w:val="006A7DAA"/>
    <w:rsid w:val="006B1F3D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6834"/>
    <w:rsid w:val="00724FB0"/>
    <w:rsid w:val="00725F3A"/>
    <w:rsid w:val="007316D4"/>
    <w:rsid w:val="007317C5"/>
    <w:rsid w:val="00731947"/>
    <w:rsid w:val="00750586"/>
    <w:rsid w:val="00751F0A"/>
    <w:rsid w:val="00752CB3"/>
    <w:rsid w:val="007562B2"/>
    <w:rsid w:val="00760452"/>
    <w:rsid w:val="00764535"/>
    <w:rsid w:val="00767212"/>
    <w:rsid w:val="0077006A"/>
    <w:rsid w:val="00771859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26C9F"/>
    <w:rsid w:val="00847074"/>
    <w:rsid w:val="00850E11"/>
    <w:rsid w:val="00851B7C"/>
    <w:rsid w:val="00855D9F"/>
    <w:rsid w:val="00857339"/>
    <w:rsid w:val="008625FD"/>
    <w:rsid w:val="00865423"/>
    <w:rsid w:val="00877CF8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51FB"/>
    <w:rsid w:val="008C7642"/>
    <w:rsid w:val="008E0709"/>
    <w:rsid w:val="008E2DA0"/>
    <w:rsid w:val="008F05BF"/>
    <w:rsid w:val="008F1D57"/>
    <w:rsid w:val="008F3BEA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6FE"/>
    <w:rsid w:val="009C3DD4"/>
    <w:rsid w:val="009C6D57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8B5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781"/>
    <w:rsid w:val="00A96546"/>
    <w:rsid w:val="00AA01EB"/>
    <w:rsid w:val="00AA1085"/>
    <w:rsid w:val="00AA4303"/>
    <w:rsid w:val="00AA5559"/>
    <w:rsid w:val="00AC0C25"/>
    <w:rsid w:val="00AC3B65"/>
    <w:rsid w:val="00AC406E"/>
    <w:rsid w:val="00AD0C91"/>
    <w:rsid w:val="00AD384C"/>
    <w:rsid w:val="00AD5297"/>
    <w:rsid w:val="00AE5275"/>
    <w:rsid w:val="00AF2A33"/>
    <w:rsid w:val="00B02B01"/>
    <w:rsid w:val="00B05A70"/>
    <w:rsid w:val="00B11566"/>
    <w:rsid w:val="00B12E51"/>
    <w:rsid w:val="00B141D7"/>
    <w:rsid w:val="00B14DE8"/>
    <w:rsid w:val="00B15C34"/>
    <w:rsid w:val="00B16F81"/>
    <w:rsid w:val="00B32C65"/>
    <w:rsid w:val="00B418FF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920D4"/>
    <w:rsid w:val="00B92F61"/>
    <w:rsid w:val="00B950D1"/>
    <w:rsid w:val="00B9679D"/>
    <w:rsid w:val="00BA3F65"/>
    <w:rsid w:val="00BA6832"/>
    <w:rsid w:val="00BA7639"/>
    <w:rsid w:val="00BB3432"/>
    <w:rsid w:val="00BC1660"/>
    <w:rsid w:val="00BC39DB"/>
    <w:rsid w:val="00BC7968"/>
    <w:rsid w:val="00BD0648"/>
    <w:rsid w:val="00BD1250"/>
    <w:rsid w:val="00BE4A49"/>
    <w:rsid w:val="00BE5534"/>
    <w:rsid w:val="00BE57B4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327D1"/>
    <w:rsid w:val="00C34A9B"/>
    <w:rsid w:val="00C369C0"/>
    <w:rsid w:val="00C40002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A434D"/>
    <w:rsid w:val="00CC2D43"/>
    <w:rsid w:val="00CC4C99"/>
    <w:rsid w:val="00CC4D5C"/>
    <w:rsid w:val="00CD053B"/>
    <w:rsid w:val="00CE2379"/>
    <w:rsid w:val="00CE54EC"/>
    <w:rsid w:val="00CF6A33"/>
    <w:rsid w:val="00CF7275"/>
    <w:rsid w:val="00D016D3"/>
    <w:rsid w:val="00D04DB1"/>
    <w:rsid w:val="00D07A16"/>
    <w:rsid w:val="00D132EE"/>
    <w:rsid w:val="00D22654"/>
    <w:rsid w:val="00D228DC"/>
    <w:rsid w:val="00D53C5E"/>
    <w:rsid w:val="00D6095F"/>
    <w:rsid w:val="00D62195"/>
    <w:rsid w:val="00D63681"/>
    <w:rsid w:val="00D67047"/>
    <w:rsid w:val="00D70601"/>
    <w:rsid w:val="00D73A2B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5B92"/>
    <w:rsid w:val="00D971BF"/>
    <w:rsid w:val="00DA35F8"/>
    <w:rsid w:val="00DA668E"/>
    <w:rsid w:val="00DB44F5"/>
    <w:rsid w:val="00DC0D9E"/>
    <w:rsid w:val="00DC1DF6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74226"/>
    <w:rsid w:val="00E74502"/>
    <w:rsid w:val="00E77864"/>
    <w:rsid w:val="00E80E02"/>
    <w:rsid w:val="00E81941"/>
    <w:rsid w:val="00E84A55"/>
    <w:rsid w:val="00E84DDC"/>
    <w:rsid w:val="00E906E7"/>
    <w:rsid w:val="00E9240D"/>
    <w:rsid w:val="00E97CFE"/>
    <w:rsid w:val="00EA1124"/>
    <w:rsid w:val="00EA1BFE"/>
    <w:rsid w:val="00EA2616"/>
    <w:rsid w:val="00EA2D7E"/>
    <w:rsid w:val="00EB390C"/>
    <w:rsid w:val="00EB4116"/>
    <w:rsid w:val="00EB6854"/>
    <w:rsid w:val="00EB7CFD"/>
    <w:rsid w:val="00EC6E04"/>
    <w:rsid w:val="00ED2189"/>
    <w:rsid w:val="00ED2DED"/>
    <w:rsid w:val="00EE47A2"/>
    <w:rsid w:val="00EE4950"/>
    <w:rsid w:val="00EF1E7B"/>
    <w:rsid w:val="00EF3B20"/>
    <w:rsid w:val="00EF4E3A"/>
    <w:rsid w:val="00EF5411"/>
    <w:rsid w:val="00F01229"/>
    <w:rsid w:val="00F015D6"/>
    <w:rsid w:val="00F01AC3"/>
    <w:rsid w:val="00F04270"/>
    <w:rsid w:val="00F067E6"/>
    <w:rsid w:val="00F07D88"/>
    <w:rsid w:val="00F152D9"/>
    <w:rsid w:val="00F1623F"/>
    <w:rsid w:val="00F1671B"/>
    <w:rsid w:val="00F21C6E"/>
    <w:rsid w:val="00F21F40"/>
    <w:rsid w:val="00F33757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550"/>
    <w:rsid w:val="00FA6B5F"/>
    <w:rsid w:val="00FB2E06"/>
    <w:rsid w:val="00FB466E"/>
    <w:rsid w:val="00FC0213"/>
    <w:rsid w:val="00FC52D4"/>
    <w:rsid w:val="00FC590A"/>
    <w:rsid w:val="00FD0174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341AC4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2021</c:v>
                </c:pt>
                <c:pt idx="1">
                  <c:v>الربع الأول 2022</c:v>
                </c:pt>
                <c:pt idx="2">
                  <c:v>الربع الثاني 2022</c:v>
                </c:pt>
                <c:pt idx="3">
                  <c:v>الربع الثالث 2022</c:v>
                </c:pt>
                <c:pt idx="4">
                  <c:v>الربع الرابع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383</c:v>
                </c:pt>
                <c:pt idx="1">
                  <c:v>348</c:v>
                </c:pt>
                <c:pt idx="2">
                  <c:v>322</c:v>
                </c:pt>
                <c:pt idx="3">
                  <c:v>313</c:v>
                </c:pt>
                <c:pt idx="4">
                  <c:v>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الرابع 2021</c:v>
                </c:pt>
                <c:pt idx="1">
                  <c:v>الربع الأول 2022</c:v>
                </c:pt>
                <c:pt idx="2">
                  <c:v>الربع الثاني 2022</c:v>
                </c:pt>
                <c:pt idx="3">
                  <c:v>الربع الثالث 2022</c:v>
                </c:pt>
                <c:pt idx="4">
                  <c:v>الربع الرابع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1940</c:v>
                </c:pt>
                <c:pt idx="1">
                  <c:v>1997</c:v>
                </c:pt>
                <c:pt idx="2">
                  <c:v>1558</c:v>
                </c:pt>
                <c:pt idx="3">
                  <c:v>1626</c:v>
                </c:pt>
                <c:pt idx="4">
                  <c:v>1674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الرابع 2021</c:v>
                </c:pt>
                <c:pt idx="1">
                  <c:v>الربع الأول 2022</c:v>
                </c:pt>
                <c:pt idx="2">
                  <c:v>الربع الثاني 2022</c:v>
                </c:pt>
                <c:pt idx="3">
                  <c:v>الربع الثالث 2022</c:v>
                </c:pt>
                <c:pt idx="4">
                  <c:v>الربع الرابع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3179</c:v>
                </c:pt>
                <c:pt idx="1">
                  <c:v>3271</c:v>
                </c:pt>
                <c:pt idx="2">
                  <c:v>2610</c:v>
                </c:pt>
                <c:pt idx="3">
                  <c:v>2665</c:v>
                </c:pt>
                <c:pt idx="4">
                  <c:v>2804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1BB6-015A-4C71-93F0-69D8E39A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</cp:revision>
  <cp:lastPrinted>2023-02-27T11:49:00Z</cp:lastPrinted>
  <dcterms:created xsi:type="dcterms:W3CDTF">2023-02-27T11:50:00Z</dcterms:created>
  <dcterms:modified xsi:type="dcterms:W3CDTF">2023-02-27T11:53:00Z</dcterms:modified>
</cp:coreProperties>
</file>