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69" w:rsidRDefault="00717E69" w:rsidP="00717E69">
      <w:pPr>
        <w:tabs>
          <w:tab w:val="left" w:pos="9070"/>
          <w:tab w:val="right" w:pos="9212"/>
        </w:tabs>
        <w:spacing w:line="276" w:lineRule="auto"/>
        <w:ind w:left="-1" w:right="284"/>
        <w:jc w:val="center"/>
        <w:rPr>
          <w:rFonts w:cs="Simplified Arabic"/>
          <w:b/>
          <w:bCs/>
          <w:sz w:val="28"/>
          <w:szCs w:val="28"/>
          <w:rtl/>
        </w:rPr>
      </w:pPr>
    </w:p>
    <w:p w:rsidR="00AD384C" w:rsidRPr="00717E69" w:rsidRDefault="00717E69" w:rsidP="00151CDC">
      <w:pPr>
        <w:tabs>
          <w:tab w:val="left" w:pos="9070"/>
          <w:tab w:val="right" w:pos="9212"/>
        </w:tabs>
        <w:spacing w:line="276" w:lineRule="auto"/>
        <w:ind w:left="231" w:right="284"/>
        <w:jc w:val="center"/>
        <w:rPr>
          <w:rFonts w:cs="Simplified Arabic"/>
          <w:b/>
          <w:bCs/>
          <w:sz w:val="28"/>
          <w:szCs w:val="28"/>
          <w:rtl/>
        </w:rPr>
      </w:pPr>
      <w:r w:rsidRPr="00717E69">
        <w:rPr>
          <w:rFonts w:cs="Simplified Arabic" w:hint="cs"/>
          <w:b/>
          <w:bCs/>
          <w:sz w:val="28"/>
          <w:szCs w:val="28"/>
          <w:rtl/>
        </w:rPr>
        <w:t xml:space="preserve">الاحصاء الفلسطيني: </w:t>
      </w:r>
      <w:r w:rsidR="005842AA" w:rsidRPr="00717E69">
        <w:rPr>
          <w:rFonts w:cs="Simplified Arabic" w:hint="cs"/>
          <w:b/>
          <w:bCs/>
          <w:sz w:val="28"/>
          <w:szCs w:val="28"/>
          <w:rtl/>
        </w:rPr>
        <w:t>انخفاض</w:t>
      </w:r>
      <w:r w:rsidR="00AD384C" w:rsidRPr="00717E69">
        <w:rPr>
          <w:rFonts w:cs="Simplified Arabic"/>
          <w:b/>
          <w:bCs/>
          <w:sz w:val="28"/>
          <w:szCs w:val="28"/>
          <w:rtl/>
        </w:rPr>
        <w:t xml:space="preserve"> عدد رخص الأبنية على مستوى فلسطين* خلال الربع </w:t>
      </w:r>
      <w:r w:rsidR="005842AA" w:rsidRPr="00717E69">
        <w:rPr>
          <w:rFonts w:cs="Simplified Arabic" w:hint="cs"/>
          <w:b/>
          <w:bCs/>
          <w:sz w:val="28"/>
          <w:szCs w:val="28"/>
          <w:rtl/>
        </w:rPr>
        <w:t>الثاني</w:t>
      </w:r>
      <w:r w:rsidR="00AD384C" w:rsidRPr="00717E69">
        <w:rPr>
          <w:rFonts w:cs="Simplified Arabic"/>
          <w:b/>
          <w:bCs/>
          <w:sz w:val="28"/>
          <w:szCs w:val="28"/>
          <w:rtl/>
        </w:rPr>
        <w:t xml:space="preserve"> 20</w:t>
      </w:r>
      <w:r w:rsidR="00AD384C" w:rsidRPr="00717E69">
        <w:rPr>
          <w:rFonts w:cs="Simplified Arabic" w:hint="cs"/>
          <w:b/>
          <w:bCs/>
          <w:sz w:val="28"/>
          <w:szCs w:val="28"/>
          <w:rtl/>
        </w:rPr>
        <w:t>2</w:t>
      </w:r>
      <w:r w:rsidR="00B418FF" w:rsidRPr="00717E69">
        <w:rPr>
          <w:rFonts w:cs="Simplified Arabic" w:hint="cs"/>
          <w:b/>
          <w:bCs/>
          <w:sz w:val="28"/>
          <w:szCs w:val="28"/>
          <w:rtl/>
        </w:rPr>
        <w:t>2</w:t>
      </w:r>
      <w:r w:rsidR="006A21C0" w:rsidRPr="00717E69">
        <w:rPr>
          <w:rFonts w:cs="Simplified Arabic" w:hint="cs"/>
          <w:b/>
          <w:bCs/>
          <w:sz w:val="28"/>
          <w:szCs w:val="28"/>
          <w:rtl/>
        </w:rPr>
        <w:t xml:space="preserve"> مقارنة بالربع السابق</w:t>
      </w:r>
      <w:r w:rsidR="00AD384C" w:rsidRPr="00717E69">
        <w:rPr>
          <w:rFonts w:cs="Simplified Arabic"/>
          <w:b/>
          <w:bCs/>
          <w:sz w:val="28"/>
          <w:szCs w:val="28"/>
          <w:rtl/>
        </w:rPr>
        <w:t xml:space="preserve">، نتج عن </w:t>
      </w:r>
      <w:r w:rsidR="005842AA" w:rsidRPr="00717E69">
        <w:rPr>
          <w:rFonts w:cs="Simplified Arabic" w:hint="cs"/>
          <w:b/>
          <w:bCs/>
          <w:sz w:val="28"/>
          <w:szCs w:val="28"/>
          <w:rtl/>
        </w:rPr>
        <w:t>انخفاض</w:t>
      </w:r>
      <w:r w:rsidR="006A7DAA" w:rsidRPr="00717E69">
        <w:rPr>
          <w:rFonts w:cs="Simplified Arabic"/>
          <w:b/>
          <w:bCs/>
          <w:sz w:val="28"/>
          <w:szCs w:val="28"/>
          <w:rtl/>
        </w:rPr>
        <w:t xml:space="preserve"> في عدد رخص ال</w:t>
      </w:r>
      <w:r w:rsidR="006A7DAA" w:rsidRPr="00717E69">
        <w:rPr>
          <w:rFonts w:cs="Simplified Arabic" w:hint="cs"/>
          <w:b/>
          <w:bCs/>
          <w:sz w:val="28"/>
          <w:szCs w:val="28"/>
          <w:rtl/>
        </w:rPr>
        <w:t>أ</w:t>
      </w:r>
      <w:r w:rsidR="00AD384C" w:rsidRPr="00717E69">
        <w:rPr>
          <w:rFonts w:cs="Simplified Arabic"/>
          <w:b/>
          <w:bCs/>
          <w:sz w:val="28"/>
          <w:szCs w:val="28"/>
          <w:rtl/>
        </w:rPr>
        <w:t>بنية الجديدة</w:t>
      </w:r>
    </w:p>
    <w:p w:rsidR="00934066" w:rsidRPr="007B78A7" w:rsidRDefault="00934066" w:rsidP="007B78A7"/>
    <w:p w:rsidR="00806D87" w:rsidRPr="00717E69" w:rsidRDefault="00806D87" w:rsidP="005842AA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5842AA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B418FF" w:rsidRPr="00717E69">
        <w:rPr>
          <w:rFonts w:ascii="Simplified Arabic" w:hAnsi="Simplified Arabic" w:cs="Simplified Arabic"/>
          <w:sz w:val="26"/>
          <w:szCs w:val="26"/>
          <w:rtl/>
        </w:rPr>
        <w:t>,</w:t>
      </w:r>
      <w:r w:rsidR="005842AA" w:rsidRPr="00717E69">
        <w:rPr>
          <w:rFonts w:ascii="Simplified Arabic" w:hAnsi="Simplified Arabic" w:cs="Simplified Arabic"/>
          <w:sz w:val="26"/>
          <w:szCs w:val="26"/>
          <w:rtl/>
        </w:rPr>
        <w:t>610</w:t>
      </w:r>
      <w:r w:rsidR="00DD4B79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5842AA" w:rsidRPr="00717E69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8A144A" w:rsidRPr="00717E69">
        <w:rPr>
          <w:rFonts w:ascii="Simplified Arabic" w:hAnsi="Simplified Arabic" w:cs="Simplified Arabic"/>
          <w:sz w:val="26"/>
          <w:szCs w:val="26"/>
          <w:rtl/>
        </w:rPr>
        <w:t>ال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0B2949" w:rsidRPr="00717E69">
        <w:rPr>
          <w:rFonts w:ascii="Simplified Arabic" w:hAnsi="Simplified Arabic" w:cs="Simplified Arabic"/>
          <w:sz w:val="26"/>
          <w:szCs w:val="26"/>
          <w:rtl/>
        </w:rPr>
        <w:t>20</w:t>
      </w:r>
      <w:r w:rsidR="007C5E30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B418FF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، منها</w:t>
      </w:r>
      <w:r w:rsidR="000B2949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18FF" w:rsidRPr="00717E69">
        <w:rPr>
          <w:rFonts w:ascii="Simplified Arabic" w:hAnsi="Simplified Arabic" w:cs="Simplified Arabic"/>
          <w:sz w:val="26"/>
          <w:szCs w:val="26"/>
          <w:rtl/>
        </w:rPr>
        <w:t>1,</w:t>
      </w:r>
      <w:r w:rsidR="005842AA" w:rsidRPr="00717E69">
        <w:rPr>
          <w:rFonts w:ascii="Simplified Arabic" w:hAnsi="Simplified Arabic" w:cs="Simplified Arabic"/>
          <w:sz w:val="26"/>
          <w:szCs w:val="26"/>
          <w:rtl/>
        </w:rPr>
        <w:t>558</w:t>
      </w:r>
      <w:r w:rsidR="000B2949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</w:p>
    <w:p w:rsidR="00806D87" w:rsidRPr="00717E69" w:rsidRDefault="00806D87" w:rsidP="00806D87">
      <w:pPr>
        <w:ind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717E69" w:rsidRDefault="00C40002" w:rsidP="00C40002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717E69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53570E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20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717E69">
        <w:rPr>
          <w:rFonts w:ascii="Simplified Arabic" w:hAnsi="Simplified Arabic" w:cs="Simplified Arabic"/>
          <w:sz w:val="26"/>
          <w:szCs w:val="26"/>
          <w:rtl/>
        </w:rPr>
        <w:t>202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، كما سجل </w:t>
      </w:r>
      <w:r w:rsidR="008B36AE" w:rsidRPr="00717E69">
        <w:rPr>
          <w:rFonts w:ascii="Simplified Arabic" w:hAnsi="Simplified Arabic" w:cs="Simplified Arabic"/>
          <w:sz w:val="26"/>
          <w:szCs w:val="26"/>
          <w:rtl/>
        </w:rPr>
        <w:t>ا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6171FD" w:rsidRPr="00717E69">
        <w:rPr>
          <w:rFonts w:ascii="Simplified Arabic" w:hAnsi="Simplified Arabic" w:cs="Simplified Arabic"/>
          <w:sz w:val="26"/>
          <w:szCs w:val="26"/>
          <w:rtl/>
        </w:rPr>
        <w:t>ا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ً </w:t>
      </w:r>
      <w:r w:rsidR="00EC6E04" w:rsidRPr="00717E69">
        <w:rPr>
          <w:rFonts w:ascii="Simplified Arabic" w:hAnsi="Simplified Arabic" w:cs="Simplified Arabic"/>
          <w:sz w:val="26"/>
          <w:szCs w:val="26"/>
          <w:rtl/>
        </w:rPr>
        <w:t>قدره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717E69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401E02" w:rsidRPr="00717E69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22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>، وا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نخفضت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6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717E69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401E02" w:rsidRPr="00717E69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717E6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3901" w:rsidRPr="00717E69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717E69" w:rsidRDefault="00806D87" w:rsidP="003A2CA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DD4B79" w:rsidRPr="00717E69">
        <w:rPr>
          <w:rFonts w:ascii="Simplified Arabic" w:hAnsi="Simplified Arabic" w:cs="Simplified Arabic"/>
          <w:sz w:val="26"/>
          <w:szCs w:val="26"/>
          <w:rtl/>
        </w:rPr>
        <w:t>1</w:t>
      </w:r>
      <w:r w:rsidR="003F4E26" w:rsidRPr="00717E69">
        <w:rPr>
          <w:rFonts w:ascii="Simplified Arabic" w:hAnsi="Simplified Arabic" w:cs="Simplified Arabic"/>
          <w:sz w:val="26"/>
          <w:szCs w:val="26"/>
          <w:rtl/>
        </w:rPr>
        <w:t>,</w:t>
      </w:r>
      <w:r w:rsidR="0018396A" w:rsidRPr="00717E69">
        <w:rPr>
          <w:rFonts w:ascii="Simplified Arabic" w:hAnsi="Simplified Arabic" w:cs="Simplified Arabic"/>
          <w:sz w:val="26"/>
          <w:szCs w:val="26"/>
          <w:rtl/>
        </w:rPr>
        <w:t>235</w:t>
      </w:r>
      <w:r w:rsidR="00492C21" w:rsidRPr="00717E69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2CA7" w:rsidRPr="00717E69">
        <w:rPr>
          <w:rFonts w:ascii="Simplified Arabic" w:hAnsi="Simplified Arabic" w:cs="Simplified Arabic"/>
          <w:sz w:val="26"/>
          <w:szCs w:val="26"/>
          <w:rtl/>
        </w:rPr>
        <w:t>944</w:t>
      </w:r>
      <w:r w:rsidR="001C3FA3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717E69">
        <w:rPr>
          <w:rFonts w:ascii="Simplified Arabic" w:hAnsi="Simplified Arabic" w:cs="Simplified Arabic"/>
          <w:sz w:val="26"/>
          <w:szCs w:val="26"/>
          <w:rtl/>
        </w:rPr>
        <w:t>ة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717E69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717E69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717E69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717E69">
        <w:rPr>
          <w:rFonts w:ascii="Simplified Arabic" w:hAnsi="Simplified Arabic" w:cs="Simplified Arabic"/>
          <w:sz w:val="26"/>
          <w:szCs w:val="26"/>
          <w:rtl/>
        </w:rPr>
        <w:t>ال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717E69">
        <w:rPr>
          <w:rFonts w:ascii="Simplified Arabic" w:hAnsi="Simplified Arabic" w:cs="Simplified Arabic"/>
          <w:sz w:val="26"/>
          <w:szCs w:val="26"/>
          <w:rtl/>
        </w:rPr>
        <w:t>و</w:t>
      </w:r>
      <w:r w:rsidR="008B36AE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37770F" w:rsidRPr="00717E69">
        <w:rPr>
          <w:rFonts w:ascii="Simplified Arabic" w:hAnsi="Simplified Arabic" w:cs="Simplified Arabic"/>
          <w:sz w:val="26"/>
          <w:szCs w:val="26"/>
          <w:rtl/>
        </w:rPr>
        <w:t>9</w:t>
      </w:r>
      <w:r w:rsidR="0018396A" w:rsidRPr="00717E69">
        <w:rPr>
          <w:rFonts w:ascii="Simplified Arabic" w:hAnsi="Simplified Arabic" w:cs="Simplified Arabic"/>
          <w:sz w:val="26"/>
          <w:szCs w:val="26"/>
          <w:rtl/>
        </w:rPr>
        <w:t>1</w:t>
      </w:r>
      <w:r w:rsidR="00EA2D7E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717E69">
        <w:rPr>
          <w:rFonts w:ascii="Simplified Arabic" w:hAnsi="Simplified Arabic" w:cs="Simplified Arabic"/>
          <w:sz w:val="26"/>
          <w:szCs w:val="26"/>
          <w:rtl/>
        </w:rPr>
        <w:t>ة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717E69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717E69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717E69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717E69">
        <w:rPr>
          <w:rFonts w:ascii="Simplified Arabic" w:hAnsi="Simplified Arabic" w:cs="Simplified Arabic"/>
          <w:sz w:val="26"/>
          <w:szCs w:val="26"/>
          <w:rtl/>
        </w:rPr>
        <w:t>ال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717E69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717E69" w:rsidRDefault="00806D87" w:rsidP="00CA434D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5</w:t>
      </w:r>
      <w:r w:rsidR="00D67047" w:rsidRPr="00717E69">
        <w:rPr>
          <w:rFonts w:ascii="Simplified Arabic" w:hAnsi="Simplified Arabic" w:cs="Simplified Arabic"/>
          <w:sz w:val="26"/>
          <w:szCs w:val="26"/>
          <w:rtl/>
        </w:rPr>
        <w:t>,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290</w:t>
      </w:r>
      <w:r w:rsidR="008B36AE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902</w:t>
      </w:r>
      <w:r w:rsidR="00911678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352D89" w:rsidRPr="00717E69">
        <w:rPr>
          <w:rFonts w:ascii="Simplified Arabic" w:hAnsi="Simplified Arabic" w:cs="Simplified Arabic"/>
          <w:sz w:val="26"/>
          <w:szCs w:val="26"/>
          <w:rtl/>
        </w:rPr>
        <w:t>4,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001</w:t>
      </w:r>
      <w:r w:rsidR="00940F0C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717E69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689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717E69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352D89" w:rsidRPr="00717E69">
        <w:rPr>
          <w:rFonts w:ascii="Simplified Arabic" w:hAnsi="Simplified Arabic" w:cs="Simplified Arabic"/>
          <w:sz w:val="26"/>
          <w:szCs w:val="26"/>
          <w:rtl/>
        </w:rPr>
        <w:t>1,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289</w:t>
      </w:r>
      <w:r w:rsidR="00FA6550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717E69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D971BF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13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806D87" w:rsidRPr="00717E69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rFonts w:ascii="Simplified Arabic" w:hAnsi="Simplified Arabic"/>
          <w:sz w:val="10"/>
          <w:szCs w:val="10"/>
          <w:rtl/>
        </w:rPr>
      </w:pPr>
    </w:p>
    <w:p w:rsidR="00107EC2" w:rsidRPr="00717E69" w:rsidRDefault="00806D87" w:rsidP="00D95B92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717E69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717E69">
        <w:rPr>
          <w:rFonts w:ascii="Simplified Arabic" w:hAnsi="Simplified Arabic" w:cs="Simplified Arabic"/>
          <w:sz w:val="26"/>
          <w:szCs w:val="26"/>
          <w:rtl/>
        </w:rPr>
        <w:t>ا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F152D9" w:rsidRPr="00717E69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20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323EB1" w:rsidRPr="00717E69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717E69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D63681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B6854" w:rsidRPr="00717E69">
        <w:rPr>
          <w:rFonts w:ascii="Simplified Arabic" w:hAnsi="Simplified Arabic" w:cs="Simplified Arabic"/>
          <w:sz w:val="26"/>
          <w:szCs w:val="26"/>
          <w:rtl/>
        </w:rPr>
        <w:t>الأ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ول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D95B92" w:rsidRPr="00717E69">
        <w:rPr>
          <w:rFonts w:ascii="Simplified Arabic" w:hAnsi="Simplified Arabic" w:cs="Simplified Arabic"/>
          <w:sz w:val="26"/>
          <w:szCs w:val="26"/>
          <w:rtl/>
        </w:rPr>
        <w:t>2022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، و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 xml:space="preserve">ارتفع </w:t>
      </w:r>
      <w:r w:rsidR="004D1356" w:rsidRPr="00717E6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434D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717E69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717E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717E69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717E69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717E69">
        <w:rPr>
          <w:rFonts w:ascii="Simplified Arabic" w:hAnsi="Simplified Arabic" w:cs="Simplified Arabic"/>
          <w:sz w:val="26"/>
          <w:szCs w:val="26"/>
          <w:rtl/>
        </w:rPr>
        <w:t>2</w:t>
      </w:r>
      <w:r w:rsidR="005959C7" w:rsidRPr="00717E69">
        <w:rPr>
          <w:rFonts w:ascii="Simplified Arabic" w:hAnsi="Simplified Arabic" w:cs="Simplified Arabic"/>
          <w:sz w:val="26"/>
          <w:szCs w:val="26"/>
          <w:rtl/>
        </w:rPr>
        <w:t>1</w:t>
      </w:r>
      <w:r w:rsidRPr="00717E6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A0573C" w:rsidRDefault="00D84F3E" w:rsidP="00A555C6">
      <w:pPr>
        <w:tabs>
          <w:tab w:val="left" w:pos="9070"/>
          <w:tab w:val="right" w:pos="9212"/>
        </w:tabs>
        <w:ind w:right="284"/>
        <w:jc w:val="lowKashida"/>
        <w:rPr>
          <w:rFonts w:cs="Simplified Arabic"/>
          <w:rtl/>
        </w:rPr>
      </w:pPr>
    </w:p>
    <w:p w:rsidR="0099558D" w:rsidRDefault="00DA668E" w:rsidP="004677CE">
      <w:pPr>
        <w:ind w:left="2" w:firstLine="31"/>
        <w:jc w:val="center"/>
        <w:rPr>
          <w:rFonts w:cs="Simplified Arabic"/>
          <w:b/>
          <w:bCs/>
          <w:sz w:val="22"/>
          <w:szCs w:val="22"/>
          <w:rtl/>
        </w:rPr>
      </w:pPr>
      <w:r w:rsidRPr="00055B15">
        <w:rPr>
          <w:rFonts w:cs="Simplified Arabic" w:hint="cs"/>
          <w:b/>
          <w:bCs/>
          <w:sz w:val="22"/>
          <w:szCs w:val="22"/>
          <w:rtl/>
        </w:rPr>
        <w:t xml:space="preserve">عدد </w:t>
      </w:r>
      <w:r w:rsidRPr="00055B15">
        <w:rPr>
          <w:rFonts w:cs="Simplified Arabic"/>
          <w:b/>
          <w:bCs/>
          <w:sz w:val="22"/>
          <w:szCs w:val="22"/>
          <w:rtl/>
        </w:rPr>
        <w:t xml:space="preserve">رخص الأبنية الصادرة في </w:t>
      </w:r>
      <w:r w:rsidR="005A1D8D">
        <w:rPr>
          <w:rFonts w:cs="Simplified Arabic" w:hint="cs"/>
          <w:b/>
          <w:bCs/>
          <w:sz w:val="22"/>
          <w:szCs w:val="22"/>
          <w:rtl/>
        </w:rPr>
        <w:t>فلسطين</w:t>
      </w:r>
      <w:r w:rsidR="00C369C0">
        <w:rPr>
          <w:rFonts w:cs="Simplified Arabic"/>
          <w:b/>
          <w:bCs/>
          <w:sz w:val="22"/>
          <w:szCs w:val="22"/>
        </w:rPr>
        <w:t>*</w:t>
      </w:r>
      <w:r w:rsidR="00AC3B65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0E7805">
        <w:rPr>
          <w:rFonts w:cs="Simplified Arabic" w:hint="cs"/>
          <w:b/>
          <w:bCs/>
          <w:sz w:val="22"/>
          <w:szCs w:val="22"/>
          <w:rtl/>
        </w:rPr>
        <w:t xml:space="preserve">في الفترة من </w:t>
      </w:r>
      <w:r w:rsidR="00D939DF">
        <w:rPr>
          <w:rFonts w:cs="Simplified Arabic" w:hint="cs"/>
          <w:b/>
          <w:bCs/>
          <w:sz w:val="22"/>
          <w:szCs w:val="22"/>
          <w:rtl/>
        </w:rPr>
        <w:t>ا</w:t>
      </w:r>
      <w:r w:rsidR="000F003D">
        <w:rPr>
          <w:rFonts w:cs="Simplified Arabic" w:hint="cs"/>
          <w:b/>
          <w:bCs/>
          <w:sz w:val="22"/>
          <w:szCs w:val="22"/>
          <w:rtl/>
        </w:rPr>
        <w:t xml:space="preserve">لربع </w:t>
      </w:r>
      <w:r w:rsidR="00AC0C25">
        <w:rPr>
          <w:rFonts w:cs="Simplified Arabic" w:hint="cs"/>
          <w:b/>
          <w:bCs/>
          <w:sz w:val="22"/>
          <w:szCs w:val="22"/>
          <w:rtl/>
        </w:rPr>
        <w:t>الثاني</w:t>
      </w:r>
      <w:r w:rsidR="000F003D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497FEA">
        <w:rPr>
          <w:rFonts w:cs="Simplified Arabic" w:hint="cs"/>
          <w:b/>
          <w:bCs/>
          <w:sz w:val="22"/>
          <w:szCs w:val="22"/>
          <w:rtl/>
        </w:rPr>
        <w:t>20</w:t>
      </w:r>
      <w:r w:rsidR="00FA6550">
        <w:rPr>
          <w:rFonts w:cs="Simplified Arabic" w:hint="cs"/>
          <w:b/>
          <w:bCs/>
          <w:sz w:val="22"/>
          <w:szCs w:val="22"/>
          <w:rtl/>
        </w:rPr>
        <w:t>2</w:t>
      </w:r>
      <w:r w:rsidR="00CA271F">
        <w:rPr>
          <w:rFonts w:cs="Simplified Arabic" w:hint="cs"/>
          <w:b/>
          <w:bCs/>
          <w:sz w:val="22"/>
          <w:szCs w:val="22"/>
          <w:rtl/>
        </w:rPr>
        <w:t>1</w:t>
      </w:r>
      <w:r w:rsidR="000F003D">
        <w:rPr>
          <w:rFonts w:cs="Simplified Arabic" w:hint="cs"/>
          <w:b/>
          <w:bCs/>
          <w:sz w:val="22"/>
          <w:szCs w:val="22"/>
          <w:rtl/>
        </w:rPr>
        <w:t xml:space="preserve"> إلى الربع</w:t>
      </w:r>
      <w:r w:rsidR="00567374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4677CE">
        <w:rPr>
          <w:rFonts w:cs="Simplified Arabic" w:hint="cs"/>
          <w:b/>
          <w:bCs/>
          <w:sz w:val="22"/>
          <w:szCs w:val="22"/>
          <w:rtl/>
        </w:rPr>
        <w:t>الثاني</w:t>
      </w:r>
      <w:r w:rsidR="00D70601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497FEA">
        <w:rPr>
          <w:rFonts w:cs="Simplified Arabic" w:hint="cs"/>
          <w:b/>
          <w:bCs/>
          <w:sz w:val="22"/>
          <w:szCs w:val="22"/>
          <w:rtl/>
        </w:rPr>
        <w:t>20</w:t>
      </w:r>
      <w:r w:rsidR="00F152D9">
        <w:rPr>
          <w:rFonts w:cs="Simplified Arabic" w:hint="cs"/>
          <w:b/>
          <w:bCs/>
          <w:sz w:val="22"/>
          <w:szCs w:val="22"/>
          <w:rtl/>
        </w:rPr>
        <w:t>2</w:t>
      </w:r>
      <w:r w:rsidR="00CA271F">
        <w:rPr>
          <w:rFonts w:cs="Simplified Arabic" w:hint="cs"/>
          <w:b/>
          <w:bCs/>
          <w:sz w:val="22"/>
          <w:szCs w:val="22"/>
          <w:rtl/>
        </w:rPr>
        <w:t>2</w:t>
      </w:r>
    </w:p>
    <w:p w:rsidR="0049065D" w:rsidRPr="00F83A0B" w:rsidRDefault="0049065D" w:rsidP="00C369C0">
      <w:pPr>
        <w:ind w:left="2" w:firstLine="31"/>
        <w:jc w:val="center"/>
        <w:rPr>
          <w:rFonts w:cs="Simplified Arabic"/>
          <w:b/>
          <w:bCs/>
          <w:sz w:val="8"/>
          <w:szCs w:val="8"/>
          <w:rtl/>
        </w:rPr>
      </w:pPr>
    </w:p>
    <w:p w:rsidR="00BF2018" w:rsidRDefault="00433D26" w:rsidP="00717E69">
      <w:pPr>
        <w:pStyle w:val="BodyText"/>
        <w:jc w:val="center"/>
        <w:rPr>
          <w:sz w:val="18"/>
          <w:szCs w:val="18"/>
          <w:rtl/>
        </w:rPr>
      </w:pPr>
      <w:r w:rsidRPr="00511282">
        <w:rPr>
          <w:b/>
          <w:bCs/>
          <w:noProof/>
          <w:snapToGrid/>
        </w:rPr>
        <w:drawing>
          <wp:inline distT="0" distB="0" distL="0" distR="0">
            <wp:extent cx="3533775" cy="2711487"/>
            <wp:effectExtent l="38100" t="38100" r="47625" b="50800"/>
            <wp:docPr id="1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018" w:rsidRDefault="00BF2018" w:rsidP="00BF2018">
      <w:pPr>
        <w:pStyle w:val="BodyText"/>
        <w:jc w:val="both"/>
        <w:rPr>
          <w:sz w:val="18"/>
          <w:szCs w:val="18"/>
          <w:rtl/>
        </w:rPr>
      </w:pPr>
    </w:p>
    <w:p w:rsidR="00EF1E7B" w:rsidRPr="00FC5A8E" w:rsidRDefault="00C86748" w:rsidP="00FC5A8E">
      <w:pPr>
        <w:pStyle w:val="BodyText"/>
        <w:jc w:val="both"/>
        <w:rPr>
          <w:b/>
          <w:bCs/>
          <w:rtl/>
        </w:rPr>
      </w:pPr>
      <w:r w:rsidRPr="00717E69">
        <w:rPr>
          <w:b/>
          <w:bCs/>
          <w:sz w:val="18"/>
          <w:szCs w:val="18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  <w:bookmarkStart w:id="0" w:name="_GoBack"/>
      <w:bookmarkEnd w:id="0"/>
    </w:p>
    <w:sectPr w:rsidR="00EF1E7B" w:rsidRPr="00FC5A8E" w:rsidSect="00717E69">
      <w:headerReference w:type="default" r:id="rId9"/>
      <w:pgSz w:w="12240" w:h="15840"/>
      <w:pgMar w:top="851" w:right="810" w:bottom="851" w:left="851" w:header="360" w:footer="720" w:gutter="0"/>
      <w:cols w:space="785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53" w:rsidRDefault="001C4C53">
      <w:r>
        <w:separator/>
      </w:r>
    </w:p>
  </w:endnote>
  <w:endnote w:type="continuationSeparator" w:id="0">
    <w:p w:rsidR="001C4C53" w:rsidRDefault="001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53" w:rsidRDefault="001C4C53">
      <w:r>
        <w:separator/>
      </w:r>
    </w:p>
  </w:footnote>
  <w:footnote w:type="continuationSeparator" w:id="0">
    <w:p w:rsidR="001C4C53" w:rsidRDefault="001C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CD"/>
    <w:rsid w:val="00003F2C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763"/>
    <w:rsid w:val="0008553D"/>
    <w:rsid w:val="00090C4E"/>
    <w:rsid w:val="00092AB0"/>
    <w:rsid w:val="000933A8"/>
    <w:rsid w:val="00097D8D"/>
    <w:rsid w:val="000A5DEA"/>
    <w:rsid w:val="000A7D5F"/>
    <w:rsid w:val="000B1A9A"/>
    <w:rsid w:val="000B2949"/>
    <w:rsid w:val="000C1A37"/>
    <w:rsid w:val="000C376E"/>
    <w:rsid w:val="000C5BA8"/>
    <w:rsid w:val="000D39DC"/>
    <w:rsid w:val="000D6034"/>
    <w:rsid w:val="000D76DD"/>
    <w:rsid w:val="000E2629"/>
    <w:rsid w:val="000E7805"/>
    <w:rsid w:val="000F003D"/>
    <w:rsid w:val="001055AA"/>
    <w:rsid w:val="00107EC2"/>
    <w:rsid w:val="001165FE"/>
    <w:rsid w:val="00121301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51CDC"/>
    <w:rsid w:val="00163D8E"/>
    <w:rsid w:val="0018396A"/>
    <w:rsid w:val="00185362"/>
    <w:rsid w:val="001866E1"/>
    <w:rsid w:val="00190CF2"/>
    <w:rsid w:val="001941D9"/>
    <w:rsid w:val="00196F47"/>
    <w:rsid w:val="00197084"/>
    <w:rsid w:val="001A0E21"/>
    <w:rsid w:val="001A7663"/>
    <w:rsid w:val="001B4AD5"/>
    <w:rsid w:val="001C3FA3"/>
    <w:rsid w:val="001C4C53"/>
    <w:rsid w:val="001C647B"/>
    <w:rsid w:val="001E1B60"/>
    <w:rsid w:val="001E6F82"/>
    <w:rsid w:val="001E746B"/>
    <w:rsid w:val="001E7E19"/>
    <w:rsid w:val="00203EF5"/>
    <w:rsid w:val="0020621F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6214E"/>
    <w:rsid w:val="00264492"/>
    <w:rsid w:val="002651AD"/>
    <w:rsid w:val="00270F44"/>
    <w:rsid w:val="00276787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44E0F"/>
    <w:rsid w:val="00352D89"/>
    <w:rsid w:val="00356D2A"/>
    <w:rsid w:val="00374098"/>
    <w:rsid w:val="00374DAB"/>
    <w:rsid w:val="0037770F"/>
    <w:rsid w:val="003803B9"/>
    <w:rsid w:val="00381384"/>
    <w:rsid w:val="00381ACE"/>
    <w:rsid w:val="00385F93"/>
    <w:rsid w:val="00386C9A"/>
    <w:rsid w:val="00390BEE"/>
    <w:rsid w:val="00391381"/>
    <w:rsid w:val="00394D03"/>
    <w:rsid w:val="003A2CA7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27743"/>
    <w:rsid w:val="004320EE"/>
    <w:rsid w:val="00433D26"/>
    <w:rsid w:val="004341F0"/>
    <w:rsid w:val="00436C6A"/>
    <w:rsid w:val="004445DA"/>
    <w:rsid w:val="00455D54"/>
    <w:rsid w:val="00464879"/>
    <w:rsid w:val="00464C2A"/>
    <w:rsid w:val="004677CE"/>
    <w:rsid w:val="0047710F"/>
    <w:rsid w:val="0048400C"/>
    <w:rsid w:val="00485A19"/>
    <w:rsid w:val="0049065D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40FD"/>
    <w:rsid w:val="00511282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42AA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C068A"/>
    <w:rsid w:val="005D6CA1"/>
    <w:rsid w:val="005E1718"/>
    <w:rsid w:val="005E2696"/>
    <w:rsid w:val="005E2A37"/>
    <w:rsid w:val="005E7C92"/>
    <w:rsid w:val="006038F4"/>
    <w:rsid w:val="00607394"/>
    <w:rsid w:val="006074CB"/>
    <w:rsid w:val="006134E1"/>
    <w:rsid w:val="00613FB8"/>
    <w:rsid w:val="006160EF"/>
    <w:rsid w:val="006171FD"/>
    <w:rsid w:val="00633996"/>
    <w:rsid w:val="006375EF"/>
    <w:rsid w:val="00641A72"/>
    <w:rsid w:val="006431F1"/>
    <w:rsid w:val="006444C4"/>
    <w:rsid w:val="00644839"/>
    <w:rsid w:val="006528F1"/>
    <w:rsid w:val="006541CD"/>
    <w:rsid w:val="00666A55"/>
    <w:rsid w:val="00667077"/>
    <w:rsid w:val="0067406B"/>
    <w:rsid w:val="0067593C"/>
    <w:rsid w:val="00675CF0"/>
    <w:rsid w:val="006774C7"/>
    <w:rsid w:val="00683B5E"/>
    <w:rsid w:val="00697D91"/>
    <w:rsid w:val="006A21C0"/>
    <w:rsid w:val="006A240D"/>
    <w:rsid w:val="006A36C5"/>
    <w:rsid w:val="006A474D"/>
    <w:rsid w:val="006A6650"/>
    <w:rsid w:val="006A7DAA"/>
    <w:rsid w:val="006B1F3D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6834"/>
    <w:rsid w:val="00717E69"/>
    <w:rsid w:val="00724FB0"/>
    <w:rsid w:val="007316D4"/>
    <w:rsid w:val="007317C5"/>
    <w:rsid w:val="00731947"/>
    <w:rsid w:val="00750586"/>
    <w:rsid w:val="00751F0A"/>
    <w:rsid w:val="00752CB3"/>
    <w:rsid w:val="00760452"/>
    <w:rsid w:val="00764535"/>
    <w:rsid w:val="00767212"/>
    <w:rsid w:val="0077006A"/>
    <w:rsid w:val="0077415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47074"/>
    <w:rsid w:val="00850E11"/>
    <w:rsid w:val="00851B7C"/>
    <w:rsid w:val="00857339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B6FB2"/>
    <w:rsid w:val="008C2CD2"/>
    <w:rsid w:val="008C51FB"/>
    <w:rsid w:val="008C7642"/>
    <w:rsid w:val="008E0709"/>
    <w:rsid w:val="008E2DA0"/>
    <w:rsid w:val="008F05BF"/>
    <w:rsid w:val="008F1D57"/>
    <w:rsid w:val="008F3BEA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08B5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781"/>
    <w:rsid w:val="00A96546"/>
    <w:rsid w:val="00AA01EB"/>
    <w:rsid w:val="00AA1085"/>
    <w:rsid w:val="00AA4303"/>
    <w:rsid w:val="00AA5559"/>
    <w:rsid w:val="00AC0C25"/>
    <w:rsid w:val="00AC3B65"/>
    <w:rsid w:val="00AD0C91"/>
    <w:rsid w:val="00AD384C"/>
    <w:rsid w:val="00AD5297"/>
    <w:rsid w:val="00AE5275"/>
    <w:rsid w:val="00AF2A33"/>
    <w:rsid w:val="00B02B01"/>
    <w:rsid w:val="00B05A70"/>
    <w:rsid w:val="00B11566"/>
    <w:rsid w:val="00B141D7"/>
    <w:rsid w:val="00B14DE8"/>
    <w:rsid w:val="00B15C34"/>
    <w:rsid w:val="00B16F81"/>
    <w:rsid w:val="00B32C65"/>
    <w:rsid w:val="00B418FF"/>
    <w:rsid w:val="00B4393A"/>
    <w:rsid w:val="00B4490E"/>
    <w:rsid w:val="00B46847"/>
    <w:rsid w:val="00B51660"/>
    <w:rsid w:val="00B524E0"/>
    <w:rsid w:val="00B5578A"/>
    <w:rsid w:val="00B631C8"/>
    <w:rsid w:val="00B67597"/>
    <w:rsid w:val="00B772E1"/>
    <w:rsid w:val="00B920D4"/>
    <w:rsid w:val="00B92F61"/>
    <w:rsid w:val="00B9679D"/>
    <w:rsid w:val="00BA3F65"/>
    <w:rsid w:val="00BA6832"/>
    <w:rsid w:val="00BA7639"/>
    <w:rsid w:val="00BC1660"/>
    <w:rsid w:val="00BC39DB"/>
    <w:rsid w:val="00BC7968"/>
    <w:rsid w:val="00BD0648"/>
    <w:rsid w:val="00BD1250"/>
    <w:rsid w:val="00BE4A49"/>
    <w:rsid w:val="00BE5534"/>
    <w:rsid w:val="00BF04B2"/>
    <w:rsid w:val="00BF1E8A"/>
    <w:rsid w:val="00BF2018"/>
    <w:rsid w:val="00BF663F"/>
    <w:rsid w:val="00BF6E17"/>
    <w:rsid w:val="00C017A6"/>
    <w:rsid w:val="00C0606E"/>
    <w:rsid w:val="00C13B7A"/>
    <w:rsid w:val="00C1491B"/>
    <w:rsid w:val="00C327D1"/>
    <w:rsid w:val="00C369C0"/>
    <w:rsid w:val="00C40002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271F"/>
    <w:rsid w:val="00CA30E8"/>
    <w:rsid w:val="00CA434D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53C5E"/>
    <w:rsid w:val="00D62195"/>
    <w:rsid w:val="00D63681"/>
    <w:rsid w:val="00D67047"/>
    <w:rsid w:val="00D70601"/>
    <w:rsid w:val="00D73A2B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5B92"/>
    <w:rsid w:val="00D971BF"/>
    <w:rsid w:val="00DA35F8"/>
    <w:rsid w:val="00DA668E"/>
    <w:rsid w:val="00DB44F5"/>
    <w:rsid w:val="00DC0D9E"/>
    <w:rsid w:val="00DC2990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2FB8"/>
    <w:rsid w:val="00E27857"/>
    <w:rsid w:val="00E27929"/>
    <w:rsid w:val="00E30804"/>
    <w:rsid w:val="00E3387A"/>
    <w:rsid w:val="00E43C27"/>
    <w:rsid w:val="00E460CE"/>
    <w:rsid w:val="00E74226"/>
    <w:rsid w:val="00E74502"/>
    <w:rsid w:val="00E77864"/>
    <w:rsid w:val="00E80E02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6854"/>
    <w:rsid w:val="00EB7CFD"/>
    <w:rsid w:val="00EC6E04"/>
    <w:rsid w:val="00ED2189"/>
    <w:rsid w:val="00ED2DED"/>
    <w:rsid w:val="00EE47A2"/>
    <w:rsid w:val="00EE4950"/>
    <w:rsid w:val="00EF1E7B"/>
    <w:rsid w:val="00EF4E3A"/>
    <w:rsid w:val="00EF5411"/>
    <w:rsid w:val="00F01229"/>
    <w:rsid w:val="00F015D6"/>
    <w:rsid w:val="00F01AC3"/>
    <w:rsid w:val="00F04270"/>
    <w:rsid w:val="00F07D88"/>
    <w:rsid w:val="00F152D9"/>
    <w:rsid w:val="00F1623F"/>
    <w:rsid w:val="00F1671B"/>
    <w:rsid w:val="00F21C6E"/>
    <w:rsid w:val="00F21F40"/>
    <w:rsid w:val="00F33757"/>
    <w:rsid w:val="00F339CA"/>
    <w:rsid w:val="00F3411A"/>
    <w:rsid w:val="00F37765"/>
    <w:rsid w:val="00F43803"/>
    <w:rsid w:val="00F5332A"/>
    <w:rsid w:val="00F53FE3"/>
    <w:rsid w:val="00F64981"/>
    <w:rsid w:val="00F76D91"/>
    <w:rsid w:val="00F8128C"/>
    <w:rsid w:val="00F83A0B"/>
    <w:rsid w:val="00F8578A"/>
    <w:rsid w:val="00FA2D6D"/>
    <w:rsid w:val="00FA4336"/>
    <w:rsid w:val="00FA6550"/>
    <w:rsid w:val="00FA6B5F"/>
    <w:rsid w:val="00FB2E06"/>
    <w:rsid w:val="00FB466E"/>
    <w:rsid w:val="00FC0213"/>
    <w:rsid w:val="00FC52D4"/>
    <w:rsid w:val="00FC590A"/>
    <w:rsid w:val="00FC5A8E"/>
    <w:rsid w:val="00FD0174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D0172"/>
  <w15:docId w15:val="{B5F18548-CE48-41EC-8AE6-A0B86A8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BF1E8A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2021</c:v>
                </c:pt>
                <c:pt idx="1">
                  <c:v>الربع الثالث 2021</c:v>
                </c:pt>
                <c:pt idx="2">
                  <c:v>الربع الرابع 2021</c:v>
                </c:pt>
                <c:pt idx="3">
                  <c:v>الربع الأول 2022</c:v>
                </c:pt>
                <c:pt idx="4">
                  <c:v>الربع الثاني 2022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274</c:v>
                </c:pt>
                <c:pt idx="1">
                  <c:v>272</c:v>
                </c:pt>
                <c:pt idx="2">
                  <c:v>383</c:v>
                </c:pt>
                <c:pt idx="3">
                  <c:v>348</c:v>
                </c:pt>
                <c:pt idx="4">
                  <c:v>322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D-46F7-B85A-1284AAE9E13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2021</c:v>
                </c:pt>
                <c:pt idx="1">
                  <c:v>الربع الثالث 2021</c:v>
                </c:pt>
                <c:pt idx="2">
                  <c:v>الربع الرابع 2021</c:v>
                </c:pt>
                <c:pt idx="3">
                  <c:v>الربع الأول 2022</c:v>
                </c:pt>
                <c:pt idx="4">
                  <c:v>الربع الثاني 2022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1661</c:v>
                </c:pt>
                <c:pt idx="1">
                  <c:v>1777</c:v>
                </c:pt>
                <c:pt idx="2">
                  <c:v>1940</c:v>
                </c:pt>
                <c:pt idx="3">
                  <c:v>1997</c:v>
                </c:pt>
                <c:pt idx="4">
                  <c:v>1558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D-46F7-B85A-1284AAE9E13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الثاني 2021</c:v>
                </c:pt>
                <c:pt idx="1">
                  <c:v>الربع الثالث 2021</c:v>
                </c:pt>
                <c:pt idx="2">
                  <c:v>الربع الرابع 2021</c:v>
                </c:pt>
                <c:pt idx="3">
                  <c:v>الربع الأول 2022</c:v>
                </c:pt>
                <c:pt idx="4">
                  <c:v>الربع الثاني 2022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2649</c:v>
                </c:pt>
                <c:pt idx="1">
                  <c:v>2855</c:v>
                </c:pt>
                <c:pt idx="2">
                  <c:v>3179</c:v>
                </c:pt>
                <c:pt idx="3">
                  <c:v>3271</c:v>
                </c:pt>
                <c:pt idx="4">
                  <c:v>2610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1ED-46F7-B85A-1284AAE9E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95488"/>
        <c:axId val="1"/>
      </c:lineChart>
      <c:catAx>
        <c:axId val="1089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1" baseline="0"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عدد الرخص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1"/>
            </a:pPr>
            <a:endParaRPr lang="en-US"/>
          </a:p>
        </c:txPr>
        <c:crossAx val="1089548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2.869735622669807E-2"/>
          <c:y val="0.85625292740046843"/>
          <c:w val="0.9425515206825561"/>
          <c:h val="0.13875343450921093"/>
        </c:manualLayout>
      </c:layout>
      <c:overlay val="0"/>
      <c:txPr>
        <a:bodyPr/>
        <a:lstStyle/>
        <a:p>
          <a:pPr>
            <a:defRPr sz="901"/>
          </a:pPr>
          <a:endParaRPr lang="en-US"/>
        </a:p>
      </c:txPr>
    </c:legend>
    <c:plotVisOnly val="1"/>
    <c:dispBlanksAs val="gap"/>
    <c:showDLblsOverMax val="0"/>
  </c:chart>
  <c:spPr>
    <a:ln w="3178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0348-496D-486E-9A27-AF449A7D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3</cp:revision>
  <cp:lastPrinted>2022-08-30T07:06:00Z</cp:lastPrinted>
  <dcterms:created xsi:type="dcterms:W3CDTF">2022-09-07T06:10:00Z</dcterms:created>
  <dcterms:modified xsi:type="dcterms:W3CDTF">2022-09-07T06:10:00Z</dcterms:modified>
</cp:coreProperties>
</file>