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60" w:rsidRDefault="00194E60" w:rsidP="00FE1385">
      <w:pPr>
        <w:spacing w:line="276" w:lineRule="auto"/>
        <w:jc w:val="center"/>
        <w:rPr>
          <w:rFonts w:cs="Simplified Arabic"/>
          <w:b/>
          <w:bCs/>
          <w:rtl/>
          <w:lang w:eastAsia="en-US"/>
        </w:rPr>
      </w:pPr>
    </w:p>
    <w:p w:rsidR="00FE1385" w:rsidRDefault="00194E60" w:rsidP="00FE1385">
      <w:pPr>
        <w:jc w:val="center"/>
        <w:rPr>
          <w:rFonts w:cs="Simplified Arabic"/>
          <w:b/>
          <w:bCs/>
          <w:sz w:val="32"/>
          <w:szCs w:val="32"/>
          <w:rtl/>
          <w:lang w:eastAsia="en-US"/>
        </w:rPr>
      </w:pPr>
      <w:r>
        <w:rPr>
          <w:rFonts w:cs="Simplified Arabic" w:hint="cs"/>
          <w:b/>
          <w:bCs/>
          <w:sz w:val="32"/>
          <w:szCs w:val="32"/>
          <w:rtl/>
          <w:lang w:eastAsia="en-US"/>
        </w:rPr>
        <w:t>الاحصا</w:t>
      </w:r>
      <w:r w:rsidR="00FE1385">
        <w:rPr>
          <w:rFonts w:cs="Simplified Arabic" w:hint="cs"/>
          <w:b/>
          <w:bCs/>
          <w:sz w:val="32"/>
          <w:szCs w:val="32"/>
          <w:rtl/>
          <w:lang w:eastAsia="en-US"/>
        </w:rPr>
        <w:t xml:space="preserve">ء الفلسطيني: </w:t>
      </w:r>
      <w:r w:rsidR="00DD4B79" w:rsidRPr="00194E60">
        <w:rPr>
          <w:rFonts w:cs="Simplified Arabic" w:hint="cs"/>
          <w:b/>
          <w:bCs/>
          <w:sz w:val="32"/>
          <w:szCs w:val="32"/>
          <w:rtl/>
          <w:lang w:eastAsia="en-US"/>
        </w:rPr>
        <w:t>ارتفاع</w:t>
      </w:r>
      <w:r w:rsidR="00AD384C" w:rsidRPr="00194E60">
        <w:rPr>
          <w:rFonts w:cs="Simplified Arabic"/>
          <w:b/>
          <w:bCs/>
          <w:sz w:val="32"/>
          <w:szCs w:val="32"/>
          <w:rtl/>
          <w:lang w:eastAsia="en-US"/>
        </w:rPr>
        <w:t xml:space="preserve"> عدد رخص الأبنية عل</w:t>
      </w:r>
      <w:bookmarkStart w:id="0" w:name="_GoBack"/>
      <w:bookmarkEnd w:id="0"/>
      <w:r w:rsidR="00AD384C" w:rsidRPr="00194E60">
        <w:rPr>
          <w:rFonts w:cs="Simplified Arabic"/>
          <w:b/>
          <w:bCs/>
          <w:sz w:val="32"/>
          <w:szCs w:val="32"/>
          <w:rtl/>
          <w:lang w:eastAsia="en-US"/>
        </w:rPr>
        <w:t xml:space="preserve">ى مستوى فلسطين* خلال الربع </w:t>
      </w:r>
      <w:r w:rsidR="00DD4B79" w:rsidRPr="00194E60">
        <w:rPr>
          <w:rFonts w:cs="Simplified Arabic" w:hint="cs"/>
          <w:b/>
          <w:bCs/>
          <w:sz w:val="32"/>
          <w:szCs w:val="32"/>
          <w:rtl/>
          <w:lang w:eastAsia="en-US"/>
        </w:rPr>
        <w:t>الثاني</w:t>
      </w:r>
      <w:r w:rsidR="00AD384C" w:rsidRPr="00194E60">
        <w:rPr>
          <w:rFonts w:cs="Simplified Arabic"/>
          <w:b/>
          <w:bCs/>
          <w:sz w:val="32"/>
          <w:szCs w:val="32"/>
          <w:rtl/>
          <w:lang w:eastAsia="en-US"/>
        </w:rPr>
        <w:t xml:space="preserve"> 20</w:t>
      </w:r>
      <w:r w:rsidR="00AD384C" w:rsidRPr="00194E60">
        <w:rPr>
          <w:rFonts w:cs="Simplified Arabic" w:hint="cs"/>
          <w:b/>
          <w:bCs/>
          <w:sz w:val="32"/>
          <w:szCs w:val="32"/>
          <w:rtl/>
          <w:lang w:eastAsia="en-US"/>
        </w:rPr>
        <w:t>2</w:t>
      </w:r>
      <w:r w:rsidR="008B36AE" w:rsidRPr="00194E60">
        <w:rPr>
          <w:rFonts w:cs="Simplified Arabic" w:hint="cs"/>
          <w:b/>
          <w:bCs/>
          <w:sz w:val="32"/>
          <w:szCs w:val="32"/>
          <w:rtl/>
          <w:lang w:eastAsia="en-US"/>
        </w:rPr>
        <w:t>1</w:t>
      </w:r>
      <w:r w:rsidR="006A21C0" w:rsidRPr="00194E60">
        <w:rPr>
          <w:rFonts w:cs="Simplified Arabic" w:hint="cs"/>
          <w:b/>
          <w:bCs/>
          <w:sz w:val="32"/>
          <w:szCs w:val="32"/>
          <w:rtl/>
          <w:lang w:eastAsia="en-US"/>
        </w:rPr>
        <w:t xml:space="preserve"> </w:t>
      </w:r>
    </w:p>
    <w:p w:rsidR="00AD384C" w:rsidRPr="00194E60" w:rsidRDefault="006A21C0" w:rsidP="00FE1385">
      <w:pPr>
        <w:jc w:val="center"/>
        <w:rPr>
          <w:sz w:val="32"/>
          <w:szCs w:val="32"/>
          <w:rtl/>
        </w:rPr>
      </w:pPr>
      <w:r w:rsidRPr="00194E60">
        <w:rPr>
          <w:rFonts w:cs="Simplified Arabic" w:hint="cs"/>
          <w:b/>
          <w:bCs/>
          <w:sz w:val="32"/>
          <w:szCs w:val="32"/>
          <w:rtl/>
          <w:lang w:eastAsia="en-US"/>
        </w:rPr>
        <w:t>مقارنة بالربع السابق</w:t>
      </w:r>
      <w:r w:rsidR="00AD384C" w:rsidRPr="00194E60">
        <w:rPr>
          <w:rFonts w:cs="Simplified Arabic"/>
          <w:b/>
          <w:bCs/>
          <w:sz w:val="32"/>
          <w:szCs w:val="32"/>
          <w:rtl/>
          <w:lang w:eastAsia="en-US"/>
        </w:rPr>
        <w:t xml:space="preserve">، نتج عن </w:t>
      </w:r>
      <w:r w:rsidR="00DD4B79" w:rsidRPr="00194E60">
        <w:rPr>
          <w:rFonts w:cs="Simplified Arabic" w:hint="cs"/>
          <w:b/>
          <w:bCs/>
          <w:sz w:val="32"/>
          <w:szCs w:val="32"/>
          <w:rtl/>
          <w:lang w:eastAsia="en-US"/>
        </w:rPr>
        <w:t>ارتفاع</w:t>
      </w:r>
      <w:r w:rsidR="006A7DAA" w:rsidRPr="00194E60">
        <w:rPr>
          <w:rFonts w:cs="Simplified Arabic"/>
          <w:b/>
          <w:bCs/>
          <w:sz w:val="32"/>
          <w:szCs w:val="32"/>
          <w:rtl/>
          <w:lang w:eastAsia="en-US"/>
        </w:rPr>
        <w:t xml:space="preserve"> في عدد رخص ال</w:t>
      </w:r>
      <w:r w:rsidR="006A7DAA" w:rsidRPr="00194E60">
        <w:rPr>
          <w:rFonts w:cs="Simplified Arabic" w:hint="cs"/>
          <w:b/>
          <w:bCs/>
          <w:sz w:val="32"/>
          <w:szCs w:val="32"/>
          <w:rtl/>
          <w:lang w:eastAsia="en-US"/>
        </w:rPr>
        <w:t>أ</w:t>
      </w:r>
      <w:r w:rsidR="00AD384C" w:rsidRPr="00194E60">
        <w:rPr>
          <w:rFonts w:cs="Simplified Arabic"/>
          <w:b/>
          <w:bCs/>
          <w:sz w:val="32"/>
          <w:szCs w:val="32"/>
          <w:rtl/>
          <w:lang w:eastAsia="en-US"/>
        </w:rPr>
        <w:t>بنية الجديدة</w:t>
      </w:r>
    </w:p>
    <w:p w:rsidR="00934066" w:rsidRDefault="00934066" w:rsidP="007B78A7">
      <w:pPr>
        <w:rPr>
          <w:rtl/>
        </w:rPr>
      </w:pPr>
    </w:p>
    <w:p w:rsidR="00806D87" w:rsidRPr="00FE1385" w:rsidRDefault="00806D87" w:rsidP="00DD4B79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بلغ عدد رخص الأبنـية الصادرة للمباني السكنيـة وغير السكنيـة </w:t>
      </w:r>
      <w:r w:rsidR="00DD4B79" w:rsidRPr="00FE1385">
        <w:rPr>
          <w:rFonts w:ascii="Simplified Arabic" w:hAnsi="Simplified Arabic" w:cs="Simplified Arabic"/>
          <w:sz w:val="26"/>
          <w:szCs w:val="26"/>
          <w:rtl/>
        </w:rPr>
        <w:t xml:space="preserve">2,649 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رخصة خلال الربع </w:t>
      </w:r>
      <w:r w:rsidR="00DD4B79" w:rsidRPr="00FE1385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 من </w:t>
      </w:r>
      <w:r w:rsidR="008A144A" w:rsidRPr="00FE1385">
        <w:rPr>
          <w:rFonts w:ascii="Simplified Arabic" w:hAnsi="Simplified Arabic" w:cs="Simplified Arabic"/>
          <w:sz w:val="26"/>
          <w:szCs w:val="26"/>
          <w:rtl/>
        </w:rPr>
        <w:t>ال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عام </w:t>
      </w:r>
      <w:r w:rsidR="000B2949" w:rsidRPr="00FE1385">
        <w:rPr>
          <w:rFonts w:ascii="Simplified Arabic" w:hAnsi="Simplified Arabic" w:cs="Simplified Arabic"/>
          <w:sz w:val="26"/>
          <w:szCs w:val="26"/>
          <w:rtl/>
        </w:rPr>
        <w:t>20</w:t>
      </w:r>
      <w:r w:rsidR="007C5E30" w:rsidRPr="00FE1385">
        <w:rPr>
          <w:rFonts w:ascii="Simplified Arabic" w:hAnsi="Simplified Arabic" w:cs="Simplified Arabic"/>
          <w:sz w:val="26"/>
          <w:szCs w:val="26"/>
          <w:rtl/>
        </w:rPr>
        <w:t>2</w:t>
      </w:r>
      <w:r w:rsidR="008B36AE" w:rsidRPr="00FE1385">
        <w:rPr>
          <w:rFonts w:ascii="Simplified Arabic" w:hAnsi="Simplified Arabic" w:cs="Simplified Arabic"/>
          <w:sz w:val="26"/>
          <w:szCs w:val="26"/>
          <w:rtl/>
        </w:rPr>
        <w:t>1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>، منها</w:t>
      </w:r>
      <w:r w:rsidR="000B2949" w:rsidRPr="00FE13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D4B79" w:rsidRPr="00FE1385">
        <w:rPr>
          <w:rFonts w:ascii="Simplified Arabic" w:hAnsi="Simplified Arabic" w:cs="Simplified Arabic"/>
          <w:sz w:val="26"/>
          <w:szCs w:val="26"/>
          <w:rtl/>
        </w:rPr>
        <w:t>1,661</w:t>
      </w:r>
      <w:r w:rsidR="000B2949" w:rsidRPr="00FE13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>رخصة أبنية جديدة.</w:t>
      </w:r>
    </w:p>
    <w:p w:rsidR="00806D87" w:rsidRPr="00FE1385" w:rsidRDefault="00806D87" w:rsidP="00806D87">
      <w:pPr>
        <w:ind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806D87" w:rsidRPr="00FE1385" w:rsidRDefault="00DD4B79" w:rsidP="00DD4B79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FE1385">
        <w:rPr>
          <w:rFonts w:ascii="Simplified Arabic" w:hAnsi="Simplified Arabic" w:cs="Simplified Arabic"/>
          <w:sz w:val="26"/>
          <w:szCs w:val="26"/>
          <w:rtl/>
        </w:rPr>
        <w:t>ارتفع</w:t>
      </w:r>
      <w:r w:rsidR="00013901" w:rsidRPr="00FE1385">
        <w:rPr>
          <w:rFonts w:ascii="Simplified Arabic" w:hAnsi="Simplified Arabic" w:cs="Simplified Arabic"/>
          <w:sz w:val="26"/>
          <w:szCs w:val="26"/>
          <w:rtl/>
        </w:rPr>
        <w:t xml:space="preserve"> عدد الرخص الصادرة في فلسطين خلال الربع 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013901" w:rsidRPr="00FE1385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7C5E30" w:rsidRPr="00FE1385">
        <w:rPr>
          <w:rFonts w:ascii="Simplified Arabic" w:hAnsi="Simplified Arabic" w:cs="Simplified Arabic"/>
          <w:sz w:val="26"/>
          <w:szCs w:val="26"/>
          <w:rtl/>
        </w:rPr>
        <w:t>2</w:t>
      </w:r>
      <w:r w:rsidR="008B36AE" w:rsidRPr="00FE1385">
        <w:rPr>
          <w:rFonts w:ascii="Simplified Arabic" w:hAnsi="Simplified Arabic" w:cs="Simplified Arabic"/>
          <w:sz w:val="26"/>
          <w:szCs w:val="26"/>
          <w:rtl/>
        </w:rPr>
        <w:t>1</w:t>
      </w:r>
      <w:r w:rsidR="00013901" w:rsidRPr="00FE1385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8B36AE" w:rsidRPr="00FE1385">
        <w:rPr>
          <w:rFonts w:ascii="Simplified Arabic" w:hAnsi="Simplified Arabic" w:cs="Simplified Arabic"/>
          <w:sz w:val="26"/>
          <w:szCs w:val="26"/>
          <w:rtl/>
        </w:rPr>
        <w:t>1</w:t>
      </w:r>
      <w:r w:rsidR="00716834" w:rsidRPr="00FE1385">
        <w:rPr>
          <w:rFonts w:ascii="Simplified Arabic" w:hAnsi="Simplified Arabic" w:cs="Simplified Arabic"/>
          <w:sz w:val="26"/>
          <w:szCs w:val="26"/>
          <w:rtl/>
        </w:rPr>
        <w:t>8</w:t>
      </w:r>
      <w:r w:rsidR="00013901" w:rsidRPr="00FE1385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724FB0" w:rsidRPr="00FE1385">
        <w:rPr>
          <w:rFonts w:ascii="Simplified Arabic" w:hAnsi="Simplified Arabic" w:cs="Simplified Arabic"/>
          <w:sz w:val="26"/>
          <w:szCs w:val="26"/>
          <w:rtl/>
        </w:rPr>
        <w:t>الأ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>ول</w:t>
      </w:r>
      <w:r w:rsidR="00013901" w:rsidRPr="00FE1385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5B2767" w:rsidRPr="00FE1385">
        <w:rPr>
          <w:rFonts w:ascii="Simplified Arabic" w:hAnsi="Simplified Arabic" w:cs="Simplified Arabic"/>
          <w:sz w:val="26"/>
          <w:szCs w:val="26"/>
          <w:rtl/>
        </w:rPr>
        <w:t>202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>1</w:t>
      </w:r>
      <w:r w:rsidR="00013901" w:rsidRPr="00FE1385">
        <w:rPr>
          <w:rFonts w:ascii="Simplified Arabic" w:hAnsi="Simplified Arabic" w:cs="Simplified Arabic"/>
          <w:sz w:val="26"/>
          <w:szCs w:val="26"/>
          <w:rtl/>
        </w:rPr>
        <w:t xml:space="preserve">، كما سجل </w:t>
      </w:r>
      <w:r w:rsidR="008B36AE" w:rsidRPr="00FE1385">
        <w:rPr>
          <w:rFonts w:ascii="Simplified Arabic" w:hAnsi="Simplified Arabic" w:cs="Simplified Arabic"/>
          <w:sz w:val="26"/>
          <w:szCs w:val="26"/>
          <w:rtl/>
        </w:rPr>
        <w:t>ا</w:t>
      </w:r>
      <w:r w:rsidR="006171FD" w:rsidRPr="00FE1385">
        <w:rPr>
          <w:rFonts w:ascii="Simplified Arabic" w:hAnsi="Simplified Arabic" w:cs="Simplified Arabic"/>
          <w:sz w:val="26"/>
          <w:szCs w:val="26"/>
          <w:rtl/>
        </w:rPr>
        <w:t>رتفاعا</w:t>
      </w:r>
      <w:r w:rsidR="00013901" w:rsidRPr="00FE1385">
        <w:rPr>
          <w:rFonts w:ascii="Simplified Arabic" w:hAnsi="Simplified Arabic" w:cs="Simplified Arabic"/>
          <w:sz w:val="26"/>
          <w:szCs w:val="26"/>
          <w:rtl/>
        </w:rPr>
        <w:t xml:space="preserve">ً بنسبة 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>118</w:t>
      </w:r>
      <w:r w:rsidR="00013901" w:rsidRPr="00FE1385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FE1385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FE1385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8B36AE" w:rsidRPr="00FE1385">
        <w:rPr>
          <w:rFonts w:ascii="Simplified Arabic" w:hAnsi="Simplified Arabic" w:cs="Simplified Arabic"/>
          <w:sz w:val="26"/>
          <w:szCs w:val="26"/>
          <w:rtl/>
        </w:rPr>
        <w:t>20</w:t>
      </w:r>
      <w:r w:rsidR="00013901" w:rsidRPr="00FE1385">
        <w:rPr>
          <w:rFonts w:ascii="Simplified Arabic" w:hAnsi="Simplified Arabic" w:cs="Simplified Arabic"/>
          <w:sz w:val="26"/>
          <w:szCs w:val="26"/>
          <w:rtl/>
        </w:rPr>
        <w:t xml:space="preserve">، حيث 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013901" w:rsidRPr="00FE1385">
        <w:rPr>
          <w:rFonts w:ascii="Simplified Arabic" w:hAnsi="Simplified Arabic" w:cs="Simplified Arabic"/>
          <w:sz w:val="26"/>
          <w:szCs w:val="26"/>
          <w:rtl/>
        </w:rPr>
        <w:t xml:space="preserve"> عدد رخص الابنية الجديدة بنسبة </w:t>
      </w:r>
      <w:r w:rsidR="008B36AE" w:rsidRPr="00FE1385">
        <w:rPr>
          <w:rFonts w:ascii="Simplified Arabic" w:hAnsi="Simplified Arabic" w:cs="Simplified Arabic"/>
          <w:sz w:val="26"/>
          <w:szCs w:val="26"/>
          <w:rtl/>
        </w:rPr>
        <w:t>29</w:t>
      </w:r>
      <w:r w:rsidR="00013901" w:rsidRPr="00FE1385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724FB0" w:rsidRPr="00FE1385">
        <w:rPr>
          <w:rFonts w:ascii="Simplified Arabic" w:hAnsi="Simplified Arabic" w:cs="Simplified Arabic"/>
          <w:sz w:val="26"/>
          <w:szCs w:val="26"/>
          <w:rtl/>
        </w:rPr>
        <w:t>الأ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>ول</w:t>
      </w:r>
      <w:r w:rsidR="00013901" w:rsidRPr="00FE1385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FD3770" w:rsidRPr="00FE1385">
        <w:rPr>
          <w:rFonts w:ascii="Simplified Arabic" w:hAnsi="Simplified Arabic" w:cs="Simplified Arabic"/>
          <w:sz w:val="26"/>
          <w:szCs w:val="26"/>
          <w:rtl/>
        </w:rPr>
        <w:t>2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>1</w:t>
      </w:r>
      <w:r w:rsidR="00013901" w:rsidRPr="00FE1385">
        <w:rPr>
          <w:rFonts w:ascii="Simplified Arabic" w:hAnsi="Simplified Arabic" w:cs="Simplified Arabic"/>
          <w:sz w:val="26"/>
          <w:szCs w:val="26"/>
          <w:rtl/>
        </w:rPr>
        <w:t>، وا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>رتفعت</w:t>
      </w:r>
      <w:r w:rsidR="00013901" w:rsidRPr="00FE1385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>104</w:t>
      </w:r>
      <w:r w:rsidR="00013901" w:rsidRPr="00FE1385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FE1385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FE1385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8B36AE" w:rsidRPr="00FE1385">
        <w:rPr>
          <w:rFonts w:ascii="Simplified Arabic" w:hAnsi="Simplified Arabic" w:cs="Simplified Arabic"/>
          <w:sz w:val="26"/>
          <w:szCs w:val="26"/>
          <w:rtl/>
        </w:rPr>
        <w:t>20</w:t>
      </w:r>
      <w:r w:rsidR="00013901" w:rsidRPr="00FE1385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013901" w:rsidRPr="00FE1385" w:rsidRDefault="00013901" w:rsidP="00930F7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806D87" w:rsidRPr="00FE1385" w:rsidRDefault="00806D87" w:rsidP="00DD4B79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بلغ مجموع مساحة الأبنية (سكني وغير سكني) </w:t>
      </w:r>
      <w:r w:rsidR="00DD4B79" w:rsidRPr="00FE1385">
        <w:rPr>
          <w:rFonts w:ascii="Simplified Arabic" w:hAnsi="Simplified Arabic" w:cs="Simplified Arabic"/>
          <w:sz w:val="26"/>
          <w:szCs w:val="26"/>
          <w:rtl/>
        </w:rPr>
        <w:t>1</w:t>
      </w:r>
      <w:r w:rsidR="003F4E26" w:rsidRPr="00FE1385">
        <w:rPr>
          <w:rFonts w:ascii="Simplified Arabic" w:hAnsi="Simplified Arabic" w:cs="Simplified Arabic"/>
          <w:sz w:val="26"/>
          <w:szCs w:val="26"/>
          <w:rtl/>
        </w:rPr>
        <w:t>,</w:t>
      </w:r>
      <w:r w:rsidR="00DD4B79" w:rsidRPr="00FE1385">
        <w:rPr>
          <w:rFonts w:ascii="Simplified Arabic" w:hAnsi="Simplified Arabic" w:cs="Simplified Arabic"/>
          <w:sz w:val="26"/>
          <w:szCs w:val="26"/>
          <w:rtl/>
        </w:rPr>
        <w:t>178</w:t>
      </w:r>
      <w:r w:rsidR="00492C21" w:rsidRPr="00FE1385">
        <w:rPr>
          <w:rFonts w:ascii="Simplified Arabic" w:hAnsi="Simplified Arabic" w:cs="Simplified Arabic"/>
          <w:sz w:val="26"/>
          <w:szCs w:val="26"/>
          <w:rtl/>
        </w:rPr>
        <w:t xml:space="preserve"> ألف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 متر مربع، منها</w:t>
      </w:r>
      <w:r w:rsidR="00F21C6E" w:rsidRPr="00FE13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D4B79" w:rsidRPr="00FE1385">
        <w:rPr>
          <w:rFonts w:ascii="Simplified Arabic" w:hAnsi="Simplified Arabic" w:cs="Simplified Arabic"/>
          <w:sz w:val="26"/>
          <w:szCs w:val="26"/>
          <w:rtl/>
        </w:rPr>
        <w:t>951</w:t>
      </w:r>
      <w:r w:rsidR="001C3FA3" w:rsidRPr="00FE13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FE1385">
        <w:rPr>
          <w:rFonts w:ascii="Simplified Arabic" w:hAnsi="Simplified Arabic" w:cs="Simplified Arabic"/>
          <w:sz w:val="26"/>
          <w:szCs w:val="26"/>
          <w:rtl/>
        </w:rPr>
        <w:t>ة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D509B" w:rsidRPr="00FE1385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FE1385">
        <w:rPr>
          <w:rFonts w:ascii="Simplified Arabic" w:hAnsi="Simplified Arabic" w:cs="Simplified Arabic"/>
          <w:sz w:val="26"/>
          <w:szCs w:val="26"/>
          <w:rtl/>
        </w:rPr>
        <w:t>أ</w:t>
      </w:r>
      <w:r w:rsidR="00DD509B" w:rsidRPr="00FE1385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FE1385">
        <w:rPr>
          <w:rFonts w:ascii="Simplified Arabic" w:hAnsi="Simplified Arabic" w:cs="Simplified Arabic"/>
          <w:sz w:val="26"/>
          <w:szCs w:val="26"/>
          <w:rtl/>
        </w:rPr>
        <w:t>ال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جديدة </w:t>
      </w:r>
      <w:r w:rsidR="008A144A" w:rsidRPr="00FE1385">
        <w:rPr>
          <w:rFonts w:ascii="Simplified Arabic" w:hAnsi="Simplified Arabic" w:cs="Simplified Arabic"/>
          <w:sz w:val="26"/>
          <w:szCs w:val="26"/>
          <w:rtl/>
        </w:rPr>
        <w:t>و</w:t>
      </w:r>
      <w:r w:rsidR="008B36AE" w:rsidRPr="00FE1385">
        <w:rPr>
          <w:rFonts w:ascii="Simplified Arabic" w:hAnsi="Simplified Arabic" w:cs="Simplified Arabic"/>
          <w:sz w:val="26"/>
          <w:szCs w:val="26"/>
          <w:rtl/>
        </w:rPr>
        <w:t>2</w:t>
      </w:r>
      <w:r w:rsidR="00DD4B79" w:rsidRPr="00FE1385">
        <w:rPr>
          <w:rFonts w:ascii="Simplified Arabic" w:hAnsi="Simplified Arabic" w:cs="Simplified Arabic"/>
          <w:sz w:val="26"/>
          <w:szCs w:val="26"/>
          <w:rtl/>
        </w:rPr>
        <w:t>27</w:t>
      </w:r>
      <w:r w:rsidR="00EA2D7E" w:rsidRPr="00FE13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FE1385">
        <w:rPr>
          <w:rFonts w:ascii="Simplified Arabic" w:hAnsi="Simplified Arabic" w:cs="Simplified Arabic"/>
          <w:sz w:val="26"/>
          <w:szCs w:val="26"/>
          <w:rtl/>
        </w:rPr>
        <w:t>ة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FE1385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FE1385">
        <w:rPr>
          <w:rFonts w:ascii="Simplified Arabic" w:hAnsi="Simplified Arabic" w:cs="Simplified Arabic"/>
          <w:sz w:val="26"/>
          <w:szCs w:val="26"/>
          <w:rtl/>
        </w:rPr>
        <w:t>أ</w:t>
      </w:r>
      <w:r w:rsidR="00711D5E" w:rsidRPr="00FE1385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FE1385">
        <w:rPr>
          <w:rFonts w:ascii="Simplified Arabic" w:hAnsi="Simplified Arabic" w:cs="Simplified Arabic"/>
          <w:sz w:val="26"/>
          <w:szCs w:val="26"/>
          <w:rtl/>
        </w:rPr>
        <w:t>ال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>قائمة.</w:t>
      </w:r>
    </w:p>
    <w:p w:rsidR="00806D87" w:rsidRPr="00FE1385" w:rsidRDefault="00806D87" w:rsidP="000F003D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806D87" w:rsidRPr="00FE1385" w:rsidRDefault="00806D87" w:rsidP="00D67047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كما بلغ عدد الوحدات السكنية المرخصة </w:t>
      </w:r>
      <w:r w:rsidR="00D67047" w:rsidRPr="00FE1385">
        <w:rPr>
          <w:rFonts w:ascii="Simplified Arabic" w:hAnsi="Simplified Arabic" w:cs="Simplified Arabic"/>
          <w:sz w:val="26"/>
          <w:szCs w:val="26"/>
          <w:rtl/>
        </w:rPr>
        <w:t>5,158</w:t>
      </w:r>
      <w:r w:rsidR="008B36AE" w:rsidRPr="00FE13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وحدة سكنيـة مساحاتها </w:t>
      </w:r>
      <w:r w:rsidR="00D67047" w:rsidRPr="00FE1385">
        <w:rPr>
          <w:rFonts w:ascii="Simplified Arabic" w:hAnsi="Simplified Arabic" w:cs="Simplified Arabic"/>
          <w:sz w:val="26"/>
          <w:szCs w:val="26"/>
          <w:rtl/>
        </w:rPr>
        <w:t>836</w:t>
      </w:r>
      <w:r w:rsidR="00911678" w:rsidRPr="00FE13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ألف متر مربع، منها </w:t>
      </w:r>
      <w:r w:rsidR="00D67047" w:rsidRPr="00FE1385">
        <w:rPr>
          <w:rFonts w:ascii="Simplified Arabic" w:hAnsi="Simplified Arabic" w:cs="Simplified Arabic"/>
          <w:sz w:val="26"/>
          <w:szCs w:val="26"/>
          <w:rtl/>
        </w:rPr>
        <w:t>3,917</w:t>
      </w:r>
      <w:r w:rsidR="00940F0C" w:rsidRPr="00FE13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FE1385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 جديدة مساحتها </w:t>
      </w:r>
      <w:r w:rsidR="00D67047" w:rsidRPr="00FE1385">
        <w:rPr>
          <w:rFonts w:ascii="Simplified Arabic" w:hAnsi="Simplified Arabic" w:cs="Simplified Arabic"/>
          <w:sz w:val="26"/>
          <w:szCs w:val="26"/>
          <w:rtl/>
        </w:rPr>
        <w:t>640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 ألف متر مربع،</w:t>
      </w:r>
      <w:r w:rsidR="00825925" w:rsidRPr="00FE13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67047" w:rsidRPr="00FE1385">
        <w:rPr>
          <w:rFonts w:ascii="Simplified Arabic" w:hAnsi="Simplified Arabic" w:cs="Simplified Arabic"/>
          <w:sz w:val="26"/>
          <w:szCs w:val="26"/>
          <w:rtl/>
        </w:rPr>
        <w:t>1,241</w:t>
      </w:r>
      <w:r w:rsidR="00FA6550" w:rsidRPr="00FE13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FE1385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 قائمة مجموع مساحاتها </w:t>
      </w:r>
      <w:r w:rsidR="00D67047" w:rsidRPr="00FE1385">
        <w:rPr>
          <w:rFonts w:ascii="Simplified Arabic" w:hAnsi="Simplified Arabic" w:cs="Simplified Arabic"/>
          <w:sz w:val="26"/>
          <w:szCs w:val="26"/>
          <w:rtl/>
        </w:rPr>
        <w:t>196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 ألف متر مربع. </w:t>
      </w:r>
    </w:p>
    <w:p w:rsidR="00806D87" w:rsidRPr="00FE1385" w:rsidRDefault="00806D87" w:rsidP="00806D87">
      <w:pPr>
        <w:pStyle w:val="BodyText"/>
        <w:tabs>
          <w:tab w:val="right" w:pos="139"/>
          <w:tab w:val="right" w:pos="281"/>
        </w:tabs>
        <w:ind w:left="-2" w:right="284"/>
        <w:jc w:val="both"/>
        <w:rPr>
          <w:rFonts w:ascii="Simplified Arabic" w:hAnsi="Simplified Arabic"/>
          <w:sz w:val="16"/>
          <w:szCs w:val="16"/>
          <w:rtl/>
        </w:rPr>
      </w:pPr>
    </w:p>
    <w:p w:rsidR="00107EC2" w:rsidRPr="00FE1385" w:rsidRDefault="00806D87" w:rsidP="00EF5411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FE1385">
        <w:rPr>
          <w:rFonts w:ascii="Simplified Arabic" w:hAnsi="Simplified Arabic" w:cs="Simplified Arabic"/>
          <w:sz w:val="26"/>
          <w:szCs w:val="26"/>
          <w:rtl/>
        </w:rPr>
        <w:t>وقد سجل عدد الوحدات السكنية الجديدة</w:t>
      </w:r>
      <w:r w:rsidR="006A474D" w:rsidRPr="00FE13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87781" w:rsidRPr="00FE1385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F152D9" w:rsidRPr="00FE1385">
        <w:rPr>
          <w:rFonts w:ascii="Simplified Arabic" w:hAnsi="Simplified Arabic" w:cs="Simplified Arabic"/>
          <w:sz w:val="26"/>
          <w:szCs w:val="26"/>
          <w:rtl/>
        </w:rPr>
        <w:t xml:space="preserve">اً 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FA6550" w:rsidRPr="00FE1385">
        <w:rPr>
          <w:rFonts w:ascii="Simplified Arabic" w:hAnsi="Simplified Arabic" w:cs="Simplified Arabic"/>
          <w:sz w:val="26"/>
          <w:szCs w:val="26"/>
          <w:rtl/>
        </w:rPr>
        <w:t>3</w:t>
      </w:r>
      <w:r w:rsidR="00D67047" w:rsidRPr="00FE1385">
        <w:rPr>
          <w:rFonts w:ascii="Simplified Arabic" w:hAnsi="Simplified Arabic" w:cs="Simplified Arabic"/>
          <w:sz w:val="26"/>
          <w:szCs w:val="26"/>
          <w:rtl/>
        </w:rPr>
        <w:t>3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% خلال الربع </w:t>
      </w:r>
      <w:r w:rsidR="00D67047" w:rsidRPr="00FE1385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323EB1" w:rsidRPr="00FE1385">
        <w:rPr>
          <w:rFonts w:ascii="Simplified Arabic" w:hAnsi="Simplified Arabic" w:cs="Simplified Arabic"/>
          <w:sz w:val="26"/>
          <w:szCs w:val="26"/>
          <w:rtl/>
        </w:rPr>
        <w:t xml:space="preserve"> من العام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291D" w:rsidRPr="00FE1385">
        <w:rPr>
          <w:rFonts w:ascii="Simplified Arabic" w:hAnsi="Simplified Arabic" w:cs="Simplified Arabic"/>
          <w:sz w:val="26"/>
          <w:szCs w:val="26"/>
          <w:rtl/>
        </w:rPr>
        <w:t>20</w:t>
      </w:r>
      <w:r w:rsidR="00F152D9" w:rsidRPr="00FE1385">
        <w:rPr>
          <w:rFonts w:ascii="Simplified Arabic" w:hAnsi="Simplified Arabic" w:cs="Simplified Arabic"/>
          <w:sz w:val="26"/>
          <w:szCs w:val="26"/>
          <w:rtl/>
        </w:rPr>
        <w:t>2</w:t>
      </w:r>
      <w:r w:rsidR="00FA6550" w:rsidRPr="00FE1385">
        <w:rPr>
          <w:rFonts w:ascii="Simplified Arabic" w:hAnsi="Simplified Arabic" w:cs="Simplified Arabic"/>
          <w:sz w:val="26"/>
          <w:szCs w:val="26"/>
          <w:rtl/>
        </w:rPr>
        <w:t>1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 مقارنة بالربع</w:t>
      </w:r>
      <w:r w:rsidR="0040737E" w:rsidRPr="00FE13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67047" w:rsidRPr="00FE1385">
        <w:rPr>
          <w:rFonts w:ascii="Simplified Arabic" w:hAnsi="Simplified Arabic" w:cs="Simplified Arabic"/>
          <w:sz w:val="26"/>
          <w:szCs w:val="26"/>
          <w:rtl/>
        </w:rPr>
        <w:t>الأول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F33757" w:rsidRPr="00FE1385">
        <w:rPr>
          <w:rFonts w:ascii="Simplified Arabic" w:hAnsi="Simplified Arabic" w:cs="Simplified Arabic"/>
          <w:sz w:val="26"/>
          <w:szCs w:val="26"/>
          <w:rtl/>
        </w:rPr>
        <w:t>2</w:t>
      </w:r>
      <w:r w:rsidR="00EF5411" w:rsidRPr="00FE1385">
        <w:rPr>
          <w:rFonts w:ascii="Simplified Arabic" w:hAnsi="Simplified Arabic" w:cs="Simplified Arabic"/>
          <w:sz w:val="26"/>
          <w:szCs w:val="26"/>
          <w:rtl/>
        </w:rPr>
        <w:t>1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>، وسج</w:t>
      </w:r>
      <w:r w:rsidR="00C1491B" w:rsidRPr="00FE1385">
        <w:rPr>
          <w:rFonts w:ascii="Simplified Arabic" w:hAnsi="Simplified Arabic" w:cs="Simplified Arabic"/>
          <w:sz w:val="26"/>
          <w:szCs w:val="26"/>
          <w:rtl/>
        </w:rPr>
        <w:t>َ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>ل</w:t>
      </w:r>
      <w:r w:rsidR="00C1491B" w:rsidRPr="00FE13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152D9" w:rsidRPr="00FE1385">
        <w:rPr>
          <w:rFonts w:ascii="Simplified Arabic" w:hAnsi="Simplified Arabic" w:cs="Simplified Arabic"/>
          <w:sz w:val="26"/>
          <w:szCs w:val="26"/>
          <w:rtl/>
        </w:rPr>
        <w:t>ا</w:t>
      </w:r>
      <w:r w:rsidR="0070641A" w:rsidRPr="00FE1385">
        <w:rPr>
          <w:rFonts w:ascii="Simplified Arabic" w:hAnsi="Simplified Arabic" w:cs="Simplified Arabic"/>
          <w:sz w:val="26"/>
          <w:szCs w:val="26"/>
          <w:rtl/>
        </w:rPr>
        <w:t>رتفاع</w:t>
      </w:r>
      <w:r w:rsidR="00F152D9" w:rsidRPr="00FE1385">
        <w:rPr>
          <w:rFonts w:ascii="Simplified Arabic" w:hAnsi="Simplified Arabic" w:cs="Simplified Arabic"/>
          <w:sz w:val="26"/>
          <w:szCs w:val="26"/>
          <w:rtl/>
        </w:rPr>
        <w:t xml:space="preserve">اً 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6171FD" w:rsidRPr="00FE1385">
        <w:rPr>
          <w:rFonts w:ascii="Simplified Arabic" w:hAnsi="Simplified Arabic" w:cs="Simplified Arabic"/>
          <w:sz w:val="26"/>
          <w:szCs w:val="26"/>
          <w:rtl/>
        </w:rPr>
        <w:t>1</w:t>
      </w:r>
      <w:r w:rsidR="00D67047" w:rsidRPr="00FE1385">
        <w:rPr>
          <w:rFonts w:ascii="Simplified Arabic" w:hAnsi="Simplified Arabic" w:cs="Simplified Arabic"/>
          <w:sz w:val="26"/>
          <w:szCs w:val="26"/>
          <w:rtl/>
        </w:rPr>
        <w:t>27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% خلال الربع </w:t>
      </w:r>
      <w:r w:rsidR="00D67047" w:rsidRPr="00FE1385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323EB1" w:rsidRPr="00FE1385">
        <w:rPr>
          <w:rFonts w:ascii="Simplified Arabic" w:hAnsi="Simplified Arabic" w:cs="Simplified Arabic"/>
          <w:sz w:val="26"/>
          <w:szCs w:val="26"/>
          <w:rtl/>
        </w:rPr>
        <w:t xml:space="preserve"> من العام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291D" w:rsidRPr="00FE1385">
        <w:rPr>
          <w:rFonts w:ascii="Simplified Arabic" w:hAnsi="Simplified Arabic" w:cs="Simplified Arabic"/>
          <w:sz w:val="26"/>
          <w:szCs w:val="26"/>
          <w:rtl/>
        </w:rPr>
        <w:t>20</w:t>
      </w:r>
      <w:r w:rsidR="00F152D9" w:rsidRPr="00FE1385">
        <w:rPr>
          <w:rFonts w:ascii="Simplified Arabic" w:hAnsi="Simplified Arabic" w:cs="Simplified Arabic"/>
          <w:sz w:val="26"/>
          <w:szCs w:val="26"/>
          <w:rtl/>
        </w:rPr>
        <w:t>2</w:t>
      </w:r>
      <w:r w:rsidR="00FA6550" w:rsidRPr="00FE1385">
        <w:rPr>
          <w:rFonts w:ascii="Simplified Arabic" w:hAnsi="Simplified Arabic" w:cs="Simplified Arabic"/>
          <w:sz w:val="26"/>
          <w:szCs w:val="26"/>
          <w:rtl/>
        </w:rPr>
        <w:t>1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 لدى مقارنته بالربع</w:t>
      </w:r>
      <w:r w:rsidR="0040737E" w:rsidRPr="00FE13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0E42" w:rsidRPr="00FE1385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4E291D" w:rsidRPr="00FE1385">
        <w:rPr>
          <w:rFonts w:ascii="Simplified Arabic" w:hAnsi="Simplified Arabic" w:cs="Simplified Arabic"/>
          <w:sz w:val="26"/>
          <w:szCs w:val="26"/>
          <w:rtl/>
        </w:rPr>
        <w:t>20</w:t>
      </w:r>
      <w:r w:rsidR="00FA6550" w:rsidRPr="00FE1385">
        <w:rPr>
          <w:rFonts w:ascii="Simplified Arabic" w:hAnsi="Simplified Arabic" w:cs="Simplified Arabic"/>
          <w:sz w:val="26"/>
          <w:szCs w:val="26"/>
          <w:rtl/>
        </w:rPr>
        <w:t>20</w:t>
      </w:r>
      <w:r w:rsidRPr="00FE1385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D84F3E" w:rsidRPr="00FE1385" w:rsidRDefault="00D84F3E" w:rsidP="00A555C6">
      <w:pPr>
        <w:tabs>
          <w:tab w:val="left" w:pos="9070"/>
          <w:tab w:val="right" w:pos="9212"/>
        </w:tabs>
        <w:ind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99558D" w:rsidRPr="00FE1385" w:rsidRDefault="00DA668E" w:rsidP="00724FB0">
      <w:pPr>
        <w:ind w:left="2" w:firstLine="31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E138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عدد رخص الأبنية الصادرة في </w:t>
      </w:r>
      <w:r w:rsidR="005A1D8D" w:rsidRPr="00FE1385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C369C0" w:rsidRPr="00FE1385">
        <w:rPr>
          <w:rFonts w:ascii="Simplified Arabic" w:hAnsi="Simplified Arabic" w:cs="Simplified Arabic"/>
          <w:b/>
          <w:bCs/>
          <w:sz w:val="26"/>
          <w:szCs w:val="26"/>
        </w:rPr>
        <w:t>*</w:t>
      </w:r>
      <w:r w:rsidR="00AC3B65" w:rsidRPr="00FE138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E7805" w:rsidRPr="00FE138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الفترة من </w:t>
      </w:r>
      <w:r w:rsidR="00D939DF" w:rsidRPr="00FE1385">
        <w:rPr>
          <w:rFonts w:ascii="Simplified Arabic" w:hAnsi="Simplified Arabic" w:cs="Simplified Arabic"/>
          <w:b/>
          <w:bCs/>
          <w:sz w:val="26"/>
          <w:szCs w:val="26"/>
          <w:rtl/>
        </w:rPr>
        <w:t>ا</w:t>
      </w:r>
      <w:r w:rsidR="000F003D" w:rsidRPr="00FE138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لربع </w:t>
      </w:r>
      <w:r w:rsidR="00724FB0" w:rsidRPr="00FE1385">
        <w:rPr>
          <w:rFonts w:ascii="Simplified Arabic" w:hAnsi="Simplified Arabic" w:cs="Simplified Arabic"/>
          <w:b/>
          <w:bCs/>
          <w:sz w:val="26"/>
          <w:szCs w:val="26"/>
          <w:rtl/>
        </w:rPr>
        <w:t>الثاني</w:t>
      </w:r>
      <w:r w:rsidR="000F003D" w:rsidRPr="00FE138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FE1385">
        <w:rPr>
          <w:rFonts w:ascii="Simplified Arabic" w:hAnsi="Simplified Arabic" w:cs="Simplified Arabic"/>
          <w:b/>
          <w:bCs/>
          <w:sz w:val="26"/>
          <w:szCs w:val="26"/>
          <w:rtl/>
        </w:rPr>
        <w:t>20</w:t>
      </w:r>
      <w:r w:rsidR="00FA6550" w:rsidRPr="00FE1385">
        <w:rPr>
          <w:rFonts w:ascii="Simplified Arabic" w:hAnsi="Simplified Arabic" w:cs="Simplified Arabic"/>
          <w:b/>
          <w:bCs/>
          <w:sz w:val="26"/>
          <w:szCs w:val="26"/>
          <w:rtl/>
        </w:rPr>
        <w:t>20</w:t>
      </w:r>
      <w:r w:rsidR="000F003D" w:rsidRPr="00FE138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إلى الربع</w:t>
      </w:r>
      <w:r w:rsidR="00567374" w:rsidRPr="00FE138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724FB0" w:rsidRPr="00FE1385">
        <w:rPr>
          <w:rFonts w:ascii="Simplified Arabic" w:hAnsi="Simplified Arabic" w:cs="Simplified Arabic"/>
          <w:b/>
          <w:bCs/>
          <w:sz w:val="26"/>
          <w:szCs w:val="26"/>
          <w:rtl/>
        </w:rPr>
        <w:t>الثاني</w:t>
      </w:r>
      <w:r w:rsidR="00D70601" w:rsidRPr="00FE138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FE1385">
        <w:rPr>
          <w:rFonts w:ascii="Simplified Arabic" w:hAnsi="Simplified Arabic" w:cs="Simplified Arabic"/>
          <w:b/>
          <w:bCs/>
          <w:sz w:val="26"/>
          <w:szCs w:val="26"/>
          <w:rtl/>
        </w:rPr>
        <w:t>20</w:t>
      </w:r>
      <w:r w:rsidR="00F152D9" w:rsidRPr="00FE1385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  <w:r w:rsidR="00FA6550" w:rsidRPr="00FE1385">
        <w:rPr>
          <w:rFonts w:ascii="Simplified Arabic" w:hAnsi="Simplified Arabic" w:cs="Simplified Arabic"/>
          <w:b/>
          <w:bCs/>
          <w:sz w:val="26"/>
          <w:szCs w:val="26"/>
          <w:rtl/>
        </w:rPr>
        <w:t>1</w:t>
      </w:r>
    </w:p>
    <w:p w:rsidR="0049065D" w:rsidRPr="00F83A0B" w:rsidRDefault="0049065D" w:rsidP="00C369C0">
      <w:pPr>
        <w:ind w:left="2" w:firstLine="31"/>
        <w:jc w:val="center"/>
        <w:rPr>
          <w:rFonts w:cs="Simplified Arabic"/>
          <w:b/>
          <w:bCs/>
          <w:sz w:val="8"/>
          <w:szCs w:val="8"/>
          <w:rtl/>
        </w:rPr>
      </w:pPr>
    </w:p>
    <w:p w:rsidR="00BF2018" w:rsidRDefault="00464879" w:rsidP="00FE1385">
      <w:pPr>
        <w:pStyle w:val="BodyText"/>
        <w:jc w:val="center"/>
        <w:rPr>
          <w:sz w:val="18"/>
          <w:szCs w:val="18"/>
          <w:rtl/>
        </w:rPr>
      </w:pPr>
      <w:r>
        <w:rPr>
          <w:rFonts w:hint="cs"/>
          <w:b/>
          <w:bCs/>
          <w:noProof/>
          <w:snapToGrid/>
          <w:rtl/>
        </w:rPr>
        <w:drawing>
          <wp:inline distT="0" distB="0" distL="0" distR="0">
            <wp:extent cx="3429000" cy="2266950"/>
            <wp:effectExtent l="57150" t="57150" r="38100" b="3810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2018" w:rsidRDefault="00BF2018" w:rsidP="00BF2018">
      <w:pPr>
        <w:pStyle w:val="BodyText"/>
        <w:jc w:val="both"/>
        <w:rPr>
          <w:sz w:val="18"/>
          <w:szCs w:val="18"/>
          <w:rtl/>
        </w:rPr>
      </w:pPr>
    </w:p>
    <w:p w:rsidR="00BF1E8A" w:rsidRPr="00FE1385" w:rsidRDefault="00C86748" w:rsidP="00FE1385">
      <w:pPr>
        <w:pStyle w:val="BodyText"/>
        <w:jc w:val="both"/>
        <w:rPr>
          <w:rtl/>
        </w:rPr>
      </w:pPr>
      <w:r w:rsidRPr="00FE1385">
        <w:rPr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FE1385" w:rsidRPr="00FE1385" w:rsidRDefault="00FE1385" w:rsidP="00FE1385">
      <w:pPr>
        <w:pStyle w:val="BodyText"/>
        <w:jc w:val="both"/>
        <w:rPr>
          <w:b/>
          <w:bCs/>
        </w:rPr>
      </w:pPr>
    </w:p>
    <w:sectPr w:rsidR="00FE1385" w:rsidRPr="00FE1385" w:rsidSect="00FE1385">
      <w:headerReference w:type="default" r:id="rId9"/>
      <w:footerReference w:type="default" r:id="rId10"/>
      <w:pgSz w:w="12240" w:h="15840"/>
      <w:pgMar w:top="850" w:right="850" w:bottom="850" w:left="850" w:header="360" w:footer="158" w:gutter="0"/>
      <w:cols w:space="785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0E" w:rsidRDefault="0023520E">
      <w:r>
        <w:separator/>
      </w:r>
    </w:p>
  </w:endnote>
  <w:endnote w:type="continuationSeparator" w:id="0">
    <w:p w:rsidR="0023520E" w:rsidRDefault="0023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991680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1385" w:rsidRDefault="00FE13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E1385" w:rsidRDefault="00FE1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0E" w:rsidRDefault="0023520E">
      <w:r>
        <w:separator/>
      </w:r>
    </w:p>
  </w:footnote>
  <w:footnote w:type="continuationSeparator" w:id="0">
    <w:p w:rsidR="0023520E" w:rsidRDefault="0023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0C" w:rsidRDefault="00E1730C"/>
  <w:p w:rsidR="00825925" w:rsidRDefault="00825925" w:rsidP="0006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CD"/>
    <w:rsid w:val="00003F2C"/>
    <w:rsid w:val="000049B9"/>
    <w:rsid w:val="00007E28"/>
    <w:rsid w:val="00011143"/>
    <w:rsid w:val="0001231F"/>
    <w:rsid w:val="00013901"/>
    <w:rsid w:val="00024C1F"/>
    <w:rsid w:val="000323FE"/>
    <w:rsid w:val="00043023"/>
    <w:rsid w:val="000440C4"/>
    <w:rsid w:val="00051C4C"/>
    <w:rsid w:val="00053FB3"/>
    <w:rsid w:val="000627C7"/>
    <w:rsid w:val="000633AF"/>
    <w:rsid w:val="00063D4D"/>
    <w:rsid w:val="000655A8"/>
    <w:rsid w:val="00065C61"/>
    <w:rsid w:val="00066DAA"/>
    <w:rsid w:val="000712BB"/>
    <w:rsid w:val="00072B29"/>
    <w:rsid w:val="0007716F"/>
    <w:rsid w:val="00077763"/>
    <w:rsid w:val="0008553D"/>
    <w:rsid w:val="00090C4E"/>
    <w:rsid w:val="00092AB0"/>
    <w:rsid w:val="000933A8"/>
    <w:rsid w:val="000A5DEA"/>
    <w:rsid w:val="000A7D5F"/>
    <w:rsid w:val="000B1A9A"/>
    <w:rsid w:val="000B2949"/>
    <w:rsid w:val="000C1A37"/>
    <w:rsid w:val="000C376E"/>
    <w:rsid w:val="000D6034"/>
    <w:rsid w:val="000E7805"/>
    <w:rsid w:val="000F003D"/>
    <w:rsid w:val="001055AA"/>
    <w:rsid w:val="00107EC2"/>
    <w:rsid w:val="001165FE"/>
    <w:rsid w:val="00121775"/>
    <w:rsid w:val="00122CD2"/>
    <w:rsid w:val="00124937"/>
    <w:rsid w:val="00126A51"/>
    <w:rsid w:val="001306A8"/>
    <w:rsid w:val="00131EF9"/>
    <w:rsid w:val="00133444"/>
    <w:rsid w:val="00137F91"/>
    <w:rsid w:val="00141908"/>
    <w:rsid w:val="00141DC0"/>
    <w:rsid w:val="00163D8E"/>
    <w:rsid w:val="00185362"/>
    <w:rsid w:val="001866E1"/>
    <w:rsid w:val="001941D9"/>
    <w:rsid w:val="00194E60"/>
    <w:rsid w:val="00196F47"/>
    <w:rsid w:val="00197084"/>
    <w:rsid w:val="001A0E21"/>
    <w:rsid w:val="001A7663"/>
    <w:rsid w:val="001B4AD5"/>
    <w:rsid w:val="001C3FA3"/>
    <w:rsid w:val="001C647B"/>
    <w:rsid w:val="001E1B60"/>
    <w:rsid w:val="001E6F82"/>
    <w:rsid w:val="001E746B"/>
    <w:rsid w:val="001E7E19"/>
    <w:rsid w:val="00203EF5"/>
    <w:rsid w:val="0020621F"/>
    <w:rsid w:val="0021715C"/>
    <w:rsid w:val="00222955"/>
    <w:rsid w:val="00223613"/>
    <w:rsid w:val="002251EF"/>
    <w:rsid w:val="002336E5"/>
    <w:rsid w:val="0023520E"/>
    <w:rsid w:val="00236C03"/>
    <w:rsid w:val="00240522"/>
    <w:rsid w:val="00242167"/>
    <w:rsid w:val="0024412D"/>
    <w:rsid w:val="0024447A"/>
    <w:rsid w:val="0026214E"/>
    <w:rsid w:val="00264492"/>
    <w:rsid w:val="002651AD"/>
    <w:rsid w:val="00270F44"/>
    <w:rsid w:val="00280FCF"/>
    <w:rsid w:val="00282853"/>
    <w:rsid w:val="00292791"/>
    <w:rsid w:val="0029762E"/>
    <w:rsid w:val="002A1648"/>
    <w:rsid w:val="002A5795"/>
    <w:rsid w:val="002B458C"/>
    <w:rsid w:val="002B515B"/>
    <w:rsid w:val="002B6FE2"/>
    <w:rsid w:val="002D4E13"/>
    <w:rsid w:val="002E6C36"/>
    <w:rsid w:val="00301389"/>
    <w:rsid w:val="003029E5"/>
    <w:rsid w:val="003032D4"/>
    <w:rsid w:val="00316640"/>
    <w:rsid w:val="003170FC"/>
    <w:rsid w:val="00323EB1"/>
    <w:rsid w:val="00331A21"/>
    <w:rsid w:val="00344E0F"/>
    <w:rsid w:val="00356D2A"/>
    <w:rsid w:val="00374098"/>
    <w:rsid w:val="00374DAB"/>
    <w:rsid w:val="003803B9"/>
    <w:rsid w:val="00381ACE"/>
    <w:rsid w:val="00385F93"/>
    <w:rsid w:val="00386C9A"/>
    <w:rsid w:val="00391381"/>
    <w:rsid w:val="00394D03"/>
    <w:rsid w:val="003B1BC7"/>
    <w:rsid w:val="003C38FE"/>
    <w:rsid w:val="003C3E2D"/>
    <w:rsid w:val="003C56A1"/>
    <w:rsid w:val="003D1EBB"/>
    <w:rsid w:val="003D7622"/>
    <w:rsid w:val="003E6E90"/>
    <w:rsid w:val="003E7DAB"/>
    <w:rsid w:val="003F1947"/>
    <w:rsid w:val="003F4E26"/>
    <w:rsid w:val="003F609D"/>
    <w:rsid w:val="00404B3B"/>
    <w:rsid w:val="0040737E"/>
    <w:rsid w:val="00427743"/>
    <w:rsid w:val="004320EE"/>
    <w:rsid w:val="004341F0"/>
    <w:rsid w:val="00436C6A"/>
    <w:rsid w:val="004445DA"/>
    <w:rsid w:val="00455D54"/>
    <w:rsid w:val="00464879"/>
    <w:rsid w:val="00464C2A"/>
    <w:rsid w:val="0047710F"/>
    <w:rsid w:val="0048400C"/>
    <w:rsid w:val="00485A19"/>
    <w:rsid w:val="0049065D"/>
    <w:rsid w:val="00492C21"/>
    <w:rsid w:val="00497FEA"/>
    <w:rsid w:val="004A2669"/>
    <w:rsid w:val="004B1FFA"/>
    <w:rsid w:val="004B7619"/>
    <w:rsid w:val="004C16BC"/>
    <w:rsid w:val="004D01E6"/>
    <w:rsid w:val="004D1FBA"/>
    <w:rsid w:val="004D2FC1"/>
    <w:rsid w:val="004D60AA"/>
    <w:rsid w:val="004E0615"/>
    <w:rsid w:val="004E1513"/>
    <w:rsid w:val="004E291D"/>
    <w:rsid w:val="004E5DF3"/>
    <w:rsid w:val="004F62FD"/>
    <w:rsid w:val="004F6846"/>
    <w:rsid w:val="005040FD"/>
    <w:rsid w:val="00511A66"/>
    <w:rsid w:val="00513521"/>
    <w:rsid w:val="00513D8A"/>
    <w:rsid w:val="00514404"/>
    <w:rsid w:val="00517B99"/>
    <w:rsid w:val="00526999"/>
    <w:rsid w:val="00527A94"/>
    <w:rsid w:val="00541470"/>
    <w:rsid w:val="005446EE"/>
    <w:rsid w:val="00547072"/>
    <w:rsid w:val="00551887"/>
    <w:rsid w:val="00555D4F"/>
    <w:rsid w:val="00556309"/>
    <w:rsid w:val="00567374"/>
    <w:rsid w:val="005722DD"/>
    <w:rsid w:val="0057564E"/>
    <w:rsid w:val="00586434"/>
    <w:rsid w:val="00590171"/>
    <w:rsid w:val="00590AB2"/>
    <w:rsid w:val="005967F9"/>
    <w:rsid w:val="005A1D8D"/>
    <w:rsid w:val="005A3536"/>
    <w:rsid w:val="005B2767"/>
    <w:rsid w:val="005C068A"/>
    <w:rsid w:val="005D6CA1"/>
    <w:rsid w:val="005E2696"/>
    <w:rsid w:val="005E7C92"/>
    <w:rsid w:val="006038F4"/>
    <w:rsid w:val="00607394"/>
    <w:rsid w:val="006074CB"/>
    <w:rsid w:val="006134E1"/>
    <w:rsid w:val="00613FB8"/>
    <w:rsid w:val="006160EF"/>
    <w:rsid w:val="006171FD"/>
    <w:rsid w:val="00633996"/>
    <w:rsid w:val="006375EF"/>
    <w:rsid w:val="00641A72"/>
    <w:rsid w:val="006431F1"/>
    <w:rsid w:val="006444C4"/>
    <w:rsid w:val="00644839"/>
    <w:rsid w:val="006528F1"/>
    <w:rsid w:val="006541CD"/>
    <w:rsid w:val="00666A55"/>
    <w:rsid w:val="0067406B"/>
    <w:rsid w:val="0067593C"/>
    <w:rsid w:val="00675CF0"/>
    <w:rsid w:val="006774C7"/>
    <w:rsid w:val="00683B5E"/>
    <w:rsid w:val="00697D91"/>
    <w:rsid w:val="006A21C0"/>
    <w:rsid w:val="006A240D"/>
    <w:rsid w:val="006A36C5"/>
    <w:rsid w:val="006A474D"/>
    <w:rsid w:val="006A6650"/>
    <w:rsid w:val="006A7DAA"/>
    <w:rsid w:val="006B5BD8"/>
    <w:rsid w:val="006E0743"/>
    <w:rsid w:val="006E2F23"/>
    <w:rsid w:val="006E70FC"/>
    <w:rsid w:val="006F1DFC"/>
    <w:rsid w:val="006F1ED6"/>
    <w:rsid w:val="006F31D8"/>
    <w:rsid w:val="006F413B"/>
    <w:rsid w:val="00701498"/>
    <w:rsid w:val="00704E31"/>
    <w:rsid w:val="007050B6"/>
    <w:rsid w:val="0070641A"/>
    <w:rsid w:val="00710901"/>
    <w:rsid w:val="00711D5E"/>
    <w:rsid w:val="00716834"/>
    <w:rsid w:val="00724FB0"/>
    <w:rsid w:val="007316D4"/>
    <w:rsid w:val="007317C5"/>
    <w:rsid w:val="00750586"/>
    <w:rsid w:val="00751F0A"/>
    <w:rsid w:val="00752CB3"/>
    <w:rsid w:val="00760452"/>
    <w:rsid w:val="00764535"/>
    <w:rsid w:val="00767212"/>
    <w:rsid w:val="0077006A"/>
    <w:rsid w:val="007934EE"/>
    <w:rsid w:val="00794422"/>
    <w:rsid w:val="007A445C"/>
    <w:rsid w:val="007B3406"/>
    <w:rsid w:val="007B40D8"/>
    <w:rsid w:val="007B78A7"/>
    <w:rsid w:val="007B7D35"/>
    <w:rsid w:val="007C1B7E"/>
    <w:rsid w:val="007C5E30"/>
    <w:rsid w:val="007D65CD"/>
    <w:rsid w:val="007E31A0"/>
    <w:rsid w:val="007E5BA5"/>
    <w:rsid w:val="007E6F39"/>
    <w:rsid w:val="007F0314"/>
    <w:rsid w:val="00800FFF"/>
    <w:rsid w:val="00801049"/>
    <w:rsid w:val="008028B2"/>
    <w:rsid w:val="00805F36"/>
    <w:rsid w:val="00806D87"/>
    <w:rsid w:val="008100C2"/>
    <w:rsid w:val="008116D1"/>
    <w:rsid w:val="00811800"/>
    <w:rsid w:val="00815018"/>
    <w:rsid w:val="0082204B"/>
    <w:rsid w:val="00825925"/>
    <w:rsid w:val="00847074"/>
    <w:rsid w:val="00850E11"/>
    <w:rsid w:val="00851B7C"/>
    <w:rsid w:val="00857339"/>
    <w:rsid w:val="008625FD"/>
    <w:rsid w:val="00865423"/>
    <w:rsid w:val="00880B06"/>
    <w:rsid w:val="00880F4C"/>
    <w:rsid w:val="00881721"/>
    <w:rsid w:val="008817A1"/>
    <w:rsid w:val="00885E6F"/>
    <w:rsid w:val="00895368"/>
    <w:rsid w:val="008A144A"/>
    <w:rsid w:val="008A4A20"/>
    <w:rsid w:val="008B36AE"/>
    <w:rsid w:val="008B41B3"/>
    <w:rsid w:val="008C2CD2"/>
    <w:rsid w:val="008C51FB"/>
    <w:rsid w:val="008E0709"/>
    <w:rsid w:val="008E2DA0"/>
    <w:rsid w:val="008F05BF"/>
    <w:rsid w:val="008F1D57"/>
    <w:rsid w:val="008F3BEA"/>
    <w:rsid w:val="00906A12"/>
    <w:rsid w:val="00910DDE"/>
    <w:rsid w:val="00911678"/>
    <w:rsid w:val="009160AD"/>
    <w:rsid w:val="00925C72"/>
    <w:rsid w:val="009302A7"/>
    <w:rsid w:val="00930F70"/>
    <w:rsid w:val="009319A5"/>
    <w:rsid w:val="00933D03"/>
    <w:rsid w:val="00934066"/>
    <w:rsid w:val="00940BA2"/>
    <w:rsid w:val="00940F0C"/>
    <w:rsid w:val="0095035A"/>
    <w:rsid w:val="00950853"/>
    <w:rsid w:val="0095270C"/>
    <w:rsid w:val="00954A53"/>
    <w:rsid w:val="00960804"/>
    <w:rsid w:val="009755A4"/>
    <w:rsid w:val="0097757E"/>
    <w:rsid w:val="00983403"/>
    <w:rsid w:val="00983E2D"/>
    <w:rsid w:val="0098687B"/>
    <w:rsid w:val="00986B9D"/>
    <w:rsid w:val="009874E5"/>
    <w:rsid w:val="00990503"/>
    <w:rsid w:val="009935FE"/>
    <w:rsid w:val="0099558D"/>
    <w:rsid w:val="009C0762"/>
    <w:rsid w:val="009C1307"/>
    <w:rsid w:val="009C3DD4"/>
    <w:rsid w:val="009C7BC7"/>
    <w:rsid w:val="009D396C"/>
    <w:rsid w:val="009D4EFE"/>
    <w:rsid w:val="009E1970"/>
    <w:rsid w:val="009E1DCC"/>
    <w:rsid w:val="009E2876"/>
    <w:rsid w:val="009F3D3D"/>
    <w:rsid w:val="00A05729"/>
    <w:rsid w:val="00A0573C"/>
    <w:rsid w:val="00A115C7"/>
    <w:rsid w:val="00A11603"/>
    <w:rsid w:val="00A1276C"/>
    <w:rsid w:val="00A13C9D"/>
    <w:rsid w:val="00A14FF4"/>
    <w:rsid w:val="00A26501"/>
    <w:rsid w:val="00A35965"/>
    <w:rsid w:val="00A54D20"/>
    <w:rsid w:val="00A55278"/>
    <w:rsid w:val="00A555C6"/>
    <w:rsid w:val="00A57955"/>
    <w:rsid w:val="00A70367"/>
    <w:rsid w:val="00A777B1"/>
    <w:rsid w:val="00A82766"/>
    <w:rsid w:val="00A84169"/>
    <w:rsid w:val="00A843BB"/>
    <w:rsid w:val="00A87781"/>
    <w:rsid w:val="00AA01EB"/>
    <w:rsid w:val="00AA1085"/>
    <w:rsid w:val="00AA4303"/>
    <w:rsid w:val="00AA5559"/>
    <w:rsid w:val="00AC3B65"/>
    <w:rsid w:val="00AD0C91"/>
    <w:rsid w:val="00AD384C"/>
    <w:rsid w:val="00AD5297"/>
    <w:rsid w:val="00AE5275"/>
    <w:rsid w:val="00AF2A33"/>
    <w:rsid w:val="00B02B01"/>
    <w:rsid w:val="00B05A70"/>
    <w:rsid w:val="00B11566"/>
    <w:rsid w:val="00B141D7"/>
    <w:rsid w:val="00B14DE8"/>
    <w:rsid w:val="00B15C34"/>
    <w:rsid w:val="00B16F81"/>
    <w:rsid w:val="00B32C65"/>
    <w:rsid w:val="00B4393A"/>
    <w:rsid w:val="00B4490E"/>
    <w:rsid w:val="00B46847"/>
    <w:rsid w:val="00B51660"/>
    <w:rsid w:val="00B524E0"/>
    <w:rsid w:val="00B5578A"/>
    <w:rsid w:val="00B631C8"/>
    <w:rsid w:val="00B67597"/>
    <w:rsid w:val="00B772E1"/>
    <w:rsid w:val="00B920D4"/>
    <w:rsid w:val="00B92F61"/>
    <w:rsid w:val="00B9679D"/>
    <w:rsid w:val="00BA3F65"/>
    <w:rsid w:val="00BA6832"/>
    <w:rsid w:val="00BA7639"/>
    <w:rsid w:val="00BC1660"/>
    <w:rsid w:val="00BC7968"/>
    <w:rsid w:val="00BD0648"/>
    <w:rsid w:val="00BD1250"/>
    <w:rsid w:val="00BE4A49"/>
    <w:rsid w:val="00BE5534"/>
    <w:rsid w:val="00BF04B2"/>
    <w:rsid w:val="00BF1E8A"/>
    <w:rsid w:val="00BF2018"/>
    <w:rsid w:val="00BF663F"/>
    <w:rsid w:val="00BF6E17"/>
    <w:rsid w:val="00C0606E"/>
    <w:rsid w:val="00C13B7A"/>
    <w:rsid w:val="00C1491B"/>
    <w:rsid w:val="00C327D1"/>
    <w:rsid w:val="00C369C0"/>
    <w:rsid w:val="00C40A47"/>
    <w:rsid w:val="00C47DF0"/>
    <w:rsid w:val="00C50E42"/>
    <w:rsid w:val="00C538F3"/>
    <w:rsid w:val="00C544DD"/>
    <w:rsid w:val="00C65CA6"/>
    <w:rsid w:val="00C75D8D"/>
    <w:rsid w:val="00C86529"/>
    <w:rsid w:val="00C86748"/>
    <w:rsid w:val="00C9036D"/>
    <w:rsid w:val="00C92A3B"/>
    <w:rsid w:val="00CA30E8"/>
    <w:rsid w:val="00CC2D43"/>
    <w:rsid w:val="00CC4C99"/>
    <w:rsid w:val="00CC4D5C"/>
    <w:rsid w:val="00CD053B"/>
    <w:rsid w:val="00CE2379"/>
    <w:rsid w:val="00CE54EC"/>
    <w:rsid w:val="00CF7275"/>
    <w:rsid w:val="00D016D3"/>
    <w:rsid w:val="00D04DB1"/>
    <w:rsid w:val="00D07A16"/>
    <w:rsid w:val="00D132EE"/>
    <w:rsid w:val="00D22654"/>
    <w:rsid w:val="00D228DC"/>
    <w:rsid w:val="00D53C5E"/>
    <w:rsid w:val="00D67047"/>
    <w:rsid w:val="00D70601"/>
    <w:rsid w:val="00D73A2B"/>
    <w:rsid w:val="00D75B73"/>
    <w:rsid w:val="00D80586"/>
    <w:rsid w:val="00D81EDD"/>
    <w:rsid w:val="00D8278D"/>
    <w:rsid w:val="00D84F3E"/>
    <w:rsid w:val="00D922F8"/>
    <w:rsid w:val="00D9361F"/>
    <w:rsid w:val="00D939DF"/>
    <w:rsid w:val="00D94349"/>
    <w:rsid w:val="00D9517E"/>
    <w:rsid w:val="00DA35F8"/>
    <w:rsid w:val="00DA668E"/>
    <w:rsid w:val="00DB44F5"/>
    <w:rsid w:val="00DC0D9E"/>
    <w:rsid w:val="00DC2990"/>
    <w:rsid w:val="00DD294E"/>
    <w:rsid w:val="00DD4B79"/>
    <w:rsid w:val="00DD509B"/>
    <w:rsid w:val="00DF73BB"/>
    <w:rsid w:val="00E0796B"/>
    <w:rsid w:val="00E114C9"/>
    <w:rsid w:val="00E1608A"/>
    <w:rsid w:val="00E16C0A"/>
    <w:rsid w:val="00E1730C"/>
    <w:rsid w:val="00E27857"/>
    <w:rsid w:val="00E27929"/>
    <w:rsid w:val="00E3387A"/>
    <w:rsid w:val="00E43C27"/>
    <w:rsid w:val="00E460CE"/>
    <w:rsid w:val="00E74226"/>
    <w:rsid w:val="00E74502"/>
    <w:rsid w:val="00E77864"/>
    <w:rsid w:val="00E81941"/>
    <w:rsid w:val="00E84A55"/>
    <w:rsid w:val="00E84DDC"/>
    <w:rsid w:val="00E8571D"/>
    <w:rsid w:val="00E906E7"/>
    <w:rsid w:val="00E9240D"/>
    <w:rsid w:val="00EA1124"/>
    <w:rsid w:val="00EA1BFE"/>
    <w:rsid w:val="00EA2616"/>
    <w:rsid w:val="00EA2D7E"/>
    <w:rsid w:val="00EB390C"/>
    <w:rsid w:val="00EB7CFD"/>
    <w:rsid w:val="00ED2DED"/>
    <w:rsid w:val="00EE47A2"/>
    <w:rsid w:val="00EE4950"/>
    <w:rsid w:val="00EF1E7B"/>
    <w:rsid w:val="00EF5411"/>
    <w:rsid w:val="00F01229"/>
    <w:rsid w:val="00F015D6"/>
    <w:rsid w:val="00F01AC3"/>
    <w:rsid w:val="00F04270"/>
    <w:rsid w:val="00F07D88"/>
    <w:rsid w:val="00F152D9"/>
    <w:rsid w:val="00F1623F"/>
    <w:rsid w:val="00F21C6E"/>
    <w:rsid w:val="00F21F40"/>
    <w:rsid w:val="00F33757"/>
    <w:rsid w:val="00F339CA"/>
    <w:rsid w:val="00F3411A"/>
    <w:rsid w:val="00F37765"/>
    <w:rsid w:val="00F43803"/>
    <w:rsid w:val="00F5332A"/>
    <w:rsid w:val="00F53FE3"/>
    <w:rsid w:val="00F64981"/>
    <w:rsid w:val="00F76D91"/>
    <w:rsid w:val="00F8128C"/>
    <w:rsid w:val="00F83A0B"/>
    <w:rsid w:val="00F8578A"/>
    <w:rsid w:val="00FA2D6D"/>
    <w:rsid w:val="00FA4336"/>
    <w:rsid w:val="00FA6550"/>
    <w:rsid w:val="00FA6B5F"/>
    <w:rsid w:val="00FB2E06"/>
    <w:rsid w:val="00FB466E"/>
    <w:rsid w:val="00FC0213"/>
    <w:rsid w:val="00FC52D4"/>
    <w:rsid w:val="00FC590A"/>
    <w:rsid w:val="00FD0174"/>
    <w:rsid w:val="00FD3770"/>
    <w:rsid w:val="00FE1385"/>
    <w:rsid w:val="00FE6F4E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D8F16"/>
  <w15:docId w15:val="{D9EC8F26-C94E-4A14-AF24-7084C6C1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link w:val="FooterChar"/>
    <w:uiPriority w:val="99"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F1E8A"/>
    <w:rPr>
      <w:color w:val="0000FF" w:themeColor="hyperlink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528F1"/>
    <w:rPr>
      <w:rFonts w:cs="Simplified Arabic"/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FE138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795783360867481"/>
          <c:y val="3.6853010196156125E-2"/>
          <c:w val="0.83160905976671173"/>
          <c:h val="0.6888205329474106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الربع الثاني 2020</c:v>
                </c:pt>
                <c:pt idx="1">
                  <c:v>الربع الثالث 2020</c:v>
                </c:pt>
                <c:pt idx="2">
                  <c:v>الربع الرابع 2020</c:v>
                </c:pt>
                <c:pt idx="3">
                  <c:v>الربع الاول 2021</c:v>
                </c:pt>
                <c:pt idx="4">
                  <c:v>الربع الثاني 2021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125</c:v>
                </c:pt>
                <c:pt idx="1">
                  <c:v>172</c:v>
                </c:pt>
                <c:pt idx="2">
                  <c:v>296</c:v>
                </c:pt>
                <c:pt idx="3">
                  <c:v>194</c:v>
                </c:pt>
                <c:pt idx="4">
                  <c:v>274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C1-4DC0-9A9B-6D01AAD4DD9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الربع الثاني 2020</c:v>
                </c:pt>
                <c:pt idx="1">
                  <c:v>الربع الثالث 2020</c:v>
                </c:pt>
                <c:pt idx="2">
                  <c:v>الربع الرابع 2020</c:v>
                </c:pt>
                <c:pt idx="3">
                  <c:v>الربع الاول 2021</c:v>
                </c:pt>
                <c:pt idx="4">
                  <c:v>الربع الثاني 2021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813</c:v>
                </c:pt>
                <c:pt idx="1">
                  <c:v>1353</c:v>
                </c:pt>
                <c:pt idx="2">
                  <c:v>1798</c:v>
                </c:pt>
                <c:pt idx="3">
                  <c:v>1285</c:v>
                </c:pt>
                <c:pt idx="4">
                  <c:v>1661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C1-4DC0-9A9B-6D01AAD4DD9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الربع الثاني 2020</c:v>
                </c:pt>
                <c:pt idx="1">
                  <c:v>الربع الثالث 2020</c:v>
                </c:pt>
                <c:pt idx="2">
                  <c:v>الربع الرابع 2020</c:v>
                </c:pt>
                <c:pt idx="3">
                  <c:v>الربع الاول 2021</c:v>
                </c:pt>
                <c:pt idx="4">
                  <c:v>الربع الثاني 2021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1217</c:v>
                </c:pt>
                <c:pt idx="1">
                  <c:v>1974</c:v>
                </c:pt>
                <c:pt idx="2">
                  <c:v>2732</c:v>
                </c:pt>
                <c:pt idx="3">
                  <c:v>2245</c:v>
                </c:pt>
                <c:pt idx="4">
                  <c:v>2649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C1-4DC0-9A9B-6D01AAD4D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49280"/>
        <c:axId val="59384576"/>
      </c:lineChart>
      <c:catAx>
        <c:axId val="138849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en-US"/>
          </a:p>
        </c:txPr>
        <c:crossAx val="59384576"/>
        <c:crosses val="autoZero"/>
        <c:auto val="1"/>
        <c:lblAlgn val="ctr"/>
        <c:lblOffset val="100"/>
        <c:noMultiLvlLbl val="0"/>
      </c:catAx>
      <c:valAx>
        <c:axId val="59384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="1"/>
                  <a:t>عدد الرخص</a:t>
                </a:r>
                <a:endParaRPr lang="en-US" sz="900" b="1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38849280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9101053957040877"/>
          <c:w val="0.99834452573537258"/>
          <c:h val="0.10898946042959583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5F90-17B7-43BF-B5E1-A1CD9015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3</cp:revision>
  <cp:lastPrinted>2020-02-24T09:21:00Z</cp:lastPrinted>
  <dcterms:created xsi:type="dcterms:W3CDTF">2021-09-02T08:03:00Z</dcterms:created>
  <dcterms:modified xsi:type="dcterms:W3CDTF">2021-09-02T08:18:00Z</dcterms:modified>
</cp:coreProperties>
</file>