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0" w:rsidRDefault="003B1AC0" w:rsidP="000C6B4E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B1AC0" w:rsidRDefault="003B1AC0" w:rsidP="000C6B4E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0C6B4E" w:rsidRPr="00755AB5" w:rsidRDefault="000C6B4E" w:rsidP="000C6B4E">
      <w:pPr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755AB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د.</w:t>
      </w:r>
      <w:r w:rsidRPr="00755AB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عوض، تستعرض أوضاع المرأة الفلسطينية عشية يوم المرأة العالمي، 08/03/</w:t>
      </w:r>
      <w:r w:rsidRPr="00755AB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2020</w:t>
      </w:r>
      <w:r w:rsidRPr="00755AB5">
        <w:rPr>
          <w:rFonts w:ascii="Simplified Arabic" w:hAnsi="Simplified Arabic" w:cs="Simplified Arabic"/>
          <w:b/>
          <w:bCs/>
          <w:sz w:val="30"/>
          <w:szCs w:val="30"/>
          <w:rtl/>
        </w:rPr>
        <w:t>.</w:t>
      </w:r>
    </w:p>
    <w:p w:rsidR="000C6B4E" w:rsidRPr="00521E2A" w:rsidRDefault="000C6B4E" w:rsidP="000C6B4E">
      <w:pPr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0C6B4E" w:rsidRPr="00521E2A" w:rsidRDefault="000C6B4E" w:rsidP="000C6B4E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معالي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</w:t>
      </w: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 عوض، رئيس الاحصاء الفلسطيني</w:t>
      </w:r>
      <w:r w:rsidR="00872E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اليوم الخميس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05</w:t>
      </w: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>/03/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2020</w:t>
      </w: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>، اوضاع المرأة الفلسطينية عشية يوم المرأة العالمي، 08/03/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2020</w:t>
      </w:r>
      <w:r w:rsidRPr="00521E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521E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النحو الآتي:</w:t>
      </w:r>
    </w:p>
    <w:p w:rsidR="00526658" w:rsidRPr="000C6B4E" w:rsidRDefault="00526658" w:rsidP="00526658">
      <w:pPr>
        <w:tabs>
          <w:tab w:val="left" w:pos="9071"/>
        </w:tabs>
        <w:jc w:val="both"/>
        <w:rPr>
          <w:rFonts w:cs="Simplified Arabic"/>
          <w:color w:val="000000"/>
          <w:sz w:val="12"/>
          <w:szCs w:val="12"/>
          <w:rtl/>
        </w:rPr>
      </w:pPr>
    </w:p>
    <w:p w:rsidR="003B1AC0" w:rsidRDefault="003B1AC0" w:rsidP="00173C8F">
      <w:pPr>
        <w:tabs>
          <w:tab w:val="left" w:pos="9071"/>
        </w:tabs>
        <w:ind w:right="720"/>
        <w:jc w:val="both"/>
        <w:rPr>
          <w:rFonts w:cs="Simplified Arabic" w:hint="cs"/>
          <w:b/>
          <w:bCs/>
          <w:color w:val="000000"/>
          <w:rtl/>
        </w:rPr>
      </w:pPr>
      <w:bookmarkStart w:id="0" w:name="OLE_LINK2"/>
    </w:p>
    <w:p w:rsidR="00652F7E" w:rsidRPr="003B1AC0" w:rsidRDefault="00173C8F" w:rsidP="00173C8F">
      <w:pPr>
        <w:tabs>
          <w:tab w:val="left" w:pos="9071"/>
        </w:tabs>
        <w:ind w:right="720"/>
        <w:jc w:val="both"/>
        <w:rPr>
          <w:rFonts w:cs="Simplified Arabic"/>
          <w:b/>
          <w:bCs/>
          <w:noProof/>
          <w:color w:val="000000"/>
          <w:sz w:val="26"/>
          <w:szCs w:val="26"/>
          <w:rtl/>
        </w:rPr>
      </w:pPr>
      <w:r w:rsidRPr="003B1AC0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المرأة </w:t>
      </w:r>
      <w:r w:rsidR="00652F7E" w:rsidRPr="003B1AC0">
        <w:rPr>
          <w:rFonts w:cs="Simplified Arabic" w:hint="cs"/>
          <w:b/>
          <w:bCs/>
          <w:color w:val="000000"/>
          <w:sz w:val="26"/>
          <w:szCs w:val="26"/>
          <w:rtl/>
        </w:rPr>
        <w:t>نصف</w:t>
      </w:r>
      <w:r w:rsidR="00652F7E" w:rsidRPr="003B1AC0">
        <w:rPr>
          <w:rFonts w:cs="Simplified Arabic"/>
          <w:b/>
          <w:bCs/>
          <w:color w:val="000000"/>
          <w:sz w:val="26"/>
          <w:szCs w:val="26"/>
        </w:rPr>
        <w:t xml:space="preserve"> </w:t>
      </w:r>
      <w:r w:rsidR="00652F7E" w:rsidRPr="003B1AC0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المجتمع الفلسطيني </w:t>
      </w:r>
    </w:p>
    <w:p w:rsidR="00B0314D" w:rsidRDefault="00B0314D" w:rsidP="00A93D40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3B1AC0">
        <w:rPr>
          <w:rFonts w:ascii="Simplified Arabic" w:hAnsi="Simplified Arabic" w:cs="Simplified Arabic" w:hint="cs"/>
          <w:sz w:val="26"/>
          <w:szCs w:val="26"/>
          <w:rtl/>
        </w:rPr>
        <w:t>بلغ عدد السكان المقدر في منتصف عام 2020 في فلسطين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>،</w:t>
      </w:r>
      <w:r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حوالي 5.10 مليون فرد؛ منهم 2.59 مليون ذكر بنسبة 51% و2.51 مليون أنثى بنسبة 49%، فيما وصلت نسبة الجنس 103.4، أي أن هناك 103 ذكر لكل 100 أنثى. </w:t>
      </w:r>
    </w:p>
    <w:p w:rsidR="0042466C" w:rsidRPr="003B1AC0" w:rsidRDefault="0042466C" w:rsidP="00B0314D">
      <w:pPr>
        <w:jc w:val="both"/>
        <w:rPr>
          <w:rFonts w:ascii="Times New Roman" w:hAnsi="Times New Roman" w:cs="Simplified Arabic"/>
          <w:color w:val="000000"/>
          <w:rtl/>
        </w:rPr>
      </w:pPr>
    </w:p>
    <w:tbl>
      <w:tblPr>
        <w:bidiVisual/>
        <w:tblW w:w="5000" w:type="pct"/>
        <w:tblLook w:val="04A0"/>
      </w:tblPr>
      <w:tblGrid>
        <w:gridCol w:w="2407"/>
        <w:gridCol w:w="2483"/>
        <w:gridCol w:w="2483"/>
        <w:gridCol w:w="2481"/>
      </w:tblGrid>
      <w:tr w:rsidR="00D2172C" w:rsidRPr="003B1AC0" w:rsidTr="003B1AC0"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72C" w:rsidRPr="003B1AC0" w:rsidRDefault="00D2172C" w:rsidP="003B1AC0">
            <w:pPr>
              <w:jc w:val="center"/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b/>
                <w:bCs/>
                <w:color w:val="000000"/>
                <w:rtl/>
              </w:rPr>
              <w:t>المنطقة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72C" w:rsidRPr="003B1AC0" w:rsidRDefault="00D2172C" w:rsidP="003B1AC0">
            <w:pPr>
              <w:jc w:val="center"/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b/>
                <w:bCs/>
                <w:color w:val="000000"/>
                <w:rtl/>
              </w:rPr>
              <w:t>ذكور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72C" w:rsidRPr="003B1AC0" w:rsidRDefault="00D2172C" w:rsidP="003B1AC0">
            <w:pPr>
              <w:jc w:val="center"/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b/>
                <w:bCs/>
                <w:color w:val="000000"/>
                <w:rtl/>
              </w:rPr>
              <w:t>إناث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72C" w:rsidRPr="003B1AC0" w:rsidRDefault="00D2172C" w:rsidP="003B1AC0">
            <w:pPr>
              <w:jc w:val="center"/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b/>
                <w:bCs/>
                <w:color w:val="000000"/>
                <w:rtl/>
              </w:rPr>
              <w:t>كلا الجنسين</w:t>
            </w:r>
          </w:p>
        </w:tc>
      </w:tr>
      <w:tr w:rsidR="00B0314D" w:rsidRPr="003B1AC0" w:rsidTr="003B1AC0">
        <w:tc>
          <w:tcPr>
            <w:tcW w:w="1221" w:type="pct"/>
            <w:tcBorders>
              <w:top w:val="single" w:sz="4" w:space="0" w:color="auto"/>
            </w:tcBorders>
          </w:tcPr>
          <w:p w:rsidR="00B0314D" w:rsidRPr="003B1AC0" w:rsidRDefault="00B0314D" w:rsidP="003B1AC0">
            <w:pPr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b/>
                <w:bCs/>
                <w:color w:val="000000"/>
                <w:rtl/>
              </w:rPr>
              <w:t>فلسطين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B1AC0">
              <w:rPr>
                <w:rFonts w:ascii="Arial" w:eastAsia="Times New Roman" w:hAnsi="Arial"/>
                <w:b/>
                <w:bCs/>
                <w:color w:val="000000"/>
              </w:rPr>
              <w:t>2,593,641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B1AC0">
              <w:rPr>
                <w:rFonts w:ascii="Arial" w:eastAsia="Times New Roman" w:hAnsi="Arial"/>
                <w:b/>
                <w:bCs/>
                <w:color w:val="000000"/>
              </w:rPr>
              <w:t>2,507,511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B1AC0">
              <w:rPr>
                <w:rFonts w:ascii="Arial" w:eastAsia="Times New Roman" w:hAnsi="Arial"/>
                <w:b/>
                <w:bCs/>
                <w:color w:val="000000"/>
              </w:rPr>
              <w:t>5,101,152</w:t>
            </w:r>
          </w:p>
        </w:tc>
      </w:tr>
      <w:tr w:rsidR="00B0314D" w:rsidRPr="003B1AC0" w:rsidTr="003B1AC0">
        <w:tc>
          <w:tcPr>
            <w:tcW w:w="1221" w:type="pct"/>
          </w:tcPr>
          <w:p w:rsidR="00B0314D" w:rsidRPr="003B1AC0" w:rsidRDefault="00B0314D" w:rsidP="003B1AC0">
            <w:pPr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color w:val="000000"/>
                <w:rtl/>
              </w:rPr>
              <w:t>الضفة الغربية</w:t>
            </w:r>
          </w:p>
        </w:tc>
        <w:tc>
          <w:tcPr>
            <w:tcW w:w="1260" w:type="pct"/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1,555,741</w:t>
            </w:r>
          </w:p>
        </w:tc>
        <w:tc>
          <w:tcPr>
            <w:tcW w:w="1260" w:type="pct"/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1,497,442</w:t>
            </w:r>
          </w:p>
        </w:tc>
        <w:tc>
          <w:tcPr>
            <w:tcW w:w="1260" w:type="pct"/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3,053,183</w:t>
            </w:r>
          </w:p>
        </w:tc>
      </w:tr>
      <w:tr w:rsidR="00B0314D" w:rsidRPr="003B1AC0" w:rsidTr="003B1AC0">
        <w:trPr>
          <w:trHeight w:val="80"/>
        </w:trPr>
        <w:tc>
          <w:tcPr>
            <w:tcW w:w="1221" w:type="pct"/>
            <w:tcBorders>
              <w:bottom w:val="single" w:sz="4" w:space="0" w:color="auto"/>
            </w:tcBorders>
          </w:tcPr>
          <w:p w:rsidR="00B0314D" w:rsidRPr="003B1AC0" w:rsidRDefault="00B0314D" w:rsidP="003B1AC0">
            <w:pPr>
              <w:rPr>
                <w:rFonts w:ascii="Times New Roman" w:hAnsi="Times New Roman" w:cs="Simplified Arabic"/>
                <w:b/>
                <w:bCs/>
                <w:color w:val="000000"/>
                <w:rtl/>
              </w:rPr>
            </w:pPr>
            <w:r w:rsidRPr="003B1AC0">
              <w:rPr>
                <w:rFonts w:ascii="Times New Roman" w:hAnsi="Times New Roman" w:cs="Simplified Arabic" w:hint="cs"/>
                <w:color w:val="000000"/>
                <w:rtl/>
              </w:rPr>
              <w:t>قطاع غزة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1,037,900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1,010,069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B0314D" w:rsidRPr="003B1AC0" w:rsidRDefault="00B0314D" w:rsidP="003B1AC0">
            <w:pPr>
              <w:jc w:val="center"/>
              <w:rPr>
                <w:rFonts w:ascii="Arial" w:hAnsi="Arial"/>
                <w:color w:val="000000"/>
              </w:rPr>
            </w:pPr>
            <w:r w:rsidRPr="003B1AC0">
              <w:rPr>
                <w:rFonts w:ascii="Arial" w:eastAsia="Times New Roman" w:hAnsi="Arial"/>
                <w:color w:val="000000"/>
              </w:rPr>
              <w:t>2,047,969</w:t>
            </w:r>
          </w:p>
        </w:tc>
      </w:tr>
    </w:tbl>
    <w:p w:rsidR="007959CC" w:rsidRPr="005E1DE3" w:rsidRDefault="007959CC" w:rsidP="007959CC">
      <w:pPr>
        <w:jc w:val="lowKashida"/>
        <w:rPr>
          <w:rFonts w:ascii="Times New Roman" w:hAnsi="Times New Roman" w:cs="Simplified Arabic"/>
          <w:color w:val="000000"/>
          <w:sz w:val="10"/>
          <w:szCs w:val="10"/>
          <w:rtl/>
        </w:rPr>
      </w:pPr>
    </w:p>
    <w:p w:rsidR="003B1AC0" w:rsidRDefault="003B1AC0" w:rsidP="00861857">
      <w:pPr>
        <w:tabs>
          <w:tab w:val="left" w:pos="9071"/>
        </w:tabs>
        <w:ind w:right="720"/>
        <w:jc w:val="both"/>
        <w:rPr>
          <w:rFonts w:cs="Simplified Arabic" w:hint="cs"/>
          <w:b/>
          <w:bCs/>
          <w:color w:val="000000"/>
          <w:sz w:val="26"/>
          <w:szCs w:val="26"/>
          <w:rtl/>
        </w:rPr>
      </w:pPr>
    </w:p>
    <w:p w:rsidR="00631999" w:rsidRPr="003B1AC0" w:rsidRDefault="003508A5" w:rsidP="00861857">
      <w:pPr>
        <w:tabs>
          <w:tab w:val="left" w:pos="9071"/>
        </w:tabs>
        <w:ind w:right="720"/>
        <w:jc w:val="both"/>
        <w:rPr>
          <w:rFonts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cs="Simplified Arabic" w:hint="cs"/>
          <w:b/>
          <w:bCs/>
          <w:color w:val="000000"/>
          <w:sz w:val="26"/>
          <w:szCs w:val="26"/>
          <w:rtl/>
        </w:rPr>
        <w:t>أكثر من</w:t>
      </w:r>
      <w:r w:rsidR="00631999" w:rsidRPr="003B1AC0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عُشر الأسر الفلسطينية ترأسها نساء </w:t>
      </w:r>
    </w:p>
    <w:p w:rsidR="00631999" w:rsidRDefault="003508A5" w:rsidP="00CF70E1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sz w:val="26"/>
          <w:szCs w:val="26"/>
          <w:rtl/>
        </w:rPr>
        <w:t>ترأس النساء في فلسطين حوالي</w:t>
      </w:r>
      <w:r w:rsidR="00D43110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14FE" w:rsidRPr="003B1AC0">
        <w:rPr>
          <w:rFonts w:ascii="Simplified Arabic" w:hAnsi="Simplified Arabic" w:cs="Simplified Arabic"/>
          <w:sz w:val="26"/>
          <w:szCs w:val="26"/>
          <w:rtl/>
        </w:rPr>
        <w:t>11</w:t>
      </w:r>
      <w:r w:rsidR="00631999" w:rsidRPr="003B1AC0">
        <w:rPr>
          <w:rFonts w:ascii="Simplified Arabic" w:hAnsi="Simplified Arabic" w:cs="Simplified Arabic"/>
          <w:sz w:val="26"/>
          <w:szCs w:val="26"/>
          <w:rtl/>
        </w:rPr>
        <w:t>% من ال</w:t>
      </w:r>
      <w:r w:rsidR="00F241C3" w:rsidRPr="003B1AC0">
        <w:rPr>
          <w:rFonts w:ascii="Simplified Arabic" w:hAnsi="Simplified Arabic" w:cs="Simplified Arabic"/>
          <w:sz w:val="26"/>
          <w:szCs w:val="26"/>
          <w:rtl/>
        </w:rPr>
        <w:t>أ</w:t>
      </w:r>
      <w:r w:rsidR="007314FE" w:rsidRPr="003B1AC0">
        <w:rPr>
          <w:rFonts w:ascii="Simplified Arabic" w:hAnsi="Simplified Arabic" w:cs="Simplified Arabic"/>
          <w:sz w:val="26"/>
          <w:szCs w:val="26"/>
          <w:rtl/>
        </w:rPr>
        <w:t>سر</w:t>
      </w:r>
      <w:r w:rsidR="00631999" w:rsidRPr="003B1AC0">
        <w:rPr>
          <w:rFonts w:ascii="Simplified Arabic" w:hAnsi="Simplified Arabic" w:cs="Simplified Arabic"/>
          <w:sz w:val="26"/>
          <w:szCs w:val="26"/>
          <w:rtl/>
        </w:rPr>
        <w:t>، بواقع 12% في الضفة الغربية و9% في قطاع غزة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>، وذلك بناءً على بيانات</w:t>
      </w:r>
      <w:r w:rsidR="00B04E95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مسح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 القوى العاملة للعام </w:t>
      </w:r>
      <w:r w:rsidR="00CF70E1" w:rsidRPr="003B1AC0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B1AC0" w:rsidRPr="003B1AC0" w:rsidRDefault="003B1AC0" w:rsidP="00CF70E1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7959CC" w:rsidRPr="003B1AC0" w:rsidRDefault="003508A5" w:rsidP="003508A5">
      <w:pPr>
        <w:tabs>
          <w:tab w:val="left" w:pos="9071"/>
        </w:tabs>
        <w:jc w:val="both"/>
        <w:rPr>
          <w:rFonts w:cs="Simplified Arabic"/>
          <w:b/>
          <w:bCs/>
          <w:color w:val="000000"/>
          <w:sz w:val="26"/>
          <w:szCs w:val="26"/>
        </w:rPr>
      </w:pPr>
      <w:r w:rsidRPr="003B1AC0">
        <w:rPr>
          <w:rFonts w:cs="Simplified Arabic" w:hint="cs"/>
          <w:b/>
          <w:bCs/>
          <w:color w:val="000000"/>
          <w:sz w:val="26"/>
          <w:szCs w:val="26"/>
          <w:rtl/>
        </w:rPr>
        <w:t>انخفاض ملحوظ في نسبة الزواج المبكر في فلسطين</w:t>
      </w:r>
      <w:r w:rsidR="00500553" w:rsidRPr="003B1AC0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</w:t>
      </w:r>
    </w:p>
    <w:bookmarkEnd w:id="0"/>
    <w:p w:rsidR="003F219D" w:rsidRPr="003B1AC0" w:rsidRDefault="003F219D" w:rsidP="007824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هناك انخفاض في نسبة الزواج المبكر (لمن هم أقل من 18 سنة) لكلا الجنسين، فقد بلغت نسبة الإناث أقل من 18 سنة واللواتي عقد قرانهن خلال عام 2018 حوالي </w:t>
      </w:r>
      <w:r w:rsidR="0042466C" w:rsidRPr="003B1AC0">
        <w:rPr>
          <w:rFonts w:ascii="Simplified Arabic" w:hAnsi="Simplified Arabic" w:cs="Simplified Arabic"/>
          <w:sz w:val="26"/>
          <w:szCs w:val="26"/>
          <w:rtl/>
        </w:rPr>
        <w:t>20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% من إجمالي الإناث اللواتي عقد قرانهن خلال نفس العام؛ بواقع </w:t>
      </w:r>
      <w:r w:rsidR="0042466C" w:rsidRPr="003B1AC0">
        <w:rPr>
          <w:rFonts w:ascii="Simplified Arabic" w:hAnsi="Simplified Arabic" w:cs="Simplified Arabic"/>
          <w:sz w:val="26"/>
          <w:szCs w:val="26"/>
          <w:rtl/>
        </w:rPr>
        <w:t>19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>% من إجمالي الإناث اللواتي عقد قرانهن في الضفة الغربية، و</w:t>
      </w:r>
      <w:r w:rsidR="0042466C" w:rsidRPr="003B1AC0">
        <w:rPr>
          <w:rFonts w:ascii="Simplified Arabic" w:hAnsi="Simplified Arabic" w:cs="Simplified Arabic"/>
          <w:sz w:val="26"/>
          <w:szCs w:val="26"/>
          <w:rtl/>
        </w:rPr>
        <w:t>21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% من إجمالي الإناث اللواتي عقد قرانهن في قطاع غزة، في حين كانت النسبة للإناث عام 2010 حوالي 24%. </w:t>
      </w:r>
    </w:p>
    <w:p w:rsidR="0042466C" w:rsidRPr="003B1AC0" w:rsidRDefault="0042466C" w:rsidP="00782473">
      <w:pPr>
        <w:jc w:val="both"/>
        <w:rPr>
          <w:sz w:val="26"/>
          <w:szCs w:val="26"/>
          <w:rtl/>
        </w:rPr>
      </w:pPr>
    </w:p>
    <w:p w:rsidR="003F219D" w:rsidRPr="003B1AC0" w:rsidRDefault="003F219D" w:rsidP="007824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كما بلغت نسبة الذكور أقل من 18 سنة والذين عقد قرانهم خلال عام 2018 </w:t>
      </w:r>
      <w:r w:rsidR="009B3BDB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أقل من 1% </w:t>
      </w:r>
      <w:r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من إجمالي الذكور الذين عقد قرانهم خلال نفس العام، في حين كانت النسبة للذكور عام 2010 حوالي </w:t>
      </w:r>
      <w:r w:rsidR="009B3BDB" w:rsidRPr="003B1AC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3B1AC0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3F219D" w:rsidRPr="003B1AC0" w:rsidRDefault="003F219D" w:rsidP="003F219D">
      <w:pPr>
        <w:pStyle w:val="BodyText"/>
        <w:jc w:val="both"/>
        <w:rPr>
          <w:rFonts w:ascii="Simplified Arabic" w:hAnsi="Simplified Arabic"/>
          <w:color w:val="000000"/>
          <w:sz w:val="26"/>
          <w:szCs w:val="26"/>
          <w:rtl/>
        </w:rPr>
      </w:pPr>
    </w:p>
    <w:p w:rsidR="00A51113" w:rsidRPr="003B1AC0" w:rsidRDefault="00674F3A" w:rsidP="00D64CC1">
      <w:pPr>
        <w:pStyle w:val="BodyText"/>
        <w:jc w:val="both"/>
        <w:rPr>
          <w:rFonts w:eastAsia="Calibri"/>
          <w:b/>
          <w:bCs/>
          <w:color w:val="000000"/>
          <w:sz w:val="26"/>
          <w:szCs w:val="26"/>
          <w:rtl/>
          <w:lang w:eastAsia="en-US"/>
        </w:rPr>
      </w:pPr>
      <w:r w:rsidRPr="003B1AC0">
        <w:rPr>
          <w:rFonts w:eastAsia="Calibri" w:hint="cs"/>
          <w:b/>
          <w:bCs/>
          <w:color w:val="000000"/>
          <w:sz w:val="26"/>
          <w:szCs w:val="26"/>
          <w:rtl/>
          <w:lang w:eastAsia="en-US"/>
        </w:rPr>
        <w:t>حوالي ثلثي</w:t>
      </w:r>
      <w:r w:rsidR="00A51113" w:rsidRPr="003B1AC0">
        <w:rPr>
          <w:rFonts w:eastAsia="Calibri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FD5A10" w:rsidRPr="003B1AC0">
        <w:rPr>
          <w:rFonts w:eastAsia="Calibri" w:hint="cs"/>
          <w:b/>
          <w:bCs/>
          <w:color w:val="000000"/>
          <w:sz w:val="26"/>
          <w:szCs w:val="26"/>
          <w:rtl/>
          <w:lang w:eastAsia="en-US"/>
        </w:rPr>
        <w:t>النساء</w:t>
      </w:r>
      <w:r w:rsidR="00A51113" w:rsidRPr="003B1AC0">
        <w:rPr>
          <w:rFonts w:eastAsia="Calibri"/>
          <w:b/>
          <w:bCs/>
          <w:color w:val="000000"/>
          <w:sz w:val="26"/>
          <w:szCs w:val="26"/>
          <w:rtl/>
          <w:lang w:eastAsia="en-US"/>
        </w:rPr>
        <w:t xml:space="preserve"> في العمر 18 سنة فأكثر متزوجات</w:t>
      </w:r>
      <w:r w:rsidR="00500553" w:rsidRPr="003B1AC0">
        <w:rPr>
          <w:rFonts w:eastAsia="Calibri" w:hint="cs"/>
          <w:b/>
          <w:bCs/>
          <w:color w:val="000000"/>
          <w:sz w:val="26"/>
          <w:szCs w:val="26"/>
          <w:rtl/>
          <w:lang w:eastAsia="en-US"/>
        </w:rPr>
        <w:t xml:space="preserve">       </w:t>
      </w:r>
      <w:r w:rsidR="00BE7E2C" w:rsidRPr="003B1AC0">
        <w:rPr>
          <w:rFonts w:eastAsia="Calibri"/>
          <w:b/>
          <w:bCs/>
          <w:color w:val="000000"/>
          <w:sz w:val="26"/>
          <w:szCs w:val="26"/>
          <w:rtl/>
          <w:lang w:eastAsia="en-US"/>
        </w:rPr>
        <w:t xml:space="preserve"> </w:t>
      </w:r>
    </w:p>
    <w:p w:rsidR="00A51113" w:rsidRPr="003B1AC0" w:rsidRDefault="00D43110" w:rsidP="003B1AC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 w:hint="cs"/>
          <w:sz w:val="26"/>
          <w:szCs w:val="26"/>
          <w:rtl/>
        </w:rPr>
        <w:t>إستناداً إلى</w:t>
      </w:r>
      <w:r w:rsidR="0038141F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بيانات مسح القوى العاملة </w:t>
      </w:r>
      <w:r w:rsidR="00D64CC1" w:rsidRPr="003B1AC0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="00806BCC" w:rsidRPr="003B1AC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38141F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14FE" w:rsidRPr="003B1AC0">
        <w:rPr>
          <w:rFonts w:ascii="Simplified Arabic" w:hAnsi="Simplified Arabic" w:cs="Simplified Arabic" w:hint="cs"/>
          <w:sz w:val="26"/>
          <w:szCs w:val="26"/>
          <w:rtl/>
        </w:rPr>
        <w:t>بلغت</w:t>
      </w:r>
      <w:r w:rsidR="0038141F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1113" w:rsidRPr="003B1AC0">
        <w:rPr>
          <w:rFonts w:ascii="Simplified Arabic" w:hAnsi="Simplified Arabic" w:cs="Simplified Arabic"/>
          <w:sz w:val="26"/>
          <w:szCs w:val="26"/>
          <w:rtl/>
        </w:rPr>
        <w:t xml:space="preserve">نسبة </w:t>
      </w:r>
      <w:r w:rsidR="00FD5A10" w:rsidRPr="003B1AC0">
        <w:rPr>
          <w:rFonts w:ascii="Simplified Arabic" w:hAnsi="Simplified Arabic" w:cs="Simplified Arabic" w:hint="cs"/>
          <w:sz w:val="26"/>
          <w:szCs w:val="26"/>
          <w:rtl/>
        </w:rPr>
        <w:t>النساء</w:t>
      </w:r>
      <w:r w:rsidR="00A51113" w:rsidRPr="003B1AC0">
        <w:rPr>
          <w:rFonts w:ascii="Simplified Arabic" w:hAnsi="Simplified Arabic" w:cs="Simplified Arabic"/>
          <w:sz w:val="26"/>
          <w:szCs w:val="26"/>
          <w:rtl/>
        </w:rPr>
        <w:t xml:space="preserve"> المتزوجات من مجموع الن</w:t>
      </w:r>
      <w:r w:rsidR="007314FE" w:rsidRPr="003B1AC0">
        <w:rPr>
          <w:rFonts w:ascii="Simplified Arabic" w:hAnsi="Simplified Arabic" w:cs="Simplified Arabic"/>
          <w:sz w:val="26"/>
          <w:szCs w:val="26"/>
          <w:rtl/>
        </w:rPr>
        <w:t>ساء في العمر 18 سنة فأكثر</w:t>
      </w:r>
      <w:r w:rsidR="009B3BDB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 حوالي</w:t>
      </w:r>
      <w:r w:rsidR="007314FE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4CC1" w:rsidRPr="003B1AC0">
        <w:rPr>
          <w:rFonts w:ascii="Simplified Arabic" w:hAnsi="Simplified Arabic" w:cs="Simplified Arabic" w:hint="cs"/>
          <w:sz w:val="26"/>
          <w:szCs w:val="26"/>
          <w:rtl/>
        </w:rPr>
        <w:t>66</w:t>
      </w:r>
      <w:r w:rsidR="007314FE" w:rsidRPr="003B1AC0">
        <w:rPr>
          <w:rFonts w:ascii="Simplified Arabic" w:hAnsi="Simplified Arabic" w:cs="Simplified Arabic"/>
          <w:sz w:val="26"/>
          <w:szCs w:val="26"/>
          <w:rtl/>
        </w:rPr>
        <w:t>%</w:t>
      </w:r>
      <w:r w:rsidR="00A51113" w:rsidRPr="003B1AC0">
        <w:rPr>
          <w:rFonts w:ascii="Simplified Arabic" w:hAnsi="Simplified Arabic" w:cs="Simplified Arabic"/>
          <w:sz w:val="26"/>
          <w:szCs w:val="26"/>
          <w:rtl/>
        </w:rPr>
        <w:t>، و</w:t>
      </w:r>
      <w:r w:rsidR="009B3BDB" w:rsidRPr="003B1AC0">
        <w:rPr>
          <w:rFonts w:ascii="Simplified Arabic" w:hAnsi="Simplified Arabic" w:cs="Simplified Arabic" w:hint="cs"/>
          <w:sz w:val="26"/>
          <w:szCs w:val="26"/>
          <w:rtl/>
        </w:rPr>
        <w:t xml:space="preserve">بلغت نسبة اللواتي لم يسبق لهن الزواج </w:t>
      </w:r>
      <w:r w:rsidR="00F266E8" w:rsidRPr="003B1AC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9B3BDB" w:rsidRPr="003B1AC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9B3BDB" w:rsidRPr="003B1AC0">
        <w:rPr>
          <w:rFonts w:ascii="Simplified Arabic" w:hAnsi="Simplified Arabic" w:cs="Simplified Arabic"/>
          <w:sz w:val="26"/>
          <w:szCs w:val="26"/>
          <w:rtl/>
        </w:rPr>
        <w:t>%</w:t>
      </w:r>
      <w:r w:rsidR="00A51113" w:rsidRPr="003B1AC0">
        <w:rPr>
          <w:rFonts w:ascii="Simplified Arabic" w:hAnsi="Simplified Arabic" w:cs="Simplified Arabic"/>
          <w:sz w:val="26"/>
          <w:szCs w:val="26"/>
          <w:rtl/>
        </w:rPr>
        <w:t xml:space="preserve">، وبلغت نسبة الأرامل 6%، ونسبة المطلقات </w:t>
      </w:r>
      <w:r w:rsidR="00F266E8" w:rsidRPr="003B1AC0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A51113" w:rsidRPr="003B1AC0">
        <w:rPr>
          <w:rFonts w:ascii="Simplified Arabic" w:hAnsi="Simplified Arabic" w:cs="Simplified Arabic"/>
          <w:sz w:val="26"/>
          <w:szCs w:val="26"/>
          <w:rtl/>
        </w:rPr>
        <w:t>%</w:t>
      </w:r>
      <w:r w:rsidR="003508A5" w:rsidRPr="003B1AC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50037E" w:rsidRDefault="0050037E" w:rsidP="009E3F43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3B1AC0" w:rsidRPr="003B1AC0" w:rsidRDefault="003B1AC0" w:rsidP="009E3F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1234F" w:rsidRPr="003B1AC0" w:rsidRDefault="0071234F" w:rsidP="00316967">
      <w:pPr>
        <w:tabs>
          <w:tab w:val="left" w:pos="9071"/>
        </w:tabs>
        <w:ind w:right="720"/>
        <w:jc w:val="both"/>
        <w:rPr>
          <w:rFonts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cs="Simplified Arabic" w:hint="cs"/>
          <w:b/>
          <w:bCs/>
          <w:color w:val="000000"/>
          <w:sz w:val="26"/>
          <w:szCs w:val="26"/>
          <w:rtl/>
        </w:rPr>
        <w:lastRenderedPageBreak/>
        <w:t xml:space="preserve">انخفاض ملحوظ في معدلات الأمية بين النساء  </w:t>
      </w:r>
    </w:p>
    <w:p w:rsidR="0071234F" w:rsidRPr="003B1AC0" w:rsidRDefault="0071234F" w:rsidP="00564079">
      <w:pPr>
        <w:pStyle w:val="BodyText"/>
        <w:jc w:val="both"/>
        <w:rPr>
          <w:rFonts w:ascii="Simplified Arabic" w:eastAsia="Calibri" w:hAnsi="Simplified Arabic"/>
          <w:sz w:val="26"/>
          <w:szCs w:val="26"/>
          <w:rtl/>
          <w:lang w:eastAsia="en-US"/>
        </w:rPr>
      </w:pPr>
      <w:r w:rsidRPr="003B1AC0">
        <w:rPr>
          <w:rFonts w:ascii="Simplified Arabic" w:eastAsia="Calibri" w:hAnsi="Simplified Arabic" w:hint="cs"/>
          <w:sz w:val="26"/>
          <w:szCs w:val="26"/>
          <w:rtl/>
          <w:lang w:eastAsia="en-US"/>
        </w:rPr>
        <w:t>رغم الانخفاض في معدلات الأمية لدى النساء خلال العقد الماضي، إلا أنه ما زالت هناك فجوة لصالح الرجال، حيث بلغ معدل الأمية لدى النساء 4</w:t>
      </w:r>
      <w:r w:rsidRPr="003B1AC0">
        <w:rPr>
          <w:rFonts w:ascii="Simplified Arabic" w:eastAsia="Calibri" w:hAnsi="Simplified Arabic"/>
          <w:sz w:val="26"/>
          <w:szCs w:val="26"/>
          <w:rtl/>
          <w:lang w:eastAsia="en-US"/>
        </w:rPr>
        <w:t>%</w:t>
      </w:r>
      <w:r w:rsidRPr="003B1AC0">
        <w:rPr>
          <w:rFonts w:ascii="Simplified Arabic" w:eastAsia="Calibri" w:hAnsi="Simplified Arabic" w:hint="cs"/>
          <w:sz w:val="26"/>
          <w:szCs w:val="26"/>
          <w:rtl/>
          <w:lang w:eastAsia="en-US"/>
        </w:rPr>
        <w:t xml:space="preserve"> مقابل 1</w:t>
      </w:r>
      <w:r w:rsidRPr="003B1AC0">
        <w:rPr>
          <w:rFonts w:ascii="Simplified Arabic" w:eastAsia="Calibri" w:hAnsi="Simplified Arabic"/>
          <w:sz w:val="26"/>
          <w:szCs w:val="26"/>
          <w:rtl/>
          <w:lang w:eastAsia="en-US"/>
        </w:rPr>
        <w:t xml:space="preserve">% </w:t>
      </w:r>
      <w:r w:rsidRPr="003B1AC0">
        <w:rPr>
          <w:rFonts w:ascii="Simplified Arabic" w:eastAsia="Calibri" w:hAnsi="Simplified Arabic" w:hint="cs"/>
          <w:sz w:val="26"/>
          <w:szCs w:val="26"/>
          <w:rtl/>
          <w:lang w:eastAsia="en-US"/>
        </w:rPr>
        <w:t xml:space="preserve">للرجال </w:t>
      </w:r>
      <w:r w:rsidR="00564079" w:rsidRPr="003B1AC0">
        <w:rPr>
          <w:rFonts w:ascii="Simplified Arabic" w:eastAsia="Calibri" w:hAnsi="Simplified Arabic" w:hint="cs"/>
          <w:sz w:val="26"/>
          <w:szCs w:val="26"/>
          <w:rtl/>
          <w:lang w:eastAsia="en-US"/>
        </w:rPr>
        <w:t>وذلك وفق</w:t>
      </w:r>
      <w:r w:rsidRPr="003B1AC0">
        <w:rPr>
          <w:rFonts w:ascii="Simplified Arabic" w:eastAsia="Calibri" w:hAnsi="Simplified Arabic" w:hint="cs"/>
          <w:sz w:val="26"/>
          <w:szCs w:val="26"/>
          <w:rtl/>
          <w:lang w:eastAsia="en-US"/>
        </w:rPr>
        <w:t xml:space="preserve"> بيانات مسح القوى العاملة 2019.</w:t>
      </w:r>
    </w:p>
    <w:p w:rsidR="007F4AA5" w:rsidRDefault="007F4AA5" w:rsidP="00564079">
      <w:pPr>
        <w:pStyle w:val="BodyText"/>
        <w:jc w:val="both"/>
        <w:rPr>
          <w:rFonts w:ascii="Simplified Arabic" w:eastAsia="Calibri" w:hAnsi="Simplified Arabic"/>
          <w:sz w:val="20"/>
          <w:szCs w:val="20"/>
          <w:rtl/>
          <w:lang w:eastAsia="en-US"/>
        </w:rPr>
      </w:pPr>
    </w:p>
    <w:p w:rsidR="00E179C1" w:rsidRPr="003B1AC0" w:rsidRDefault="00E179C1" w:rsidP="00E179C1">
      <w:pPr>
        <w:jc w:val="center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</w:rPr>
      </w:pP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</w:rPr>
        <w:t>معدلات الأمية بين النساء والرجال 15 سنة فأكثر، 2015-2019</w:t>
      </w:r>
    </w:p>
    <w:p w:rsidR="00E179C1" w:rsidRPr="00E179C1" w:rsidRDefault="00F0029F" w:rsidP="00E179C1">
      <w:pPr>
        <w:jc w:val="center"/>
        <w:rPr>
          <w:rFonts w:ascii="Times New Roman" w:eastAsia="Times New Roman" w:hAnsi="Times New Roman" w:cs="Simplified Arabic"/>
          <w:b/>
          <w:bCs/>
          <w:color w:val="000000"/>
          <w:sz w:val="18"/>
          <w:szCs w:val="18"/>
          <w:rtl/>
        </w:rPr>
      </w:pPr>
      <w:r>
        <w:rPr>
          <w:rFonts w:ascii="Simplified Arabic" w:hAnsi="Simplified Arabic" w:cs="Simplified Arabic"/>
          <w:b/>
          <w:bCs/>
          <w:noProof/>
          <w:color w:val="000000"/>
        </w:rPr>
        <w:drawing>
          <wp:inline distT="0" distB="0" distL="0" distR="0">
            <wp:extent cx="2914650" cy="168592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79C1" w:rsidRPr="00E179C1">
        <w:rPr>
          <w:rFonts w:ascii="Times New Roman" w:eastAsia="Times New Roman" w:hAnsi="Times New Roman" w:cs="Simplified Arabic" w:hint="cs"/>
          <w:b/>
          <w:bCs/>
          <w:color w:val="000000"/>
          <w:sz w:val="18"/>
          <w:szCs w:val="18"/>
          <w:rtl/>
        </w:rPr>
        <w:t xml:space="preserve"> </w:t>
      </w:r>
    </w:p>
    <w:p w:rsidR="00E179C1" w:rsidRPr="0050037E" w:rsidRDefault="00E179C1" w:rsidP="00F74A30">
      <w:pPr>
        <w:jc w:val="both"/>
        <w:rPr>
          <w:rFonts w:ascii="Simplified Arabic" w:hAnsi="Simplified Arabic" w:cs="Simplified Arabic"/>
          <w:b/>
          <w:bCs/>
          <w:color w:val="000000"/>
          <w:sz w:val="2"/>
          <w:szCs w:val="2"/>
          <w:rtl/>
        </w:rPr>
      </w:pPr>
    </w:p>
    <w:p w:rsidR="00B12639" w:rsidRPr="00B12639" w:rsidRDefault="00B12639" w:rsidP="00F74A30">
      <w:pPr>
        <w:jc w:val="both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</w:pPr>
    </w:p>
    <w:p w:rsidR="003B1AC0" w:rsidRDefault="003B1AC0" w:rsidP="00F74A30">
      <w:pPr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F74A30" w:rsidRPr="003B1AC0" w:rsidRDefault="00F74A30" w:rsidP="00F74A30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معدلات التحاق مرتفعة للإناث في التعليم الثانوي والتعليم العالي </w:t>
      </w:r>
    </w:p>
    <w:p w:rsidR="00F74A30" w:rsidRPr="003B1AC0" w:rsidRDefault="00F74A30" w:rsidP="0024125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sz w:val="26"/>
          <w:szCs w:val="26"/>
          <w:rtl/>
        </w:rPr>
        <w:t>بلغت معدلات الالتحاق الإجمالية للذكور في المرحلة الثانوية</w:t>
      </w:r>
      <w:r w:rsidRPr="003B1AC0">
        <w:rPr>
          <w:rFonts w:ascii="Simplified Arabic" w:hAnsi="Simplified Arabic" w:cs="Simplified Arabic"/>
          <w:sz w:val="26"/>
          <w:szCs w:val="26"/>
          <w:vertAlign w:val="superscript"/>
          <w:rtl/>
        </w:rPr>
        <w:footnoteReference w:id="1"/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 حوالي 71% مقابل 91% للإناث.  كما بلغت نسبة الطالبات الملتحقات في مؤسسات التعليم العالي الفلسطينية 60% من مجموع الطلبة الملتحقين في مؤسسات التعليم العالي، وذلك وفق بيانات</w:t>
      </w:r>
      <w:r w:rsidR="00241253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2332" w:rsidRPr="003B1AC0">
        <w:rPr>
          <w:rFonts w:ascii="Simplified Arabic" w:hAnsi="Simplified Arabic" w:cs="Simplified Arabic"/>
          <w:sz w:val="26"/>
          <w:szCs w:val="26"/>
          <w:rtl/>
        </w:rPr>
        <w:t>وزارة التربية والتعليم و</w:t>
      </w:r>
      <w:r w:rsidR="00241253" w:rsidRPr="003B1AC0">
        <w:rPr>
          <w:rFonts w:ascii="Simplified Arabic" w:hAnsi="Simplified Arabic" w:cs="Simplified Arabic"/>
          <w:sz w:val="26"/>
          <w:szCs w:val="26"/>
          <w:rtl/>
        </w:rPr>
        <w:t>وزارة</w:t>
      </w:r>
      <w:r w:rsidR="00B04E95" w:rsidRPr="003B1AC0">
        <w:rPr>
          <w:rFonts w:ascii="Simplified Arabic" w:hAnsi="Simplified Arabic" w:cs="Simplified Arabic"/>
          <w:sz w:val="26"/>
          <w:szCs w:val="26"/>
          <w:rtl/>
        </w:rPr>
        <w:t xml:space="preserve"> التعليم العالي والبحث العلمي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 للعام الدراسي 2018/2019.</w:t>
      </w:r>
    </w:p>
    <w:p w:rsidR="006034CB" w:rsidRPr="003B1AC0" w:rsidRDefault="006034CB" w:rsidP="00F74A30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B04E95" w:rsidRPr="003B1AC0" w:rsidRDefault="00223EEF" w:rsidP="00205A25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استخدام</w:t>
      </w:r>
      <w:r w:rsidR="002B5806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الاناث </w:t>
      </w:r>
      <w:r w:rsidR="00205A25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للإنترنت</w:t>
      </w:r>
      <w:r w:rsidR="002B5806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أقل</w:t>
      </w:r>
      <w:r w:rsidR="002B5806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مما هو</w:t>
      </w:r>
      <w:r w:rsidR="00205A25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عليه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لدى الذكور</w:t>
      </w:r>
    </w:p>
    <w:p w:rsidR="00B04E95" w:rsidRPr="003B1AC0" w:rsidRDefault="002B5806" w:rsidP="00A123D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أشارت بيانات المسح الأسري لتكنولوجيا المعلومات والاتصالات 2019؛ 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="00B04E95" w:rsidRPr="003B1AC0">
        <w:rPr>
          <w:rFonts w:ascii="Simplified Arabic" w:hAnsi="Simplified Arabic" w:cs="Simplified Arabic"/>
          <w:sz w:val="26"/>
          <w:szCs w:val="26"/>
          <w:rtl/>
        </w:rPr>
        <w:t xml:space="preserve">نسبة الأفراد (10 سنوات 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>فأكثر</w:t>
      </w:r>
      <w:r w:rsidR="00B04E95" w:rsidRPr="003B1AC0">
        <w:rPr>
          <w:rFonts w:ascii="Simplified Arabic" w:hAnsi="Simplified Arabic" w:cs="Simplified Arabic"/>
          <w:sz w:val="26"/>
          <w:szCs w:val="26"/>
          <w:rtl/>
        </w:rPr>
        <w:t xml:space="preserve">) الذين يستخدمون الانترنت بلغت 72% للذكور مقابل 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69</w:t>
      </w:r>
      <w:r w:rsidR="00B04E95" w:rsidRPr="003B1AC0">
        <w:rPr>
          <w:rFonts w:ascii="Simplified Arabic" w:hAnsi="Simplified Arabic" w:cs="Simplified Arabic"/>
          <w:sz w:val="26"/>
          <w:szCs w:val="26"/>
          <w:rtl/>
        </w:rPr>
        <w:t xml:space="preserve">% للإناث، والذين يستخدمون شبكات التواصل الاجتماعي أو المهني بلغت 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88% للذكور مقابل 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84</w:t>
      </w:r>
      <w:r w:rsidRPr="003B1AC0">
        <w:rPr>
          <w:rFonts w:ascii="Simplified Arabic" w:hAnsi="Simplified Arabic" w:cs="Simplified Arabic"/>
          <w:sz w:val="26"/>
          <w:szCs w:val="26"/>
          <w:rtl/>
        </w:rPr>
        <w:t>% للإناث.</w:t>
      </w:r>
    </w:p>
    <w:p w:rsidR="00EB54CE" w:rsidRPr="003B1AC0" w:rsidRDefault="00EB54CE" w:rsidP="00EB54CE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EB54CE" w:rsidRPr="003B1AC0" w:rsidRDefault="00E61364" w:rsidP="00205A2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sz w:val="26"/>
          <w:szCs w:val="26"/>
          <w:rtl/>
        </w:rPr>
        <w:t xml:space="preserve">بلغت 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نسبة الأسر التي يرأسها ذكر ويتوفر لديها هاتف خلوي نقال 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99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>% مقابل 8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8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>%</w:t>
      </w:r>
      <w:r w:rsidR="00241253" w:rsidRPr="003B1AC0">
        <w:rPr>
          <w:rFonts w:ascii="Simplified Arabic" w:hAnsi="Simplified Arabic" w:cs="Simplified Arabic"/>
          <w:sz w:val="26"/>
          <w:szCs w:val="26"/>
          <w:rtl/>
        </w:rPr>
        <w:t xml:space="preserve"> للأسر</w:t>
      </w:r>
      <w:r w:rsidR="00EA3953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1253" w:rsidRPr="003B1AC0">
        <w:rPr>
          <w:rFonts w:ascii="Simplified Arabic" w:hAnsi="Simplified Arabic" w:cs="Simplified Arabic"/>
          <w:sz w:val="26"/>
          <w:szCs w:val="26"/>
          <w:rtl/>
        </w:rPr>
        <w:t>التي ترأسها أنثى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>و</w:t>
      </w:r>
      <w:r w:rsidR="00EA3953" w:rsidRPr="003B1AC0">
        <w:rPr>
          <w:rFonts w:ascii="Simplified Arabic" w:hAnsi="Simplified Arabic" w:cs="Simplified Arabic"/>
          <w:sz w:val="26"/>
          <w:szCs w:val="26"/>
          <w:rtl/>
        </w:rPr>
        <w:t xml:space="preserve">بلغت 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 xml:space="preserve">نسبة </w:t>
      </w:r>
      <w:r w:rsidR="009E3F43" w:rsidRPr="003B1AC0">
        <w:rPr>
          <w:rFonts w:ascii="Simplified Arabic" w:hAnsi="Simplified Arabic" w:cs="Simplified Arabic"/>
          <w:sz w:val="26"/>
          <w:szCs w:val="26"/>
          <w:rtl/>
        </w:rPr>
        <w:t>الأسر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 xml:space="preserve"> التي يرأسها ذكر</w:t>
      </w:r>
      <w:r w:rsidR="002B5806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>و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يتوفر لدى أحد أفرادها هاتف ذكي </w:t>
      </w:r>
      <w:r w:rsidR="009E3F43" w:rsidRPr="003B1AC0">
        <w:rPr>
          <w:rFonts w:ascii="Simplified Arabic" w:hAnsi="Simplified Arabic" w:cs="Simplified Arabic"/>
          <w:sz w:val="26"/>
          <w:szCs w:val="26"/>
          <w:rtl/>
        </w:rPr>
        <w:t xml:space="preserve">89% </w:t>
      </w:r>
      <w:r w:rsidR="00205A25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E3F43" w:rsidRPr="003B1AC0">
        <w:rPr>
          <w:rFonts w:ascii="Simplified Arabic" w:hAnsi="Simplified Arabic" w:cs="Simplified Arabic"/>
          <w:sz w:val="26"/>
          <w:szCs w:val="26"/>
          <w:rtl/>
        </w:rPr>
        <w:t>مقابل 6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2</w:t>
      </w:r>
      <w:r w:rsidR="009E3F43" w:rsidRPr="003B1AC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>للأسر</w:t>
      </w:r>
      <w:r w:rsidR="001A67BA" w:rsidRPr="003B1AC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3D9" w:rsidRPr="003B1AC0">
        <w:rPr>
          <w:rFonts w:ascii="Simplified Arabic" w:hAnsi="Simplified Arabic" w:cs="Simplified Arabic"/>
          <w:sz w:val="26"/>
          <w:szCs w:val="26"/>
          <w:rtl/>
        </w:rPr>
        <w:t>التي ترأسها أنثى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EA3953" w:rsidRPr="003B1AC0">
        <w:rPr>
          <w:rFonts w:ascii="Simplified Arabic" w:hAnsi="Simplified Arabic" w:cs="Simplified Arabic"/>
          <w:sz w:val="26"/>
          <w:szCs w:val="26"/>
          <w:rtl/>
        </w:rPr>
        <w:t xml:space="preserve">كما بلغت 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نسبة الأسر التي </w:t>
      </w:r>
      <w:r w:rsidR="00205A25" w:rsidRPr="003B1AC0">
        <w:rPr>
          <w:rFonts w:ascii="Simplified Arabic" w:hAnsi="Simplified Arabic" w:cs="Simplified Arabic"/>
          <w:sz w:val="26"/>
          <w:szCs w:val="26"/>
          <w:rtl/>
        </w:rPr>
        <w:t>يرأسها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 ذكر ويتوفر لديها جهاز حاسوب (مكتبي أو محمول أو لوحي) </w:t>
      </w:r>
      <w:r w:rsidR="004A0D52" w:rsidRPr="003B1AC0">
        <w:rPr>
          <w:rFonts w:ascii="Simplified Arabic" w:hAnsi="Simplified Arabic" w:cs="Simplified Arabic"/>
          <w:sz w:val="26"/>
          <w:szCs w:val="26"/>
          <w:rtl/>
        </w:rPr>
        <w:t>35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 xml:space="preserve">% مقابل 19% </w:t>
      </w:r>
      <w:r w:rsidR="00EA3953" w:rsidRPr="003B1AC0">
        <w:rPr>
          <w:rFonts w:ascii="Simplified Arabic" w:hAnsi="Simplified Arabic" w:cs="Simplified Arabic"/>
          <w:sz w:val="26"/>
          <w:szCs w:val="26"/>
          <w:rtl/>
        </w:rPr>
        <w:t>للأسر التي ترأسها أنثى</w:t>
      </w:r>
      <w:r w:rsidR="00EB54CE" w:rsidRPr="003B1AC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EB2FE0" w:rsidRPr="003B1AC0" w:rsidRDefault="00EB2FE0" w:rsidP="00205A2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B278D" w:rsidRPr="003B1AC0" w:rsidRDefault="005B278D" w:rsidP="00252939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فجوة </w:t>
      </w:r>
      <w:r w:rsidR="00C77E4F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واضحة 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في نسبة المشاركة في </w:t>
      </w:r>
      <w:r w:rsidR="00252939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القوى العاملة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والأجر اليومي بين النساء والرجال </w:t>
      </w:r>
    </w:p>
    <w:p w:rsidR="005B278D" w:rsidRPr="003B1AC0" w:rsidRDefault="00706A5B" w:rsidP="00EB2FE0">
      <w:pPr>
        <w:pStyle w:val="BodyText"/>
        <w:jc w:val="both"/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</w:pP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حافظت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مشاركة في القوى العاملة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على نفس المعدل مع وجود فجوة واضحة في نسبة المشاركة بين  النساء والرجال في سوق العمل</w:t>
      </w:r>
      <w:r w:rsidR="002C1A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في العامين 2015 و2019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،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فقد 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بلغت نسبة مشاركة النساء في القوى العاملة </w:t>
      </w:r>
      <w:r w:rsidR="006E4E9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18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% من مجمل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النساء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في 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lastRenderedPageBreak/>
        <w:t xml:space="preserve">سن العمل في العام </w:t>
      </w:r>
      <w:r w:rsidR="006E4E97" w:rsidRPr="003B1AC0">
        <w:rPr>
          <w:rFonts w:ascii="Simplified Arabic" w:eastAsia="Calibri" w:hAnsi="Simplified Arabic"/>
          <w:color w:val="000000"/>
          <w:sz w:val="26"/>
          <w:szCs w:val="26"/>
          <w:lang w:eastAsia="en-US"/>
        </w:rPr>
        <w:t>2019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="00DC032C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وهي نفس النسبة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="009B3BDB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ل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لعام </w:t>
      </w:r>
      <w:r w:rsidR="00DC032C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2015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، </w:t>
      </w:r>
      <w:r w:rsidR="009B3BDB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مع العلم أن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نسبة مشاركة </w:t>
      </w:r>
      <w:r w:rsidR="00E1513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الرجال</w:t>
      </w:r>
      <w:r w:rsidR="009B3BDB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في القوى العاملة بلغت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70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% للعام </w:t>
      </w:r>
      <w:r w:rsidR="006E4E9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2019</w:t>
      </w:r>
      <w:r w:rsidR="00DC032C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وهي نفس النسبة للعام 2015.  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مع وجود فجوة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واضحة 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في </w:t>
      </w:r>
      <w:r w:rsidR="00EB2FE0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مع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دل الأجر اليومي بين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النساء والرجال</w:t>
      </w:r>
      <w:r w:rsidR="00A37D98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،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إذ بلغ معدل الأجر اليومي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للنساء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  <w:r w:rsidR="001B6C2A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98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شيقل مقابل </w:t>
      </w:r>
      <w:r w:rsidR="001B6C2A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102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شيقل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للرجال</w:t>
      </w:r>
      <w:r w:rsidR="005B278D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.</w:t>
      </w:r>
    </w:p>
    <w:p w:rsidR="003B1AC0" w:rsidRPr="003B1AC0" w:rsidRDefault="003B1AC0" w:rsidP="00EB2FE0">
      <w:pPr>
        <w:pStyle w:val="BodyText"/>
        <w:jc w:val="both"/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</w:pPr>
    </w:p>
    <w:p w:rsidR="00A51113" w:rsidRPr="003B1AC0" w:rsidRDefault="00252939" w:rsidP="003B1AC0">
      <w:pPr>
        <w:pStyle w:val="Heading3"/>
        <w:jc w:val="center"/>
        <w:rPr>
          <w:color w:val="000000"/>
          <w:rtl/>
        </w:rPr>
      </w:pPr>
      <w:r w:rsidRPr="003B1AC0">
        <w:rPr>
          <w:rFonts w:hint="cs"/>
          <w:color w:val="000000"/>
          <w:rtl/>
        </w:rPr>
        <w:t xml:space="preserve">نسبة </w:t>
      </w:r>
      <w:r w:rsidR="00E703BF" w:rsidRPr="003B1AC0">
        <w:rPr>
          <w:rFonts w:hint="cs"/>
          <w:color w:val="000000"/>
          <w:rtl/>
        </w:rPr>
        <w:t>ال</w:t>
      </w:r>
      <w:r w:rsidR="00A51113" w:rsidRPr="003B1AC0">
        <w:rPr>
          <w:rFonts w:hint="cs"/>
          <w:color w:val="000000"/>
          <w:rtl/>
        </w:rPr>
        <w:t>مشاركة</w:t>
      </w:r>
      <w:r w:rsidR="00E703BF" w:rsidRPr="003B1AC0">
        <w:rPr>
          <w:rFonts w:hint="cs"/>
          <w:color w:val="000000"/>
          <w:rtl/>
        </w:rPr>
        <w:t xml:space="preserve"> في القوى العاملة</w:t>
      </w:r>
      <w:r w:rsidR="00A51113" w:rsidRPr="003B1AC0">
        <w:rPr>
          <w:rFonts w:hint="cs"/>
          <w:color w:val="000000"/>
          <w:rtl/>
        </w:rPr>
        <w:t xml:space="preserve"> </w:t>
      </w:r>
      <w:r w:rsidR="00E703BF" w:rsidRPr="003B1AC0">
        <w:rPr>
          <w:rFonts w:hint="cs"/>
          <w:color w:val="000000"/>
          <w:rtl/>
        </w:rPr>
        <w:t>ل</w:t>
      </w:r>
      <w:r w:rsidRPr="003B1AC0">
        <w:rPr>
          <w:rFonts w:hint="cs"/>
          <w:color w:val="000000"/>
          <w:rtl/>
        </w:rPr>
        <w:t>لنساء والرجال</w:t>
      </w:r>
      <w:r w:rsidR="00E703BF" w:rsidRPr="003B1AC0">
        <w:rPr>
          <w:rFonts w:hint="cs"/>
          <w:color w:val="000000"/>
          <w:rtl/>
        </w:rPr>
        <w:t xml:space="preserve"> (</w:t>
      </w:r>
      <w:r w:rsidR="00A51113" w:rsidRPr="003B1AC0">
        <w:rPr>
          <w:rFonts w:hint="cs"/>
          <w:color w:val="000000"/>
          <w:rtl/>
        </w:rPr>
        <w:t>15 سنة</w:t>
      </w:r>
      <w:r w:rsidR="005E1DE3" w:rsidRPr="003B1AC0">
        <w:rPr>
          <w:rFonts w:hint="cs"/>
          <w:color w:val="000000"/>
          <w:rtl/>
        </w:rPr>
        <w:t xml:space="preserve"> </w:t>
      </w:r>
      <w:r w:rsidR="00A51113" w:rsidRPr="003B1AC0">
        <w:rPr>
          <w:rFonts w:hint="cs"/>
          <w:color w:val="000000"/>
          <w:rtl/>
        </w:rPr>
        <w:t>فأكثر</w:t>
      </w:r>
      <w:r w:rsidR="00E703BF" w:rsidRPr="003B1AC0">
        <w:rPr>
          <w:rFonts w:hint="cs"/>
          <w:color w:val="000000"/>
          <w:rtl/>
        </w:rPr>
        <w:t>)</w:t>
      </w:r>
      <w:r w:rsidR="00242C11" w:rsidRPr="003B1AC0">
        <w:rPr>
          <w:rFonts w:hint="cs"/>
          <w:color w:val="000000"/>
          <w:rtl/>
        </w:rPr>
        <w:t xml:space="preserve">  </w:t>
      </w:r>
      <w:r w:rsidR="00E703BF" w:rsidRPr="003B1AC0">
        <w:rPr>
          <w:rFonts w:hint="cs"/>
          <w:color w:val="000000"/>
          <w:rtl/>
        </w:rPr>
        <w:t xml:space="preserve"> في فلسطين</w:t>
      </w:r>
      <w:r w:rsidR="00A51113" w:rsidRPr="003B1AC0">
        <w:rPr>
          <w:rFonts w:hint="cs"/>
          <w:color w:val="000000"/>
          <w:rtl/>
        </w:rPr>
        <w:t xml:space="preserve">، </w:t>
      </w:r>
      <w:r w:rsidR="009024BE" w:rsidRPr="003B1AC0">
        <w:rPr>
          <w:rFonts w:hint="cs"/>
          <w:color w:val="000000"/>
          <w:rtl/>
        </w:rPr>
        <w:t>2015</w:t>
      </w:r>
      <w:r w:rsidR="00A51113" w:rsidRPr="003B1AC0">
        <w:rPr>
          <w:rFonts w:hint="cs"/>
          <w:color w:val="000000"/>
          <w:rtl/>
        </w:rPr>
        <w:t>-</w:t>
      </w:r>
      <w:r w:rsidR="00A51113" w:rsidRPr="003B1AC0">
        <w:rPr>
          <w:color w:val="000000"/>
        </w:rPr>
        <w:t xml:space="preserve"> </w:t>
      </w:r>
      <w:r w:rsidR="00E2749A" w:rsidRPr="003B1AC0">
        <w:rPr>
          <w:rFonts w:hint="cs"/>
          <w:color w:val="000000"/>
          <w:rtl/>
        </w:rPr>
        <w:t>2019</w:t>
      </w:r>
    </w:p>
    <w:p w:rsidR="00C9379A" w:rsidRPr="00C9379A" w:rsidRDefault="00F0029F" w:rsidP="003B1AC0">
      <w:pPr>
        <w:jc w:val="center"/>
        <w:rPr>
          <w:rtl/>
          <w:lang w:eastAsia="ar-SA"/>
        </w:rPr>
      </w:pPr>
      <w:r>
        <w:rPr>
          <w:noProof/>
        </w:rPr>
        <w:drawing>
          <wp:inline distT="0" distB="0" distL="0" distR="0">
            <wp:extent cx="2971800" cy="1952625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53C" w:rsidRPr="002807BB" w:rsidRDefault="003B253C" w:rsidP="003B253C">
      <w:pPr>
        <w:rPr>
          <w:sz w:val="18"/>
          <w:szCs w:val="18"/>
          <w:rtl/>
          <w:lang w:eastAsia="ar-SA"/>
        </w:rPr>
      </w:pPr>
    </w:p>
    <w:p w:rsidR="003B1AC0" w:rsidRDefault="003B1AC0" w:rsidP="00943B92">
      <w:pPr>
        <w:tabs>
          <w:tab w:val="left" w:pos="9071"/>
        </w:tabs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</w:p>
    <w:p w:rsidR="005B278D" w:rsidRPr="003B1AC0" w:rsidRDefault="003B253C" w:rsidP="00943B92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تتسع</w:t>
      </w:r>
      <w:r w:rsidR="00252939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فجوة المشاركة في القوى العاملة</w:t>
      </w:r>
      <w:r w:rsidR="000172EC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0172EC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بين</w:t>
      </w:r>
      <w:r w:rsidR="00252939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0172EC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</w:t>
      </w:r>
      <w:r w:rsidR="00E703BF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لنساء والرجال</w:t>
      </w:r>
      <w:r w:rsidR="00F74C1A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(15 سنة فأكثر)</w:t>
      </w:r>
      <w:r w:rsidR="005B278D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252939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من </w:t>
      </w:r>
      <w:r w:rsidR="005B278D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ذوي ال</w:t>
      </w:r>
      <w:r w:rsidR="003F1C19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إ</w:t>
      </w:r>
      <w:r w:rsidR="005B278D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عاقة</w:t>
      </w:r>
    </w:p>
    <w:p w:rsidR="00E34901" w:rsidRPr="003B1AC0" w:rsidRDefault="005B278D" w:rsidP="00E34901">
      <w:pPr>
        <w:pStyle w:val="BodyText"/>
        <w:jc w:val="both"/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</w:pP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أشارت بيانات مسح القوى العاملة </w:t>
      </w:r>
      <w:r w:rsidR="002D3B1E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2019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، أن نسبة مشاركة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النساء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ذوات ال</w:t>
      </w:r>
      <w:r w:rsidR="00E1513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إ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عاقة في القوى العاملة في فلسطين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بلغت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4%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فقط 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من </w:t>
      </w:r>
      <w:r w:rsidR="00E1513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إ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جمالي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النساء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ذوات الإعاقة</w:t>
      </w:r>
      <w:r w:rsidR="00E703BF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،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مقابل </w:t>
      </w:r>
      <w:r w:rsidR="002D3B1E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24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%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للرجال 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من </w:t>
      </w:r>
      <w:r w:rsidR="00E1513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إ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جمالي 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الرجال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ذوي ال</w:t>
      </w:r>
      <w:r w:rsidR="00E15137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إ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عاقة</w:t>
      </w:r>
      <w:r w:rsidR="00252939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.</w:t>
      </w:r>
      <w:r w:rsidR="00E34901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906B0F" w:rsidRPr="003B1AC0" w:rsidRDefault="00906B0F" w:rsidP="002B5806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eastAsia="ar-SA"/>
        </w:rPr>
      </w:pPr>
    </w:p>
    <w:p w:rsidR="005B278D" w:rsidRDefault="005B278D" w:rsidP="002B5806">
      <w:pPr>
        <w:jc w:val="center"/>
        <w:rPr>
          <w:rFonts w:cs="Simplified Arabic"/>
          <w:b/>
          <w:bCs/>
          <w:color w:val="000000"/>
          <w:rtl/>
        </w:rPr>
      </w:pP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نسبة المشاركة في القوى العاملة </w:t>
      </w:r>
      <w:r w:rsidR="00252939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للنساء والرجال</w:t>
      </w: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2B5806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(15 سنة فأكثر) من </w:t>
      </w:r>
      <w:r w:rsidRPr="003B1AC0"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  <w:lang w:eastAsia="ar-SA"/>
        </w:rPr>
        <w:t xml:space="preserve">ذوي </w:t>
      </w: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الاعاقة </w:t>
      </w:r>
      <w:r w:rsidR="00E703BF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حسب المنطقة</w:t>
      </w: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، </w:t>
      </w:r>
      <w:r w:rsidR="00D8799F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2019</w:t>
      </w:r>
    </w:p>
    <w:tbl>
      <w:tblPr>
        <w:bidiVisual/>
        <w:tblW w:w="0" w:type="auto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6"/>
      </w:tblGrid>
      <w:tr w:rsidR="005F6DEB" w:rsidTr="003B1AC0">
        <w:trPr>
          <w:jc w:val="center"/>
        </w:trPr>
        <w:tc>
          <w:tcPr>
            <w:tcW w:w="6856" w:type="dxa"/>
          </w:tcPr>
          <w:p w:rsidR="005F6DEB" w:rsidRPr="00531991" w:rsidRDefault="00F0029F" w:rsidP="00531991">
            <w:pPr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  <w:r>
              <w:rPr>
                <w:rFonts w:cs="Simplified Arabic"/>
                <w:b/>
                <w:bCs/>
                <w:noProof/>
                <w:color w:val="000000"/>
              </w:rPr>
              <w:drawing>
                <wp:inline distT="0" distB="0" distL="0" distR="0">
                  <wp:extent cx="2895600" cy="2466975"/>
                  <wp:effectExtent l="0" t="0" r="0" b="0"/>
                  <wp:docPr id="3" name="Ch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F74C1A" w:rsidRPr="00F74C1A" w:rsidRDefault="00F74C1A" w:rsidP="002B5806">
      <w:pPr>
        <w:jc w:val="center"/>
        <w:rPr>
          <w:rFonts w:cs="Simplified Arabic"/>
          <w:b/>
          <w:bCs/>
          <w:color w:val="000000"/>
          <w:sz w:val="2"/>
          <w:szCs w:val="2"/>
          <w:rtl/>
        </w:rPr>
      </w:pPr>
    </w:p>
    <w:p w:rsidR="0050037E" w:rsidRPr="0050037E" w:rsidRDefault="0050037E" w:rsidP="00BD135F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</w:rPr>
      </w:pPr>
    </w:p>
    <w:p w:rsidR="000C6B4E" w:rsidRDefault="000C6B4E" w:rsidP="00BD135F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DC032C" w:rsidRPr="003B1AC0" w:rsidRDefault="00DC032C" w:rsidP="00BD135F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فئة الشباب </w:t>
      </w:r>
      <w:r w:rsidR="00F74C1A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(19-29 سنة</w:t>
      </w:r>
      <w:r w:rsidR="00BD135F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)</w:t>
      </w:r>
      <w:r w:rsidR="00F74C1A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الذين يحملون مؤهل علمي دبلوم متوسط فاعلى الأكثر معاناة من البطالة</w:t>
      </w:r>
    </w:p>
    <w:p w:rsidR="00E0385B" w:rsidRPr="003B1AC0" w:rsidRDefault="00DC032C" w:rsidP="00BD135F">
      <w:pPr>
        <w:pStyle w:val="BodyText"/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</w:pP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52% معدل البطالة بين الشباب الخريجين من حملة شهادة الدبلوم المتوسط فأعلى، بواقع 68% للإناث مقابل 35% </w:t>
      </w:r>
      <w:r w:rsidR="00CD07D0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للذكور</w:t>
      </w:r>
      <w:r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>.</w:t>
      </w:r>
      <w:r w:rsidR="00BD135F" w:rsidRPr="003B1AC0"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  <w:t xml:space="preserve">  كما بلغ معدل البطالة بين النساء المشاركات في القوى العاملة 41%  مقابل 21% بين الرجال للعام 2019.</w:t>
      </w:r>
    </w:p>
    <w:p w:rsidR="00BD135F" w:rsidRPr="003B1AC0" w:rsidRDefault="00BD135F" w:rsidP="00BD135F">
      <w:pPr>
        <w:pStyle w:val="BodyText"/>
        <w:rPr>
          <w:rFonts w:ascii="Simplified Arabic" w:eastAsia="Calibri" w:hAnsi="Simplified Arabic"/>
          <w:color w:val="000000"/>
          <w:sz w:val="26"/>
          <w:szCs w:val="26"/>
          <w:rtl/>
          <w:lang w:eastAsia="en-US"/>
        </w:rPr>
      </w:pPr>
    </w:p>
    <w:p w:rsidR="0050037E" w:rsidRPr="003B1AC0" w:rsidRDefault="0050037E" w:rsidP="008923E3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5D2E73" w:rsidRPr="003B1AC0" w:rsidRDefault="006A7E8C" w:rsidP="008923E3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حوالي ثلث</w:t>
      </w:r>
      <w:r w:rsidR="005D2E73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المستخدمين بأجر في القطاع الخاص يتقاضون أجراً شهرياً أقل من الحد الأدنى للأجر (1,450 شيقلاً) في فلسطين </w:t>
      </w:r>
    </w:p>
    <w:p w:rsidR="006A7E8C" w:rsidRPr="003B1AC0" w:rsidRDefault="006A7E8C" w:rsidP="00850C09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أشارت بيانات مسح القوى العاملة 2019 أن حوالي 29% من العاملين المستخدمين بأجر في القطاع الخاص يتقاضون أجراً شهرياً أقل من الحد الأدنى للأجر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والبالغ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(1,450 شيقلاً) مقابل حوالي 35% من الع</w:t>
      </w:r>
      <w:r w:rsidR="00976B99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ا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ملات.</w:t>
      </w:r>
    </w:p>
    <w:p w:rsidR="00ED1362" w:rsidRPr="003B1AC0" w:rsidRDefault="00ED1362" w:rsidP="00850C09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7F4AA5" w:rsidRPr="003B1AC0" w:rsidRDefault="007F4AA5" w:rsidP="00CD07D0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2807BB" w:rsidRPr="003B1AC0" w:rsidRDefault="002807BB" w:rsidP="00CD07D0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ربع المستخدمات بأجر في القطاع الخاص يعمل</w:t>
      </w:r>
      <w:r w:rsidR="00CD07D0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ن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دون عقد عمل</w:t>
      </w:r>
    </w:p>
    <w:p w:rsidR="002807BB" w:rsidRPr="003B1AC0" w:rsidRDefault="002807BB" w:rsidP="00CD07D0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25% من المستخدمات بأجر في القطاع الخاص يعم</w:t>
      </w:r>
      <w:r w:rsidR="00CD07D0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لن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دون عقد عمل، و49% يحصل</w:t>
      </w:r>
      <w:r w:rsidR="00CD07D0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ن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على مساهمة في تمويل التقاعد/ مكافأة نهاية الخدمة، بالمقابل أقل من نصف المستخدمات بأجر في القطاع الخاص (48%) يحصلن على إجازة أمومة مدفوعة الأجر</w:t>
      </w:r>
      <w:r w:rsidR="00223E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وذلك للعام 2019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DC032C" w:rsidRPr="003B1AC0" w:rsidRDefault="00DC032C" w:rsidP="00E90411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8109B" w:rsidRPr="003B1AC0" w:rsidRDefault="00D8799F" w:rsidP="00205A25">
      <w:pPr>
        <w:tabs>
          <w:tab w:val="left" w:pos="9071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محافظ</w:t>
      </w:r>
      <w:r w:rsidR="008476D5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ة</w:t>
      </w: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غزة</w:t>
      </w:r>
      <w:r w:rsidR="000D7AB2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205A25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هي</w:t>
      </w:r>
      <w:r w:rsidR="00F22110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18109B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أكثر</w:t>
      </w:r>
      <w:r w:rsidR="00F22110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18109B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المحافظات</w:t>
      </w:r>
      <w:r w:rsidR="000D7AB2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انتشاراً للعنف </w:t>
      </w:r>
      <w:r w:rsidR="00E90411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ضد</w:t>
      </w:r>
      <w:r w:rsidR="00BD42C1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النساء المتزوجات حالياً أو اللواتي سبق لهن الزواج</w:t>
      </w:r>
      <w:r w:rsidR="002B5806"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DB162F" w:rsidRPr="003B1AC0" w:rsidRDefault="00C92F62" w:rsidP="00943B92">
      <w:pPr>
        <w:tabs>
          <w:tab w:val="num" w:pos="720"/>
        </w:tabs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أشارت بيانات مسح العنف 2019، أن </w:t>
      </w:r>
      <w:r w:rsidR="00F22110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محافظة الخليل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</w:t>
      </w:r>
      <w:r w:rsidR="00F22110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أعلى محافظات الضفة الغربية 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انتشاراً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للعنف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 قبل الازواج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9041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ضد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النساء المتزوجات حالياً أو اللواتي سبق لهن الزواج</w:t>
      </w:r>
      <w:r w:rsidR="002B58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العمر (18-64) سنة</w:t>
      </w:r>
      <w:r w:rsidR="00E9041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فبلغت هذه النسبة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37% تليها محافظة جنين بنسبة </w:t>
      </w:r>
      <w:r w:rsidR="00A8408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27%، وأقلها محافظة القدس 11%.  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أما على مس</w:t>
      </w:r>
      <w:r w:rsidR="00B07E6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ت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وى</w:t>
      </w:r>
      <w:r w:rsidR="005A2632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محافظات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قطاع غزة فقد شكلت محافظتي </w:t>
      </w:r>
      <w:r w:rsidR="00BD135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خانيونس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وغزة أعلى</w:t>
      </w:r>
      <w:r w:rsidR="002019E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نسب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انتشاراً 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لعنف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الأزواج </w:t>
      </w:r>
      <w:r w:rsidR="00E9041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ضد</w:t>
      </w:r>
      <w:r w:rsidR="00B07E6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النساء المتزوجات حالياً أو اللواتي سبق لهن الزواج 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فبلغت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41%، </w:t>
      </w:r>
      <w:r w:rsidR="003B253C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40% على التوالي</w:t>
      </w:r>
      <w:r w:rsidR="00B07E6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 و</w:t>
      </w:r>
      <w:r w:rsidR="00A37D9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كانت </w:t>
      </w:r>
      <w:r w:rsidR="00B07E6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أقلها محافظة دير البلح بنسبة 30%.  </w:t>
      </w:r>
    </w:p>
    <w:p w:rsidR="000C6B4E" w:rsidRPr="003B1AC0" w:rsidRDefault="000C6B4E" w:rsidP="00943B92">
      <w:pPr>
        <w:tabs>
          <w:tab w:val="num" w:pos="720"/>
        </w:tabs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906B0F" w:rsidRPr="0050037E" w:rsidRDefault="00906B0F" w:rsidP="00E90411">
      <w:pPr>
        <w:tabs>
          <w:tab w:val="num" w:pos="720"/>
        </w:tabs>
        <w:jc w:val="center"/>
        <w:rPr>
          <w:rFonts w:ascii="Times New Roman" w:eastAsia="Times New Roman" w:hAnsi="Times New Roman" w:cs="Simplified Arabic"/>
          <w:b/>
          <w:bCs/>
          <w:color w:val="000000"/>
          <w:sz w:val="8"/>
          <w:szCs w:val="8"/>
          <w:rtl/>
          <w:lang w:eastAsia="ar-SA"/>
        </w:rPr>
      </w:pPr>
    </w:p>
    <w:p w:rsidR="0018109B" w:rsidRPr="003B1AC0" w:rsidRDefault="00A37D98" w:rsidP="00E90411">
      <w:pPr>
        <w:tabs>
          <w:tab w:val="num" w:pos="720"/>
        </w:tabs>
        <w:jc w:val="center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  <w:lang w:eastAsia="ar-SA"/>
        </w:rPr>
      </w:pP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نسبة انتشار </w:t>
      </w:r>
      <w:r w:rsidR="00C92F62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العنف</w:t>
      </w:r>
      <w:r w:rsidR="00B07E61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من قبل</w:t>
      </w:r>
      <w:r w:rsidR="00E90411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 الأزواج</w:t>
      </w:r>
      <w:r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 </w:t>
      </w:r>
      <w:r w:rsidR="00E90411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ضد النساء</w:t>
      </w:r>
      <w:r w:rsidR="00B07E61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 المتزوجات حالياً أو اللواتي سبق لهن الزواج </w:t>
      </w:r>
      <w:r w:rsidR="00F74C1A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 xml:space="preserve">(18-64) سنة </w:t>
      </w:r>
      <w:r w:rsidR="00B07E61" w:rsidRPr="003B1AC0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eastAsia="ar-SA"/>
        </w:rPr>
        <w:t>حسب المحافظة، 2019</w:t>
      </w:r>
    </w:p>
    <w:tbl>
      <w:tblPr>
        <w:bidiVisual/>
        <w:tblW w:w="0" w:type="auto"/>
        <w:jc w:val="center"/>
        <w:tblInd w:w="-2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4"/>
      </w:tblGrid>
      <w:tr w:rsidR="005F6DEB" w:rsidTr="003B1AC0">
        <w:trPr>
          <w:trHeight w:val="3089"/>
          <w:jc w:val="center"/>
        </w:trPr>
        <w:tc>
          <w:tcPr>
            <w:tcW w:w="7414" w:type="dxa"/>
          </w:tcPr>
          <w:p w:rsidR="005F6DEB" w:rsidRPr="00531991" w:rsidRDefault="00F0029F" w:rsidP="00531991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Simplified Arabic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38475" cy="3228975"/>
                  <wp:effectExtent l="0" t="0" r="0" b="0"/>
                  <wp:docPr id="4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014395" w:rsidRDefault="00014395" w:rsidP="002B5806">
      <w:pPr>
        <w:ind w:left="70" w:right="142"/>
        <w:jc w:val="both"/>
        <w:rPr>
          <w:rFonts w:cs="Simplified Arabic"/>
          <w:b/>
          <w:bCs/>
          <w:color w:val="000000"/>
          <w:rtl/>
        </w:rPr>
      </w:pPr>
    </w:p>
    <w:p w:rsidR="003519FD" w:rsidRPr="003B1AC0" w:rsidRDefault="003519FD" w:rsidP="002B5806">
      <w:pPr>
        <w:ind w:left="70" w:right="142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مشاركة متواضعة للنساء في مواقع صنع القرار </w:t>
      </w:r>
    </w:p>
    <w:p w:rsidR="00D8799F" w:rsidRPr="003B1AC0" w:rsidRDefault="00F74C1A" w:rsidP="002B5806">
      <w:pPr>
        <w:ind w:left="70" w:right="142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وفقاً لبيانات العام 2019؛ ف</w:t>
      </w:r>
      <w:r w:rsidR="000B167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لا تزال مشاركة النساء في </w:t>
      </w:r>
      <w:r w:rsidR="00EE59DE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مواقع صنع القرار</w:t>
      </w:r>
      <w:r w:rsidR="000B167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محدودة مقارنة مع الرجال، حيث</w:t>
      </w:r>
      <w:r w:rsidR="00B14C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أظهرت البيانات</w:t>
      </w:r>
      <w:r w:rsidR="000B167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أن</w:t>
      </w:r>
      <w:r w:rsidR="007F60AB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14C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5</w:t>
      </w:r>
      <w:r w:rsidR="0039160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من </w:t>
      </w:r>
      <w:r w:rsidR="0031696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أعضاء المجلس المركزي</w:t>
      </w:r>
      <w:r w:rsidR="0039160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="0031696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="00B14C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11</w:t>
      </w:r>
      <w:r w:rsidR="0039160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من </w:t>
      </w:r>
      <w:r w:rsidR="008923E3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أعضاء المجلس الوطني</w:t>
      </w:r>
      <w:r w:rsidR="000B167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39160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1696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و14% من أعضاء مجلس الوزراء</w:t>
      </w:r>
      <w:r w:rsidR="002F5C8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هن نساء</w:t>
      </w:r>
      <w:r w:rsidR="0031696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 و11% نسبة السفيرات الفاعلات في السلك الدبلوماسي</w:t>
      </w:r>
      <w:r w:rsidR="002F5C8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31696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كما أن </w:t>
      </w:r>
      <w:r w:rsidR="00B14C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هناك إمراة</w:t>
      </w:r>
      <w:r w:rsidR="00D8799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واحدة </w:t>
      </w:r>
      <w:r w:rsidR="00B14C06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تشغل منصب محافظ محافظة رام الله والبيرة من أصل 16 محافظ</w:t>
      </w:r>
      <w:r w:rsidR="008573A7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. </w:t>
      </w:r>
      <w:r w:rsidR="005628B9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923E3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</w:p>
    <w:p w:rsidR="00316967" w:rsidRPr="003B1AC0" w:rsidRDefault="00316967" w:rsidP="00316967">
      <w:pPr>
        <w:ind w:left="70" w:right="142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F819C1" w:rsidRPr="003B1AC0" w:rsidRDefault="006066FE" w:rsidP="00943B92">
      <w:pPr>
        <w:ind w:left="70" w:right="142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وحسب بيانات ديوان الموظفين العام حتى شهر شباط 2020 فقد بلغت نسبة مشاركة النساء في القطاع المدني 44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</w:t>
      </w:r>
      <w:r w:rsidR="00F122D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</w:t>
      </w:r>
      <w:r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مجموع 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موظفي </w:t>
      </w:r>
      <w:r w:rsidR="00F122DF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القطاع العام</w:t>
      </w:r>
      <w:r w:rsidR="0083610A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FB005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وتتجسد الفجوة عند الحديث عن</w:t>
      </w:r>
      <w:r w:rsidR="00F819C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057D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الحاصلين على</w:t>
      </w:r>
      <w:r w:rsidR="00545784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درجة مدير عام</w:t>
      </w:r>
      <w:r w:rsidR="00F819C1" w:rsidRPr="003B1AC0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FA320C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فأعلى</w:t>
      </w:r>
      <w:r w:rsidR="002F5C8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حيث 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بلغت </w:t>
      </w:r>
      <w:r w:rsidR="008B6EA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13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% للنساء</w:t>
      </w:r>
      <w:r w:rsidR="00FA320C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819C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مقابل </w:t>
      </w:r>
      <w:r w:rsidR="008B6EA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87</w:t>
      </w:r>
      <w:r w:rsidR="00F819C1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</w:t>
      </w:r>
      <w:r w:rsidR="00F26065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0B1678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لرجال</w:t>
      </w:r>
      <w:r w:rsidR="00545784" w:rsidRPr="003B1AC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197BA4" w:rsidRPr="000934D5" w:rsidRDefault="00197BA4" w:rsidP="00197BA4">
      <w:pPr>
        <w:ind w:left="360"/>
        <w:rPr>
          <w:rFonts w:ascii="Simplified Arabic" w:hAnsi="Simplified Arabic" w:cs="Simplified Arabic"/>
          <w:b/>
          <w:bCs/>
          <w:color w:val="000000"/>
          <w:sz w:val="12"/>
          <w:szCs w:val="12"/>
        </w:rPr>
      </w:pPr>
    </w:p>
    <w:p w:rsidR="00870C7B" w:rsidRPr="00D0167B" w:rsidRDefault="00F819C1" w:rsidP="00FA320C">
      <w:pPr>
        <w:ind w:left="70" w:right="142"/>
        <w:jc w:val="both"/>
        <w:rPr>
          <w:rFonts w:ascii="Simplified Arabic" w:hAnsi="Simplified Arabic" w:cs="Simplified Arabic"/>
          <w:color w:val="000000"/>
          <w:sz w:val="2"/>
          <w:szCs w:val="2"/>
          <w:rtl/>
        </w:rPr>
      </w:pPr>
      <w:r w:rsidRPr="00D0167B">
        <w:rPr>
          <w:rFonts w:ascii="Simplified Arabic" w:hAnsi="Simplified Arabic" w:cs="Simplified Arabic" w:hint="cs"/>
          <w:color w:val="000000"/>
          <w:sz w:val="20"/>
          <w:szCs w:val="20"/>
          <w:rtl/>
        </w:rPr>
        <w:t xml:space="preserve"> </w:t>
      </w:r>
    </w:p>
    <w:p w:rsidR="003C7C88" w:rsidRPr="00D0167B" w:rsidRDefault="003C7C88" w:rsidP="00B54582">
      <w:pPr>
        <w:ind w:left="424" w:right="142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sectPr w:rsidR="003C7C88" w:rsidRPr="00D0167B" w:rsidSect="003B1AC0">
          <w:footerReference w:type="default" r:id="rId12"/>
          <w:type w:val="continuous"/>
          <w:pgSz w:w="11906" w:h="16838" w:code="9"/>
          <w:pgMar w:top="1134" w:right="1134" w:bottom="851" w:left="1134" w:header="709" w:footer="709" w:gutter="0"/>
          <w:cols w:space="708"/>
          <w:bidi/>
          <w:rtlGutter/>
          <w:docGrid w:linePitch="360"/>
        </w:sect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p w:rsidR="003519FD" w:rsidRDefault="003519FD" w:rsidP="00203151">
      <w:pPr>
        <w:ind w:left="360"/>
        <w:rPr>
          <w:rFonts w:cs="Simplified Arabic"/>
          <w:b/>
          <w:bCs/>
          <w:color w:val="000000"/>
          <w:rtl/>
        </w:rPr>
      </w:pPr>
    </w:p>
    <w:sectPr w:rsidR="003519FD" w:rsidSect="006374BB"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08" w:rsidRDefault="00601C08" w:rsidP="00FE5188">
      <w:r>
        <w:separator/>
      </w:r>
    </w:p>
  </w:endnote>
  <w:endnote w:type="continuationSeparator" w:id="0">
    <w:p w:rsidR="00601C08" w:rsidRDefault="00601C08" w:rsidP="00F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69" w:rsidRPr="00B54582" w:rsidRDefault="00A95235" w:rsidP="00FE5188">
    <w:pPr>
      <w:pStyle w:val="Footer"/>
      <w:jc w:val="center"/>
      <w:rPr>
        <w:sz w:val="18"/>
        <w:szCs w:val="18"/>
        <w:rtl/>
      </w:rPr>
    </w:pPr>
    <w:r w:rsidRPr="00B54582">
      <w:rPr>
        <w:sz w:val="18"/>
        <w:szCs w:val="18"/>
      </w:rPr>
      <w:fldChar w:fldCharType="begin"/>
    </w:r>
    <w:r w:rsidR="000F1369" w:rsidRPr="00B54582">
      <w:rPr>
        <w:sz w:val="18"/>
        <w:szCs w:val="18"/>
      </w:rPr>
      <w:instrText xml:space="preserve"> PAGE   \* MERGEFORMAT </w:instrText>
    </w:r>
    <w:r w:rsidRPr="00B54582">
      <w:rPr>
        <w:sz w:val="18"/>
        <w:szCs w:val="18"/>
      </w:rPr>
      <w:fldChar w:fldCharType="separate"/>
    </w:r>
    <w:r w:rsidR="00F0029F">
      <w:rPr>
        <w:noProof/>
        <w:sz w:val="18"/>
        <w:szCs w:val="18"/>
        <w:rtl/>
      </w:rPr>
      <w:t>1</w:t>
    </w:r>
    <w:r w:rsidRPr="00B54582">
      <w:rPr>
        <w:sz w:val="18"/>
        <w:szCs w:val="18"/>
      </w:rPr>
      <w:fldChar w:fldCharType="end"/>
    </w:r>
  </w:p>
  <w:p w:rsidR="000F1369" w:rsidRDefault="000F1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08" w:rsidRDefault="00601C08" w:rsidP="00FE5188">
      <w:r>
        <w:separator/>
      </w:r>
    </w:p>
  </w:footnote>
  <w:footnote w:type="continuationSeparator" w:id="0">
    <w:p w:rsidR="00601C08" w:rsidRDefault="00601C08" w:rsidP="00FE5188">
      <w:r>
        <w:continuationSeparator/>
      </w:r>
    </w:p>
  </w:footnote>
  <w:footnote w:id="1">
    <w:p w:rsidR="000F1369" w:rsidRPr="00755AB5" w:rsidRDefault="000F1369" w:rsidP="00F74A30">
      <w:pPr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r w:rsidRPr="00755AB5">
        <w:rPr>
          <w:rStyle w:val="FootnoteReference"/>
          <w:rFonts w:ascii="Simplified Arabic" w:hAnsi="Simplified Arabic" w:cs="Simplified Arabic"/>
          <w:color w:val="000000"/>
          <w:sz w:val="20"/>
          <w:szCs w:val="20"/>
        </w:rPr>
        <w:footnoteRef/>
      </w:r>
      <w:r w:rsidRPr="00755AB5">
        <w:rPr>
          <w:rFonts w:ascii="Simplified Arabic" w:hAnsi="Simplified Arabic" w:cs="Simplified Arabic"/>
          <w:color w:val="000000"/>
          <w:sz w:val="20"/>
          <w:szCs w:val="20"/>
          <w:rtl/>
        </w:rPr>
        <w:t>:</w:t>
      </w:r>
      <w:r w:rsidRPr="00755AB5">
        <w:rPr>
          <w:rFonts w:ascii="Arial" w:hAnsi="Arial" w:hint="cs"/>
          <w:color w:val="000000"/>
          <w:sz w:val="20"/>
          <w:szCs w:val="20"/>
          <w:rtl/>
        </w:rPr>
        <w:t xml:space="preserve"> </w:t>
      </w:r>
      <w:r w:rsidRPr="00755AB5">
        <w:rPr>
          <w:rFonts w:ascii="Simplified Arabic" w:hAnsi="Simplified Arabic" w:cs="Simplified Arabic"/>
          <w:color w:val="000000"/>
          <w:sz w:val="20"/>
          <w:szCs w:val="20"/>
          <w:rtl/>
        </w:rPr>
        <w:t>في العام الدراسي 2017</w:t>
      </w:r>
      <w:r w:rsidRPr="00755AB5">
        <w:rPr>
          <w:rFonts w:ascii="Simplified Arabic" w:hAnsi="Simplified Arabic" w:cs="Simplified Arabic"/>
          <w:color w:val="000000"/>
          <w:sz w:val="20"/>
          <w:szCs w:val="20"/>
        </w:rPr>
        <w:t>/</w:t>
      </w:r>
      <w:r w:rsidRPr="00755AB5">
        <w:rPr>
          <w:rFonts w:ascii="Simplified Arabic" w:hAnsi="Simplified Arabic" w:cs="Simplified Arabic"/>
          <w:color w:val="000000"/>
          <w:sz w:val="20"/>
          <w:szCs w:val="20"/>
          <w:rtl/>
        </w:rPr>
        <w:t>2018 أصبحت المرحلة الثانوية تشمل الصفوف العاشر والحادي عشر والثاني عشر وذلك بالاستناد الى قانون التعليم الجديد الصادر عن وزارة التربية والتعليم العالي باعتبار الصف العاشر ضمن المرحلة الثانوية.</w:t>
      </w:r>
    </w:p>
    <w:p w:rsidR="000F1369" w:rsidRPr="008810EC" w:rsidRDefault="000F1369" w:rsidP="00F74A30">
      <w:pPr>
        <w:pStyle w:val="FootnoteText"/>
        <w:rPr>
          <w:color w:val="00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E6289"/>
    <w:rsid w:val="00001D49"/>
    <w:rsid w:val="00002112"/>
    <w:rsid w:val="0000378F"/>
    <w:rsid w:val="00005E3B"/>
    <w:rsid w:val="0001032B"/>
    <w:rsid w:val="0001058B"/>
    <w:rsid w:val="00010598"/>
    <w:rsid w:val="00012356"/>
    <w:rsid w:val="00013A0F"/>
    <w:rsid w:val="00014395"/>
    <w:rsid w:val="00014E0C"/>
    <w:rsid w:val="00014E38"/>
    <w:rsid w:val="000152C2"/>
    <w:rsid w:val="00016054"/>
    <w:rsid w:val="0001614F"/>
    <w:rsid w:val="000171EF"/>
    <w:rsid w:val="000172EC"/>
    <w:rsid w:val="00023617"/>
    <w:rsid w:val="0002365B"/>
    <w:rsid w:val="00025E1A"/>
    <w:rsid w:val="00033376"/>
    <w:rsid w:val="0003710A"/>
    <w:rsid w:val="000405CC"/>
    <w:rsid w:val="000409AD"/>
    <w:rsid w:val="000410C8"/>
    <w:rsid w:val="00041483"/>
    <w:rsid w:val="000423AF"/>
    <w:rsid w:val="00043CF3"/>
    <w:rsid w:val="00047685"/>
    <w:rsid w:val="000523FA"/>
    <w:rsid w:val="00053AA4"/>
    <w:rsid w:val="00054147"/>
    <w:rsid w:val="00054539"/>
    <w:rsid w:val="0005461B"/>
    <w:rsid w:val="000546DE"/>
    <w:rsid w:val="0005579F"/>
    <w:rsid w:val="0005613F"/>
    <w:rsid w:val="00060519"/>
    <w:rsid w:val="00061718"/>
    <w:rsid w:val="00062DAC"/>
    <w:rsid w:val="00063ACF"/>
    <w:rsid w:val="0006400F"/>
    <w:rsid w:val="000644B9"/>
    <w:rsid w:val="000667A6"/>
    <w:rsid w:val="0007013C"/>
    <w:rsid w:val="00070272"/>
    <w:rsid w:val="0007082F"/>
    <w:rsid w:val="00073C25"/>
    <w:rsid w:val="00075C9C"/>
    <w:rsid w:val="00080662"/>
    <w:rsid w:val="00081045"/>
    <w:rsid w:val="000819E3"/>
    <w:rsid w:val="000833D4"/>
    <w:rsid w:val="00085068"/>
    <w:rsid w:val="000865CE"/>
    <w:rsid w:val="00086A34"/>
    <w:rsid w:val="00087514"/>
    <w:rsid w:val="000934D5"/>
    <w:rsid w:val="00094E10"/>
    <w:rsid w:val="00095AC5"/>
    <w:rsid w:val="00096314"/>
    <w:rsid w:val="0009756A"/>
    <w:rsid w:val="000A02C0"/>
    <w:rsid w:val="000A53F0"/>
    <w:rsid w:val="000B1678"/>
    <w:rsid w:val="000B18D8"/>
    <w:rsid w:val="000B35C9"/>
    <w:rsid w:val="000B3E4A"/>
    <w:rsid w:val="000B4149"/>
    <w:rsid w:val="000B4C59"/>
    <w:rsid w:val="000B66D7"/>
    <w:rsid w:val="000B7FCE"/>
    <w:rsid w:val="000C0546"/>
    <w:rsid w:val="000C4688"/>
    <w:rsid w:val="000C4C36"/>
    <w:rsid w:val="000C4C71"/>
    <w:rsid w:val="000C6B4E"/>
    <w:rsid w:val="000C7EFF"/>
    <w:rsid w:val="000D21AD"/>
    <w:rsid w:val="000D2ABD"/>
    <w:rsid w:val="000D65FF"/>
    <w:rsid w:val="000D7AB2"/>
    <w:rsid w:val="000E0F32"/>
    <w:rsid w:val="000E2010"/>
    <w:rsid w:val="000E2FA3"/>
    <w:rsid w:val="000E4F2D"/>
    <w:rsid w:val="000E53CE"/>
    <w:rsid w:val="000E66C4"/>
    <w:rsid w:val="000E76F0"/>
    <w:rsid w:val="000F1369"/>
    <w:rsid w:val="000F1F14"/>
    <w:rsid w:val="000F4585"/>
    <w:rsid w:val="000F5AC9"/>
    <w:rsid w:val="000F6777"/>
    <w:rsid w:val="000F76BE"/>
    <w:rsid w:val="000F7D50"/>
    <w:rsid w:val="000F7D78"/>
    <w:rsid w:val="00101FFC"/>
    <w:rsid w:val="00102C1D"/>
    <w:rsid w:val="0010764B"/>
    <w:rsid w:val="00107CC2"/>
    <w:rsid w:val="001127DC"/>
    <w:rsid w:val="001129D5"/>
    <w:rsid w:val="001168BB"/>
    <w:rsid w:val="00116F66"/>
    <w:rsid w:val="00117811"/>
    <w:rsid w:val="00117A0E"/>
    <w:rsid w:val="001231AD"/>
    <w:rsid w:val="001238FE"/>
    <w:rsid w:val="00126663"/>
    <w:rsid w:val="00131246"/>
    <w:rsid w:val="00132633"/>
    <w:rsid w:val="00133079"/>
    <w:rsid w:val="00134DC7"/>
    <w:rsid w:val="00137193"/>
    <w:rsid w:val="001372EE"/>
    <w:rsid w:val="00137F54"/>
    <w:rsid w:val="00140016"/>
    <w:rsid w:val="00141727"/>
    <w:rsid w:val="00142AC7"/>
    <w:rsid w:val="00143C5B"/>
    <w:rsid w:val="00145699"/>
    <w:rsid w:val="00146F76"/>
    <w:rsid w:val="00146FDB"/>
    <w:rsid w:val="00151BB5"/>
    <w:rsid w:val="001520C7"/>
    <w:rsid w:val="0015597D"/>
    <w:rsid w:val="00156951"/>
    <w:rsid w:val="00156D6A"/>
    <w:rsid w:val="001579ED"/>
    <w:rsid w:val="00163A41"/>
    <w:rsid w:val="00163B70"/>
    <w:rsid w:val="001646F3"/>
    <w:rsid w:val="00165DA6"/>
    <w:rsid w:val="00170063"/>
    <w:rsid w:val="00173284"/>
    <w:rsid w:val="00173C8F"/>
    <w:rsid w:val="0017410A"/>
    <w:rsid w:val="001745CD"/>
    <w:rsid w:val="00175D85"/>
    <w:rsid w:val="001760EF"/>
    <w:rsid w:val="0018109B"/>
    <w:rsid w:val="00181D48"/>
    <w:rsid w:val="0018474B"/>
    <w:rsid w:val="001859F6"/>
    <w:rsid w:val="0018633D"/>
    <w:rsid w:val="0019070B"/>
    <w:rsid w:val="00197BA4"/>
    <w:rsid w:val="001A0963"/>
    <w:rsid w:val="001A4D51"/>
    <w:rsid w:val="001A67BA"/>
    <w:rsid w:val="001B05CF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F95"/>
    <w:rsid w:val="001C40F3"/>
    <w:rsid w:val="001C4D8A"/>
    <w:rsid w:val="001C730A"/>
    <w:rsid w:val="001C7BA0"/>
    <w:rsid w:val="001D31C7"/>
    <w:rsid w:val="001D41A3"/>
    <w:rsid w:val="001D5CB1"/>
    <w:rsid w:val="001E0C71"/>
    <w:rsid w:val="001E6191"/>
    <w:rsid w:val="001E6A78"/>
    <w:rsid w:val="001E7A7F"/>
    <w:rsid w:val="001E7B7F"/>
    <w:rsid w:val="001F1673"/>
    <w:rsid w:val="001F289C"/>
    <w:rsid w:val="001F2F78"/>
    <w:rsid w:val="001F53C5"/>
    <w:rsid w:val="002002DA"/>
    <w:rsid w:val="002019EF"/>
    <w:rsid w:val="00201DED"/>
    <w:rsid w:val="00203151"/>
    <w:rsid w:val="00203821"/>
    <w:rsid w:val="00205A25"/>
    <w:rsid w:val="00207CD9"/>
    <w:rsid w:val="00210AC3"/>
    <w:rsid w:val="00211B04"/>
    <w:rsid w:val="00217202"/>
    <w:rsid w:val="00217C7C"/>
    <w:rsid w:val="002224E0"/>
    <w:rsid w:val="002235B7"/>
    <w:rsid w:val="00223EEF"/>
    <w:rsid w:val="00226334"/>
    <w:rsid w:val="00232F91"/>
    <w:rsid w:val="00233D1D"/>
    <w:rsid w:val="00236764"/>
    <w:rsid w:val="00241253"/>
    <w:rsid w:val="00242C11"/>
    <w:rsid w:val="0024307A"/>
    <w:rsid w:val="00244193"/>
    <w:rsid w:val="00252939"/>
    <w:rsid w:val="002568DD"/>
    <w:rsid w:val="00257133"/>
    <w:rsid w:val="002605BA"/>
    <w:rsid w:val="002624A1"/>
    <w:rsid w:val="002670F7"/>
    <w:rsid w:val="002709C2"/>
    <w:rsid w:val="00270B92"/>
    <w:rsid w:val="002712CC"/>
    <w:rsid w:val="00275B7F"/>
    <w:rsid w:val="00280693"/>
    <w:rsid w:val="002807BB"/>
    <w:rsid w:val="00280F43"/>
    <w:rsid w:val="00282E2A"/>
    <w:rsid w:val="00295FD2"/>
    <w:rsid w:val="0029775C"/>
    <w:rsid w:val="00297D9C"/>
    <w:rsid w:val="002A2440"/>
    <w:rsid w:val="002A5983"/>
    <w:rsid w:val="002A6C66"/>
    <w:rsid w:val="002A750C"/>
    <w:rsid w:val="002B172B"/>
    <w:rsid w:val="002B5806"/>
    <w:rsid w:val="002B5D6A"/>
    <w:rsid w:val="002B761F"/>
    <w:rsid w:val="002B7A61"/>
    <w:rsid w:val="002B7AE0"/>
    <w:rsid w:val="002C1A39"/>
    <w:rsid w:val="002C45E2"/>
    <w:rsid w:val="002C4ADE"/>
    <w:rsid w:val="002C59E6"/>
    <w:rsid w:val="002C7CC1"/>
    <w:rsid w:val="002D0A13"/>
    <w:rsid w:val="002D2519"/>
    <w:rsid w:val="002D3017"/>
    <w:rsid w:val="002D3B1E"/>
    <w:rsid w:val="002D3D68"/>
    <w:rsid w:val="002D4FCE"/>
    <w:rsid w:val="002D5EEF"/>
    <w:rsid w:val="002E0B35"/>
    <w:rsid w:val="002E2F0A"/>
    <w:rsid w:val="002E3318"/>
    <w:rsid w:val="002E5C1C"/>
    <w:rsid w:val="002F118B"/>
    <w:rsid w:val="002F132B"/>
    <w:rsid w:val="002F3E1A"/>
    <w:rsid w:val="002F45AE"/>
    <w:rsid w:val="002F45C2"/>
    <w:rsid w:val="002F56ED"/>
    <w:rsid w:val="002F56F4"/>
    <w:rsid w:val="002F5882"/>
    <w:rsid w:val="002F5A94"/>
    <w:rsid w:val="002F5C88"/>
    <w:rsid w:val="002F7954"/>
    <w:rsid w:val="00300875"/>
    <w:rsid w:val="00300ECE"/>
    <w:rsid w:val="00301099"/>
    <w:rsid w:val="0030255F"/>
    <w:rsid w:val="00304CF9"/>
    <w:rsid w:val="00304E4D"/>
    <w:rsid w:val="003057D1"/>
    <w:rsid w:val="00305A8D"/>
    <w:rsid w:val="00306961"/>
    <w:rsid w:val="00314D1C"/>
    <w:rsid w:val="00314FB7"/>
    <w:rsid w:val="00316967"/>
    <w:rsid w:val="003235A9"/>
    <w:rsid w:val="00325A2D"/>
    <w:rsid w:val="00326600"/>
    <w:rsid w:val="00330D26"/>
    <w:rsid w:val="003312D4"/>
    <w:rsid w:val="003328DD"/>
    <w:rsid w:val="003329E9"/>
    <w:rsid w:val="00334AEB"/>
    <w:rsid w:val="0033588A"/>
    <w:rsid w:val="00337C4E"/>
    <w:rsid w:val="003407B4"/>
    <w:rsid w:val="003436D8"/>
    <w:rsid w:val="00344732"/>
    <w:rsid w:val="00345A5D"/>
    <w:rsid w:val="00347317"/>
    <w:rsid w:val="003508A5"/>
    <w:rsid w:val="003519FD"/>
    <w:rsid w:val="0035458E"/>
    <w:rsid w:val="00354DB6"/>
    <w:rsid w:val="003561D3"/>
    <w:rsid w:val="00356374"/>
    <w:rsid w:val="0035762F"/>
    <w:rsid w:val="00357906"/>
    <w:rsid w:val="00360344"/>
    <w:rsid w:val="003604CA"/>
    <w:rsid w:val="003615CA"/>
    <w:rsid w:val="00361ED6"/>
    <w:rsid w:val="003626D5"/>
    <w:rsid w:val="003628F7"/>
    <w:rsid w:val="0036658F"/>
    <w:rsid w:val="00370883"/>
    <w:rsid w:val="00370DBC"/>
    <w:rsid w:val="00373C3C"/>
    <w:rsid w:val="00376027"/>
    <w:rsid w:val="003765D0"/>
    <w:rsid w:val="00380E97"/>
    <w:rsid w:val="0038141F"/>
    <w:rsid w:val="003819FB"/>
    <w:rsid w:val="00387DE6"/>
    <w:rsid w:val="00387EDD"/>
    <w:rsid w:val="00390723"/>
    <w:rsid w:val="00390BBB"/>
    <w:rsid w:val="00390EDD"/>
    <w:rsid w:val="00391608"/>
    <w:rsid w:val="003935A2"/>
    <w:rsid w:val="003A0DF3"/>
    <w:rsid w:val="003A40EC"/>
    <w:rsid w:val="003B1AC0"/>
    <w:rsid w:val="003B253C"/>
    <w:rsid w:val="003B374D"/>
    <w:rsid w:val="003B6539"/>
    <w:rsid w:val="003B69C3"/>
    <w:rsid w:val="003C0ACB"/>
    <w:rsid w:val="003C0C2C"/>
    <w:rsid w:val="003C4E76"/>
    <w:rsid w:val="003C54F3"/>
    <w:rsid w:val="003C7C88"/>
    <w:rsid w:val="003C7D60"/>
    <w:rsid w:val="003D0B9C"/>
    <w:rsid w:val="003D152B"/>
    <w:rsid w:val="003D281E"/>
    <w:rsid w:val="003D3485"/>
    <w:rsid w:val="003D4536"/>
    <w:rsid w:val="003D4D8F"/>
    <w:rsid w:val="003E022F"/>
    <w:rsid w:val="003E172C"/>
    <w:rsid w:val="003E22D0"/>
    <w:rsid w:val="003E2F3D"/>
    <w:rsid w:val="003E3FF9"/>
    <w:rsid w:val="003E4BA1"/>
    <w:rsid w:val="003E4F72"/>
    <w:rsid w:val="003E5D70"/>
    <w:rsid w:val="003F173C"/>
    <w:rsid w:val="003F1C19"/>
    <w:rsid w:val="003F219D"/>
    <w:rsid w:val="003F428B"/>
    <w:rsid w:val="00402D7E"/>
    <w:rsid w:val="00406198"/>
    <w:rsid w:val="00406C5D"/>
    <w:rsid w:val="0040796D"/>
    <w:rsid w:val="004079F7"/>
    <w:rsid w:val="00407E16"/>
    <w:rsid w:val="00410687"/>
    <w:rsid w:val="00413A78"/>
    <w:rsid w:val="004150FD"/>
    <w:rsid w:val="004161A9"/>
    <w:rsid w:val="00416A89"/>
    <w:rsid w:val="0041760A"/>
    <w:rsid w:val="00422D9C"/>
    <w:rsid w:val="0042466C"/>
    <w:rsid w:val="00434514"/>
    <w:rsid w:val="00434AC9"/>
    <w:rsid w:val="00434F83"/>
    <w:rsid w:val="00435891"/>
    <w:rsid w:val="00436062"/>
    <w:rsid w:val="00440775"/>
    <w:rsid w:val="00442966"/>
    <w:rsid w:val="00445D20"/>
    <w:rsid w:val="004514A3"/>
    <w:rsid w:val="004525B4"/>
    <w:rsid w:val="00452F15"/>
    <w:rsid w:val="00455107"/>
    <w:rsid w:val="004554A9"/>
    <w:rsid w:val="004558CF"/>
    <w:rsid w:val="00457530"/>
    <w:rsid w:val="004576A1"/>
    <w:rsid w:val="0046013F"/>
    <w:rsid w:val="00461BAF"/>
    <w:rsid w:val="00462F04"/>
    <w:rsid w:val="0046318D"/>
    <w:rsid w:val="00463F56"/>
    <w:rsid w:val="00466781"/>
    <w:rsid w:val="00471160"/>
    <w:rsid w:val="00472443"/>
    <w:rsid w:val="00484628"/>
    <w:rsid w:val="00491683"/>
    <w:rsid w:val="004936EC"/>
    <w:rsid w:val="004939C6"/>
    <w:rsid w:val="00495787"/>
    <w:rsid w:val="00496A92"/>
    <w:rsid w:val="0049720F"/>
    <w:rsid w:val="004A0D52"/>
    <w:rsid w:val="004A294B"/>
    <w:rsid w:val="004A2EB2"/>
    <w:rsid w:val="004A570E"/>
    <w:rsid w:val="004A5937"/>
    <w:rsid w:val="004A6D82"/>
    <w:rsid w:val="004B0C3E"/>
    <w:rsid w:val="004B29E2"/>
    <w:rsid w:val="004B355D"/>
    <w:rsid w:val="004B74A9"/>
    <w:rsid w:val="004B74ED"/>
    <w:rsid w:val="004C0555"/>
    <w:rsid w:val="004C344D"/>
    <w:rsid w:val="004C41D8"/>
    <w:rsid w:val="004C52DD"/>
    <w:rsid w:val="004C61BB"/>
    <w:rsid w:val="004C7014"/>
    <w:rsid w:val="004C7B45"/>
    <w:rsid w:val="004D1288"/>
    <w:rsid w:val="004D14DD"/>
    <w:rsid w:val="004D2E52"/>
    <w:rsid w:val="004E230B"/>
    <w:rsid w:val="004E2AE8"/>
    <w:rsid w:val="004E32FD"/>
    <w:rsid w:val="004E4D97"/>
    <w:rsid w:val="004E56F7"/>
    <w:rsid w:val="004E7035"/>
    <w:rsid w:val="004F26CC"/>
    <w:rsid w:val="004F4570"/>
    <w:rsid w:val="004F49E9"/>
    <w:rsid w:val="004F525C"/>
    <w:rsid w:val="004F74F2"/>
    <w:rsid w:val="004F774C"/>
    <w:rsid w:val="0050037E"/>
    <w:rsid w:val="00500553"/>
    <w:rsid w:val="00500A38"/>
    <w:rsid w:val="0050455D"/>
    <w:rsid w:val="00504756"/>
    <w:rsid w:val="005070EA"/>
    <w:rsid w:val="00510461"/>
    <w:rsid w:val="0051108C"/>
    <w:rsid w:val="00513BC0"/>
    <w:rsid w:val="0051452A"/>
    <w:rsid w:val="00514D71"/>
    <w:rsid w:val="00520663"/>
    <w:rsid w:val="00522473"/>
    <w:rsid w:val="00522605"/>
    <w:rsid w:val="00522749"/>
    <w:rsid w:val="00523840"/>
    <w:rsid w:val="00525369"/>
    <w:rsid w:val="00526658"/>
    <w:rsid w:val="00530515"/>
    <w:rsid w:val="00531991"/>
    <w:rsid w:val="00532064"/>
    <w:rsid w:val="00533096"/>
    <w:rsid w:val="0053574A"/>
    <w:rsid w:val="00536351"/>
    <w:rsid w:val="005375F1"/>
    <w:rsid w:val="005401BC"/>
    <w:rsid w:val="0054060B"/>
    <w:rsid w:val="005437CF"/>
    <w:rsid w:val="00544ED9"/>
    <w:rsid w:val="00545784"/>
    <w:rsid w:val="005468EF"/>
    <w:rsid w:val="00546E86"/>
    <w:rsid w:val="00552215"/>
    <w:rsid w:val="00554B36"/>
    <w:rsid w:val="00554EBB"/>
    <w:rsid w:val="00556524"/>
    <w:rsid w:val="0056020E"/>
    <w:rsid w:val="005628B9"/>
    <w:rsid w:val="00564079"/>
    <w:rsid w:val="005648D6"/>
    <w:rsid w:val="00566CC5"/>
    <w:rsid w:val="00567FEA"/>
    <w:rsid w:val="005717B1"/>
    <w:rsid w:val="00571BF3"/>
    <w:rsid w:val="00571E26"/>
    <w:rsid w:val="005739F3"/>
    <w:rsid w:val="00574F5A"/>
    <w:rsid w:val="0057514E"/>
    <w:rsid w:val="00577AD9"/>
    <w:rsid w:val="005821B0"/>
    <w:rsid w:val="0058259F"/>
    <w:rsid w:val="00584765"/>
    <w:rsid w:val="0059063A"/>
    <w:rsid w:val="00590D07"/>
    <w:rsid w:val="00595C0D"/>
    <w:rsid w:val="005A1207"/>
    <w:rsid w:val="005A2480"/>
    <w:rsid w:val="005A257B"/>
    <w:rsid w:val="005A2632"/>
    <w:rsid w:val="005A33FA"/>
    <w:rsid w:val="005A3D90"/>
    <w:rsid w:val="005A55B8"/>
    <w:rsid w:val="005B1029"/>
    <w:rsid w:val="005B278D"/>
    <w:rsid w:val="005B3E99"/>
    <w:rsid w:val="005B56E5"/>
    <w:rsid w:val="005B6872"/>
    <w:rsid w:val="005B6FD1"/>
    <w:rsid w:val="005C09E3"/>
    <w:rsid w:val="005C1AAB"/>
    <w:rsid w:val="005C2CA1"/>
    <w:rsid w:val="005C4A81"/>
    <w:rsid w:val="005C5293"/>
    <w:rsid w:val="005C6618"/>
    <w:rsid w:val="005C6817"/>
    <w:rsid w:val="005D1AD5"/>
    <w:rsid w:val="005D2E7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5B2F"/>
    <w:rsid w:val="005E6289"/>
    <w:rsid w:val="005F457D"/>
    <w:rsid w:val="005F533E"/>
    <w:rsid w:val="005F5963"/>
    <w:rsid w:val="005F6DEB"/>
    <w:rsid w:val="006006E2"/>
    <w:rsid w:val="00601C08"/>
    <w:rsid w:val="006034CB"/>
    <w:rsid w:val="00605F58"/>
    <w:rsid w:val="006066FE"/>
    <w:rsid w:val="00611962"/>
    <w:rsid w:val="006123D3"/>
    <w:rsid w:val="00615A9B"/>
    <w:rsid w:val="00615ECD"/>
    <w:rsid w:val="00622153"/>
    <w:rsid w:val="00622BB1"/>
    <w:rsid w:val="006304D0"/>
    <w:rsid w:val="006312F5"/>
    <w:rsid w:val="00631999"/>
    <w:rsid w:val="00631EC5"/>
    <w:rsid w:val="00633A4F"/>
    <w:rsid w:val="00633DAE"/>
    <w:rsid w:val="0063449A"/>
    <w:rsid w:val="00634598"/>
    <w:rsid w:val="00634849"/>
    <w:rsid w:val="006374BB"/>
    <w:rsid w:val="00640CE8"/>
    <w:rsid w:val="00641B92"/>
    <w:rsid w:val="00643C51"/>
    <w:rsid w:val="00645C9B"/>
    <w:rsid w:val="00652D77"/>
    <w:rsid w:val="00652F7E"/>
    <w:rsid w:val="00653625"/>
    <w:rsid w:val="00654079"/>
    <w:rsid w:val="0065456A"/>
    <w:rsid w:val="0065595B"/>
    <w:rsid w:val="00657054"/>
    <w:rsid w:val="00661767"/>
    <w:rsid w:val="00662DF5"/>
    <w:rsid w:val="006631E1"/>
    <w:rsid w:val="006636E8"/>
    <w:rsid w:val="00663B44"/>
    <w:rsid w:val="006671C5"/>
    <w:rsid w:val="0066746C"/>
    <w:rsid w:val="00672DBA"/>
    <w:rsid w:val="00673679"/>
    <w:rsid w:val="00674F3A"/>
    <w:rsid w:val="00675411"/>
    <w:rsid w:val="00675A7B"/>
    <w:rsid w:val="00675D8C"/>
    <w:rsid w:val="00675F24"/>
    <w:rsid w:val="00677CBD"/>
    <w:rsid w:val="00680C2B"/>
    <w:rsid w:val="00681856"/>
    <w:rsid w:val="006821BE"/>
    <w:rsid w:val="006831C2"/>
    <w:rsid w:val="00690253"/>
    <w:rsid w:val="00690727"/>
    <w:rsid w:val="00690987"/>
    <w:rsid w:val="00691D48"/>
    <w:rsid w:val="0069312F"/>
    <w:rsid w:val="00697338"/>
    <w:rsid w:val="006A0D88"/>
    <w:rsid w:val="006A1A17"/>
    <w:rsid w:val="006A5928"/>
    <w:rsid w:val="006A5DA6"/>
    <w:rsid w:val="006A7E8C"/>
    <w:rsid w:val="006B0F0E"/>
    <w:rsid w:val="006B42A7"/>
    <w:rsid w:val="006B62F7"/>
    <w:rsid w:val="006B7113"/>
    <w:rsid w:val="006C0AAC"/>
    <w:rsid w:val="006C2B0B"/>
    <w:rsid w:val="006C3972"/>
    <w:rsid w:val="006C3BA3"/>
    <w:rsid w:val="006C4E6A"/>
    <w:rsid w:val="006C59EF"/>
    <w:rsid w:val="006C5E83"/>
    <w:rsid w:val="006C643A"/>
    <w:rsid w:val="006C6AFC"/>
    <w:rsid w:val="006C786C"/>
    <w:rsid w:val="006D199C"/>
    <w:rsid w:val="006D4050"/>
    <w:rsid w:val="006E0B0A"/>
    <w:rsid w:val="006E4E97"/>
    <w:rsid w:val="006F018D"/>
    <w:rsid w:val="006F0B33"/>
    <w:rsid w:val="006F4A43"/>
    <w:rsid w:val="0070498E"/>
    <w:rsid w:val="00704CF9"/>
    <w:rsid w:val="00706A5B"/>
    <w:rsid w:val="00707164"/>
    <w:rsid w:val="007103E8"/>
    <w:rsid w:val="0071234F"/>
    <w:rsid w:val="00714EC4"/>
    <w:rsid w:val="0071564E"/>
    <w:rsid w:val="00715BBA"/>
    <w:rsid w:val="00721653"/>
    <w:rsid w:val="00721AFC"/>
    <w:rsid w:val="00722406"/>
    <w:rsid w:val="00724B2E"/>
    <w:rsid w:val="007255DD"/>
    <w:rsid w:val="00730389"/>
    <w:rsid w:val="007314FE"/>
    <w:rsid w:val="0073301E"/>
    <w:rsid w:val="00733A18"/>
    <w:rsid w:val="00736233"/>
    <w:rsid w:val="0073623C"/>
    <w:rsid w:val="00736638"/>
    <w:rsid w:val="00736D8D"/>
    <w:rsid w:val="007419C0"/>
    <w:rsid w:val="0074258A"/>
    <w:rsid w:val="0074309C"/>
    <w:rsid w:val="007444C4"/>
    <w:rsid w:val="00744F42"/>
    <w:rsid w:val="0074645D"/>
    <w:rsid w:val="007472C5"/>
    <w:rsid w:val="00747BB4"/>
    <w:rsid w:val="00747DB0"/>
    <w:rsid w:val="00752BB0"/>
    <w:rsid w:val="00755AB5"/>
    <w:rsid w:val="00757582"/>
    <w:rsid w:val="0076003A"/>
    <w:rsid w:val="00760514"/>
    <w:rsid w:val="00760790"/>
    <w:rsid w:val="00760BDA"/>
    <w:rsid w:val="00761429"/>
    <w:rsid w:val="00765C57"/>
    <w:rsid w:val="007663B2"/>
    <w:rsid w:val="00766D98"/>
    <w:rsid w:val="00766F56"/>
    <w:rsid w:val="0077380E"/>
    <w:rsid w:val="00773E2D"/>
    <w:rsid w:val="00774599"/>
    <w:rsid w:val="007747C0"/>
    <w:rsid w:val="00782473"/>
    <w:rsid w:val="007841A6"/>
    <w:rsid w:val="0079269A"/>
    <w:rsid w:val="00794489"/>
    <w:rsid w:val="00795642"/>
    <w:rsid w:val="007959CC"/>
    <w:rsid w:val="007A00CE"/>
    <w:rsid w:val="007A2C06"/>
    <w:rsid w:val="007A539F"/>
    <w:rsid w:val="007A6F75"/>
    <w:rsid w:val="007A78C4"/>
    <w:rsid w:val="007B146C"/>
    <w:rsid w:val="007B1BCC"/>
    <w:rsid w:val="007B7155"/>
    <w:rsid w:val="007C60BF"/>
    <w:rsid w:val="007C6264"/>
    <w:rsid w:val="007D47F8"/>
    <w:rsid w:val="007D540D"/>
    <w:rsid w:val="007D6E1D"/>
    <w:rsid w:val="007E7B70"/>
    <w:rsid w:val="007F33DC"/>
    <w:rsid w:val="007F4AA5"/>
    <w:rsid w:val="007F60AB"/>
    <w:rsid w:val="00802165"/>
    <w:rsid w:val="00802FBC"/>
    <w:rsid w:val="00806BCC"/>
    <w:rsid w:val="00807E67"/>
    <w:rsid w:val="00811490"/>
    <w:rsid w:val="00812126"/>
    <w:rsid w:val="00812A12"/>
    <w:rsid w:val="00812C93"/>
    <w:rsid w:val="0081530C"/>
    <w:rsid w:val="008156A3"/>
    <w:rsid w:val="0081597F"/>
    <w:rsid w:val="008225CF"/>
    <w:rsid w:val="00822BBF"/>
    <w:rsid w:val="008309D9"/>
    <w:rsid w:val="00832BAF"/>
    <w:rsid w:val="0083610A"/>
    <w:rsid w:val="00836FF2"/>
    <w:rsid w:val="008401CE"/>
    <w:rsid w:val="00844003"/>
    <w:rsid w:val="008466E1"/>
    <w:rsid w:val="008466FA"/>
    <w:rsid w:val="008476D5"/>
    <w:rsid w:val="00847A06"/>
    <w:rsid w:val="00850C09"/>
    <w:rsid w:val="008522AF"/>
    <w:rsid w:val="00853B56"/>
    <w:rsid w:val="00854DD3"/>
    <w:rsid w:val="008555A9"/>
    <w:rsid w:val="00856AAE"/>
    <w:rsid w:val="00856CC4"/>
    <w:rsid w:val="008573A7"/>
    <w:rsid w:val="00861857"/>
    <w:rsid w:val="00862447"/>
    <w:rsid w:val="00864AA0"/>
    <w:rsid w:val="008668CD"/>
    <w:rsid w:val="00866905"/>
    <w:rsid w:val="008669FE"/>
    <w:rsid w:val="00867105"/>
    <w:rsid w:val="00870766"/>
    <w:rsid w:val="00870C7B"/>
    <w:rsid w:val="00872EBD"/>
    <w:rsid w:val="0087319B"/>
    <w:rsid w:val="008735D8"/>
    <w:rsid w:val="00874406"/>
    <w:rsid w:val="00874A04"/>
    <w:rsid w:val="00877D5B"/>
    <w:rsid w:val="008810EC"/>
    <w:rsid w:val="00881A40"/>
    <w:rsid w:val="00882805"/>
    <w:rsid w:val="00887180"/>
    <w:rsid w:val="00890FB5"/>
    <w:rsid w:val="008923E3"/>
    <w:rsid w:val="00893A8B"/>
    <w:rsid w:val="0089507D"/>
    <w:rsid w:val="00895219"/>
    <w:rsid w:val="00895496"/>
    <w:rsid w:val="0089566C"/>
    <w:rsid w:val="008A0D13"/>
    <w:rsid w:val="008A2355"/>
    <w:rsid w:val="008A3651"/>
    <w:rsid w:val="008A47BD"/>
    <w:rsid w:val="008A646D"/>
    <w:rsid w:val="008A650D"/>
    <w:rsid w:val="008A6EF7"/>
    <w:rsid w:val="008B1E18"/>
    <w:rsid w:val="008B27DE"/>
    <w:rsid w:val="008B379A"/>
    <w:rsid w:val="008B6EA1"/>
    <w:rsid w:val="008B77DE"/>
    <w:rsid w:val="008C338C"/>
    <w:rsid w:val="008E35F6"/>
    <w:rsid w:val="008E37F5"/>
    <w:rsid w:val="008E4EC1"/>
    <w:rsid w:val="008E5253"/>
    <w:rsid w:val="008E6DE8"/>
    <w:rsid w:val="008F2474"/>
    <w:rsid w:val="008F5542"/>
    <w:rsid w:val="008F64C1"/>
    <w:rsid w:val="008F7CA0"/>
    <w:rsid w:val="009024BE"/>
    <w:rsid w:val="00902AF0"/>
    <w:rsid w:val="0090313B"/>
    <w:rsid w:val="009031BB"/>
    <w:rsid w:val="00905019"/>
    <w:rsid w:val="00905C22"/>
    <w:rsid w:val="00906B0F"/>
    <w:rsid w:val="00907AE3"/>
    <w:rsid w:val="00907C8D"/>
    <w:rsid w:val="009109BE"/>
    <w:rsid w:val="0091191A"/>
    <w:rsid w:val="00915FC4"/>
    <w:rsid w:val="0091629C"/>
    <w:rsid w:val="00917400"/>
    <w:rsid w:val="00917B41"/>
    <w:rsid w:val="00921812"/>
    <w:rsid w:val="00921946"/>
    <w:rsid w:val="0092383A"/>
    <w:rsid w:val="009328AF"/>
    <w:rsid w:val="009336CC"/>
    <w:rsid w:val="009350D4"/>
    <w:rsid w:val="009362BB"/>
    <w:rsid w:val="0093656B"/>
    <w:rsid w:val="00937D4C"/>
    <w:rsid w:val="0094130B"/>
    <w:rsid w:val="00941B9D"/>
    <w:rsid w:val="00941E31"/>
    <w:rsid w:val="00941ED0"/>
    <w:rsid w:val="009435BF"/>
    <w:rsid w:val="00943872"/>
    <w:rsid w:val="00943B92"/>
    <w:rsid w:val="00945DDA"/>
    <w:rsid w:val="00945F2F"/>
    <w:rsid w:val="00946D60"/>
    <w:rsid w:val="00946FB9"/>
    <w:rsid w:val="009476B5"/>
    <w:rsid w:val="00951E15"/>
    <w:rsid w:val="00953ABA"/>
    <w:rsid w:val="00956ACF"/>
    <w:rsid w:val="009615B4"/>
    <w:rsid w:val="00962165"/>
    <w:rsid w:val="009629DC"/>
    <w:rsid w:val="009645A7"/>
    <w:rsid w:val="00966AEC"/>
    <w:rsid w:val="00966FC8"/>
    <w:rsid w:val="00967A48"/>
    <w:rsid w:val="00970C34"/>
    <w:rsid w:val="00970D5D"/>
    <w:rsid w:val="00971FF5"/>
    <w:rsid w:val="009750B7"/>
    <w:rsid w:val="00975286"/>
    <w:rsid w:val="00976187"/>
    <w:rsid w:val="00976ADA"/>
    <w:rsid w:val="00976B99"/>
    <w:rsid w:val="00981377"/>
    <w:rsid w:val="00982075"/>
    <w:rsid w:val="00990407"/>
    <w:rsid w:val="009905B9"/>
    <w:rsid w:val="0099252B"/>
    <w:rsid w:val="00993EEA"/>
    <w:rsid w:val="00994E53"/>
    <w:rsid w:val="0099553F"/>
    <w:rsid w:val="0099593D"/>
    <w:rsid w:val="00995C2F"/>
    <w:rsid w:val="0099710C"/>
    <w:rsid w:val="009A31E6"/>
    <w:rsid w:val="009A3AA5"/>
    <w:rsid w:val="009A3E24"/>
    <w:rsid w:val="009A64E9"/>
    <w:rsid w:val="009A7C5F"/>
    <w:rsid w:val="009B1157"/>
    <w:rsid w:val="009B14A9"/>
    <w:rsid w:val="009B3BDB"/>
    <w:rsid w:val="009B54EA"/>
    <w:rsid w:val="009B5811"/>
    <w:rsid w:val="009B673C"/>
    <w:rsid w:val="009C12C0"/>
    <w:rsid w:val="009C3C6B"/>
    <w:rsid w:val="009C3F46"/>
    <w:rsid w:val="009C4D5B"/>
    <w:rsid w:val="009D0C28"/>
    <w:rsid w:val="009D21C0"/>
    <w:rsid w:val="009D26D2"/>
    <w:rsid w:val="009D42AF"/>
    <w:rsid w:val="009D7101"/>
    <w:rsid w:val="009D7553"/>
    <w:rsid w:val="009E154A"/>
    <w:rsid w:val="009E18DB"/>
    <w:rsid w:val="009E207B"/>
    <w:rsid w:val="009E3F43"/>
    <w:rsid w:val="009E57CF"/>
    <w:rsid w:val="009E5F7A"/>
    <w:rsid w:val="009F059F"/>
    <w:rsid w:val="009F07CA"/>
    <w:rsid w:val="00A000E6"/>
    <w:rsid w:val="00A0567C"/>
    <w:rsid w:val="00A07461"/>
    <w:rsid w:val="00A07E55"/>
    <w:rsid w:val="00A119D4"/>
    <w:rsid w:val="00A123D9"/>
    <w:rsid w:val="00A1252F"/>
    <w:rsid w:val="00A12532"/>
    <w:rsid w:val="00A12CF7"/>
    <w:rsid w:val="00A16E3E"/>
    <w:rsid w:val="00A173C0"/>
    <w:rsid w:val="00A224C8"/>
    <w:rsid w:val="00A234BA"/>
    <w:rsid w:val="00A24FD0"/>
    <w:rsid w:val="00A267B7"/>
    <w:rsid w:val="00A27377"/>
    <w:rsid w:val="00A31E75"/>
    <w:rsid w:val="00A33649"/>
    <w:rsid w:val="00A3537F"/>
    <w:rsid w:val="00A37D98"/>
    <w:rsid w:val="00A45325"/>
    <w:rsid w:val="00A463C5"/>
    <w:rsid w:val="00A51113"/>
    <w:rsid w:val="00A5201B"/>
    <w:rsid w:val="00A53788"/>
    <w:rsid w:val="00A56869"/>
    <w:rsid w:val="00A600CD"/>
    <w:rsid w:val="00A70D6D"/>
    <w:rsid w:val="00A7623B"/>
    <w:rsid w:val="00A82332"/>
    <w:rsid w:val="00A8408F"/>
    <w:rsid w:val="00A9014C"/>
    <w:rsid w:val="00A921C4"/>
    <w:rsid w:val="00A93D40"/>
    <w:rsid w:val="00A95235"/>
    <w:rsid w:val="00AA0071"/>
    <w:rsid w:val="00AA13FA"/>
    <w:rsid w:val="00AA2D4C"/>
    <w:rsid w:val="00AA32C3"/>
    <w:rsid w:val="00AA3B07"/>
    <w:rsid w:val="00AA4730"/>
    <w:rsid w:val="00AA4FAC"/>
    <w:rsid w:val="00AA6FC7"/>
    <w:rsid w:val="00AB01C5"/>
    <w:rsid w:val="00AB02FC"/>
    <w:rsid w:val="00AB1206"/>
    <w:rsid w:val="00AB13F6"/>
    <w:rsid w:val="00AB373F"/>
    <w:rsid w:val="00AB3AB7"/>
    <w:rsid w:val="00AB6350"/>
    <w:rsid w:val="00AB7C67"/>
    <w:rsid w:val="00AC02FC"/>
    <w:rsid w:val="00AC0EB2"/>
    <w:rsid w:val="00AC3812"/>
    <w:rsid w:val="00AC69F4"/>
    <w:rsid w:val="00AD2867"/>
    <w:rsid w:val="00AD49BF"/>
    <w:rsid w:val="00AD55B3"/>
    <w:rsid w:val="00AD5BCE"/>
    <w:rsid w:val="00AE1EF0"/>
    <w:rsid w:val="00AE4F2A"/>
    <w:rsid w:val="00AE4F3D"/>
    <w:rsid w:val="00AE5983"/>
    <w:rsid w:val="00AE74C2"/>
    <w:rsid w:val="00AF0783"/>
    <w:rsid w:val="00AF2D50"/>
    <w:rsid w:val="00AF420E"/>
    <w:rsid w:val="00AF536A"/>
    <w:rsid w:val="00AF6ED4"/>
    <w:rsid w:val="00B00837"/>
    <w:rsid w:val="00B01727"/>
    <w:rsid w:val="00B0233F"/>
    <w:rsid w:val="00B0282B"/>
    <w:rsid w:val="00B0314D"/>
    <w:rsid w:val="00B04E95"/>
    <w:rsid w:val="00B07939"/>
    <w:rsid w:val="00B07E61"/>
    <w:rsid w:val="00B10930"/>
    <w:rsid w:val="00B12639"/>
    <w:rsid w:val="00B12FBE"/>
    <w:rsid w:val="00B13225"/>
    <w:rsid w:val="00B1381C"/>
    <w:rsid w:val="00B13BA8"/>
    <w:rsid w:val="00B14C06"/>
    <w:rsid w:val="00B14D1C"/>
    <w:rsid w:val="00B16402"/>
    <w:rsid w:val="00B172C3"/>
    <w:rsid w:val="00B2081E"/>
    <w:rsid w:val="00B21D91"/>
    <w:rsid w:val="00B21FD1"/>
    <w:rsid w:val="00B238BF"/>
    <w:rsid w:val="00B24349"/>
    <w:rsid w:val="00B2570A"/>
    <w:rsid w:val="00B2799D"/>
    <w:rsid w:val="00B30B2C"/>
    <w:rsid w:val="00B31902"/>
    <w:rsid w:val="00B3200C"/>
    <w:rsid w:val="00B34569"/>
    <w:rsid w:val="00B348A7"/>
    <w:rsid w:val="00B36AF0"/>
    <w:rsid w:val="00B36E21"/>
    <w:rsid w:val="00B3755D"/>
    <w:rsid w:val="00B37A89"/>
    <w:rsid w:val="00B431BF"/>
    <w:rsid w:val="00B437CC"/>
    <w:rsid w:val="00B50BD9"/>
    <w:rsid w:val="00B53634"/>
    <w:rsid w:val="00B54582"/>
    <w:rsid w:val="00B5530F"/>
    <w:rsid w:val="00B61E75"/>
    <w:rsid w:val="00B64B09"/>
    <w:rsid w:val="00B65E07"/>
    <w:rsid w:val="00B66CC9"/>
    <w:rsid w:val="00B678D7"/>
    <w:rsid w:val="00B82A42"/>
    <w:rsid w:val="00B8415B"/>
    <w:rsid w:val="00B84DC5"/>
    <w:rsid w:val="00B85268"/>
    <w:rsid w:val="00B92840"/>
    <w:rsid w:val="00B96120"/>
    <w:rsid w:val="00B962A1"/>
    <w:rsid w:val="00B9716E"/>
    <w:rsid w:val="00BA0F76"/>
    <w:rsid w:val="00BA44EB"/>
    <w:rsid w:val="00BA4A5C"/>
    <w:rsid w:val="00BA64D1"/>
    <w:rsid w:val="00BB2837"/>
    <w:rsid w:val="00BB3074"/>
    <w:rsid w:val="00BB533A"/>
    <w:rsid w:val="00BC05E1"/>
    <w:rsid w:val="00BC3D10"/>
    <w:rsid w:val="00BC778F"/>
    <w:rsid w:val="00BC7AB0"/>
    <w:rsid w:val="00BD0368"/>
    <w:rsid w:val="00BD135F"/>
    <w:rsid w:val="00BD1365"/>
    <w:rsid w:val="00BD1CCD"/>
    <w:rsid w:val="00BD3585"/>
    <w:rsid w:val="00BD42C1"/>
    <w:rsid w:val="00BD4F82"/>
    <w:rsid w:val="00BD4FE2"/>
    <w:rsid w:val="00BD6C34"/>
    <w:rsid w:val="00BD7B57"/>
    <w:rsid w:val="00BE337E"/>
    <w:rsid w:val="00BE5868"/>
    <w:rsid w:val="00BE7E2C"/>
    <w:rsid w:val="00BF0075"/>
    <w:rsid w:val="00BF1F49"/>
    <w:rsid w:val="00BF5C5D"/>
    <w:rsid w:val="00C03745"/>
    <w:rsid w:val="00C11100"/>
    <w:rsid w:val="00C11DE8"/>
    <w:rsid w:val="00C12917"/>
    <w:rsid w:val="00C12D27"/>
    <w:rsid w:val="00C133AC"/>
    <w:rsid w:val="00C1446C"/>
    <w:rsid w:val="00C15B86"/>
    <w:rsid w:val="00C20775"/>
    <w:rsid w:val="00C24028"/>
    <w:rsid w:val="00C24371"/>
    <w:rsid w:val="00C246F4"/>
    <w:rsid w:val="00C25E3D"/>
    <w:rsid w:val="00C26C6F"/>
    <w:rsid w:val="00C302AC"/>
    <w:rsid w:val="00C329AA"/>
    <w:rsid w:val="00C3327F"/>
    <w:rsid w:val="00C36388"/>
    <w:rsid w:val="00C36417"/>
    <w:rsid w:val="00C40083"/>
    <w:rsid w:val="00C40A7E"/>
    <w:rsid w:val="00C418C8"/>
    <w:rsid w:val="00C448CC"/>
    <w:rsid w:val="00C449E2"/>
    <w:rsid w:val="00C4760E"/>
    <w:rsid w:val="00C62A93"/>
    <w:rsid w:val="00C64897"/>
    <w:rsid w:val="00C676EF"/>
    <w:rsid w:val="00C716A6"/>
    <w:rsid w:val="00C73872"/>
    <w:rsid w:val="00C73E98"/>
    <w:rsid w:val="00C73ED3"/>
    <w:rsid w:val="00C74420"/>
    <w:rsid w:val="00C77E4F"/>
    <w:rsid w:val="00C82E81"/>
    <w:rsid w:val="00C915FE"/>
    <w:rsid w:val="00C92F62"/>
    <w:rsid w:val="00C9379A"/>
    <w:rsid w:val="00C95765"/>
    <w:rsid w:val="00C960C5"/>
    <w:rsid w:val="00C9626F"/>
    <w:rsid w:val="00C965E0"/>
    <w:rsid w:val="00CA02E0"/>
    <w:rsid w:val="00CA3E14"/>
    <w:rsid w:val="00CA41A1"/>
    <w:rsid w:val="00CA4C78"/>
    <w:rsid w:val="00CA5146"/>
    <w:rsid w:val="00CA58D7"/>
    <w:rsid w:val="00CA6DFF"/>
    <w:rsid w:val="00CB135D"/>
    <w:rsid w:val="00CB3653"/>
    <w:rsid w:val="00CB3992"/>
    <w:rsid w:val="00CB40AD"/>
    <w:rsid w:val="00CB4996"/>
    <w:rsid w:val="00CB5188"/>
    <w:rsid w:val="00CB5924"/>
    <w:rsid w:val="00CB7D39"/>
    <w:rsid w:val="00CC3C94"/>
    <w:rsid w:val="00CC5CCF"/>
    <w:rsid w:val="00CD07D0"/>
    <w:rsid w:val="00CD0C95"/>
    <w:rsid w:val="00CD27D5"/>
    <w:rsid w:val="00CD2DCF"/>
    <w:rsid w:val="00CD338B"/>
    <w:rsid w:val="00CD3D96"/>
    <w:rsid w:val="00CD41C9"/>
    <w:rsid w:val="00CD4C94"/>
    <w:rsid w:val="00CD4C98"/>
    <w:rsid w:val="00CE0B2E"/>
    <w:rsid w:val="00CE18DE"/>
    <w:rsid w:val="00CE24BB"/>
    <w:rsid w:val="00CE468B"/>
    <w:rsid w:val="00CE6D84"/>
    <w:rsid w:val="00CF2CB8"/>
    <w:rsid w:val="00CF35FF"/>
    <w:rsid w:val="00CF70E1"/>
    <w:rsid w:val="00D0167B"/>
    <w:rsid w:val="00D01A7A"/>
    <w:rsid w:val="00D0416F"/>
    <w:rsid w:val="00D0546C"/>
    <w:rsid w:val="00D0559D"/>
    <w:rsid w:val="00D108E7"/>
    <w:rsid w:val="00D11C23"/>
    <w:rsid w:val="00D1291E"/>
    <w:rsid w:val="00D12F2A"/>
    <w:rsid w:val="00D14880"/>
    <w:rsid w:val="00D1589F"/>
    <w:rsid w:val="00D16878"/>
    <w:rsid w:val="00D1754A"/>
    <w:rsid w:val="00D20511"/>
    <w:rsid w:val="00D2172C"/>
    <w:rsid w:val="00D21863"/>
    <w:rsid w:val="00D21BA1"/>
    <w:rsid w:val="00D24554"/>
    <w:rsid w:val="00D27FAB"/>
    <w:rsid w:val="00D30120"/>
    <w:rsid w:val="00D31B19"/>
    <w:rsid w:val="00D35FCC"/>
    <w:rsid w:val="00D42F48"/>
    <w:rsid w:val="00D43110"/>
    <w:rsid w:val="00D43870"/>
    <w:rsid w:val="00D45D85"/>
    <w:rsid w:val="00D476A3"/>
    <w:rsid w:val="00D47D84"/>
    <w:rsid w:val="00D50BC4"/>
    <w:rsid w:val="00D53BF3"/>
    <w:rsid w:val="00D5604E"/>
    <w:rsid w:val="00D57C33"/>
    <w:rsid w:val="00D6006E"/>
    <w:rsid w:val="00D60F45"/>
    <w:rsid w:val="00D61985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7D89"/>
    <w:rsid w:val="00D80948"/>
    <w:rsid w:val="00D81CA5"/>
    <w:rsid w:val="00D82CFF"/>
    <w:rsid w:val="00D8513F"/>
    <w:rsid w:val="00D85E17"/>
    <w:rsid w:val="00D873B0"/>
    <w:rsid w:val="00D8791E"/>
    <w:rsid w:val="00D8799F"/>
    <w:rsid w:val="00D91E6F"/>
    <w:rsid w:val="00D93DB5"/>
    <w:rsid w:val="00D94A42"/>
    <w:rsid w:val="00D96258"/>
    <w:rsid w:val="00D96E46"/>
    <w:rsid w:val="00DA02BA"/>
    <w:rsid w:val="00DA11CE"/>
    <w:rsid w:val="00DA3DE2"/>
    <w:rsid w:val="00DA429C"/>
    <w:rsid w:val="00DA577E"/>
    <w:rsid w:val="00DA628A"/>
    <w:rsid w:val="00DA77C2"/>
    <w:rsid w:val="00DB0629"/>
    <w:rsid w:val="00DB162F"/>
    <w:rsid w:val="00DB297C"/>
    <w:rsid w:val="00DB3231"/>
    <w:rsid w:val="00DC032C"/>
    <w:rsid w:val="00DC0B63"/>
    <w:rsid w:val="00DC4B59"/>
    <w:rsid w:val="00DC6FE2"/>
    <w:rsid w:val="00DC7507"/>
    <w:rsid w:val="00DD0053"/>
    <w:rsid w:val="00DD0243"/>
    <w:rsid w:val="00DD23EB"/>
    <w:rsid w:val="00DD257E"/>
    <w:rsid w:val="00DD2F53"/>
    <w:rsid w:val="00DD7994"/>
    <w:rsid w:val="00DE04F4"/>
    <w:rsid w:val="00DE0E21"/>
    <w:rsid w:val="00DE2271"/>
    <w:rsid w:val="00DE228F"/>
    <w:rsid w:val="00DE575B"/>
    <w:rsid w:val="00DE650D"/>
    <w:rsid w:val="00DE654C"/>
    <w:rsid w:val="00DF0D4A"/>
    <w:rsid w:val="00DF3008"/>
    <w:rsid w:val="00DF52E1"/>
    <w:rsid w:val="00DF5D6F"/>
    <w:rsid w:val="00E00E36"/>
    <w:rsid w:val="00E013E6"/>
    <w:rsid w:val="00E01F9C"/>
    <w:rsid w:val="00E0385B"/>
    <w:rsid w:val="00E03F0E"/>
    <w:rsid w:val="00E055E8"/>
    <w:rsid w:val="00E05621"/>
    <w:rsid w:val="00E100EE"/>
    <w:rsid w:val="00E10195"/>
    <w:rsid w:val="00E12AE0"/>
    <w:rsid w:val="00E12FD0"/>
    <w:rsid w:val="00E14410"/>
    <w:rsid w:val="00E145C3"/>
    <w:rsid w:val="00E146DF"/>
    <w:rsid w:val="00E15137"/>
    <w:rsid w:val="00E15C70"/>
    <w:rsid w:val="00E179C1"/>
    <w:rsid w:val="00E20407"/>
    <w:rsid w:val="00E23336"/>
    <w:rsid w:val="00E23644"/>
    <w:rsid w:val="00E25817"/>
    <w:rsid w:val="00E260D0"/>
    <w:rsid w:val="00E26D54"/>
    <w:rsid w:val="00E26DAC"/>
    <w:rsid w:val="00E27147"/>
    <w:rsid w:val="00E2749A"/>
    <w:rsid w:val="00E31367"/>
    <w:rsid w:val="00E323A9"/>
    <w:rsid w:val="00E339F8"/>
    <w:rsid w:val="00E33A60"/>
    <w:rsid w:val="00E34901"/>
    <w:rsid w:val="00E3667D"/>
    <w:rsid w:val="00E368BB"/>
    <w:rsid w:val="00E37E4C"/>
    <w:rsid w:val="00E37FA1"/>
    <w:rsid w:val="00E413E5"/>
    <w:rsid w:val="00E4164A"/>
    <w:rsid w:val="00E41771"/>
    <w:rsid w:val="00E42503"/>
    <w:rsid w:val="00E471A5"/>
    <w:rsid w:val="00E515E4"/>
    <w:rsid w:val="00E52952"/>
    <w:rsid w:val="00E52D00"/>
    <w:rsid w:val="00E54352"/>
    <w:rsid w:val="00E55A03"/>
    <w:rsid w:val="00E56F93"/>
    <w:rsid w:val="00E61364"/>
    <w:rsid w:val="00E65605"/>
    <w:rsid w:val="00E665A4"/>
    <w:rsid w:val="00E703AE"/>
    <w:rsid w:val="00E703BF"/>
    <w:rsid w:val="00E7383D"/>
    <w:rsid w:val="00E74350"/>
    <w:rsid w:val="00E77E27"/>
    <w:rsid w:val="00E8028E"/>
    <w:rsid w:val="00E802D4"/>
    <w:rsid w:val="00E8080A"/>
    <w:rsid w:val="00E81618"/>
    <w:rsid w:val="00E83E4B"/>
    <w:rsid w:val="00E84ACA"/>
    <w:rsid w:val="00E860A0"/>
    <w:rsid w:val="00E87384"/>
    <w:rsid w:val="00E90411"/>
    <w:rsid w:val="00E9566B"/>
    <w:rsid w:val="00E968FF"/>
    <w:rsid w:val="00EA2516"/>
    <w:rsid w:val="00EA3953"/>
    <w:rsid w:val="00EA3B44"/>
    <w:rsid w:val="00EA5437"/>
    <w:rsid w:val="00EA5ECA"/>
    <w:rsid w:val="00EA5F13"/>
    <w:rsid w:val="00EA6775"/>
    <w:rsid w:val="00EA71D0"/>
    <w:rsid w:val="00EB0809"/>
    <w:rsid w:val="00EB2FE0"/>
    <w:rsid w:val="00EB4206"/>
    <w:rsid w:val="00EB44EA"/>
    <w:rsid w:val="00EB54CE"/>
    <w:rsid w:val="00EC1B5A"/>
    <w:rsid w:val="00ED0214"/>
    <w:rsid w:val="00ED1120"/>
    <w:rsid w:val="00ED1362"/>
    <w:rsid w:val="00ED1805"/>
    <w:rsid w:val="00ED5BD0"/>
    <w:rsid w:val="00EE16D3"/>
    <w:rsid w:val="00EE3543"/>
    <w:rsid w:val="00EE3F3A"/>
    <w:rsid w:val="00EE5274"/>
    <w:rsid w:val="00EE59DE"/>
    <w:rsid w:val="00EF1BD2"/>
    <w:rsid w:val="00EF347D"/>
    <w:rsid w:val="00EF6132"/>
    <w:rsid w:val="00EF701E"/>
    <w:rsid w:val="00F0029F"/>
    <w:rsid w:val="00F022EE"/>
    <w:rsid w:val="00F061CD"/>
    <w:rsid w:val="00F07D56"/>
    <w:rsid w:val="00F122DF"/>
    <w:rsid w:val="00F13C0C"/>
    <w:rsid w:val="00F175D4"/>
    <w:rsid w:val="00F17EE3"/>
    <w:rsid w:val="00F20775"/>
    <w:rsid w:val="00F20FD5"/>
    <w:rsid w:val="00F22110"/>
    <w:rsid w:val="00F22173"/>
    <w:rsid w:val="00F23AF9"/>
    <w:rsid w:val="00F23AFB"/>
    <w:rsid w:val="00F241C3"/>
    <w:rsid w:val="00F255B5"/>
    <w:rsid w:val="00F26065"/>
    <w:rsid w:val="00F266E8"/>
    <w:rsid w:val="00F27EE5"/>
    <w:rsid w:val="00F32181"/>
    <w:rsid w:val="00F34F9A"/>
    <w:rsid w:val="00F4271E"/>
    <w:rsid w:val="00F44E1D"/>
    <w:rsid w:val="00F45BAB"/>
    <w:rsid w:val="00F45E45"/>
    <w:rsid w:val="00F52A84"/>
    <w:rsid w:val="00F554B4"/>
    <w:rsid w:val="00F55F9C"/>
    <w:rsid w:val="00F569AD"/>
    <w:rsid w:val="00F56D3B"/>
    <w:rsid w:val="00F576B3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4A30"/>
    <w:rsid w:val="00F74C1A"/>
    <w:rsid w:val="00F762E3"/>
    <w:rsid w:val="00F7797A"/>
    <w:rsid w:val="00F81528"/>
    <w:rsid w:val="00F819C1"/>
    <w:rsid w:val="00F82B5B"/>
    <w:rsid w:val="00F8783F"/>
    <w:rsid w:val="00F87CB2"/>
    <w:rsid w:val="00F90358"/>
    <w:rsid w:val="00F912C9"/>
    <w:rsid w:val="00F9211E"/>
    <w:rsid w:val="00F92E3C"/>
    <w:rsid w:val="00F93709"/>
    <w:rsid w:val="00F96AB9"/>
    <w:rsid w:val="00FA0B8F"/>
    <w:rsid w:val="00FA23F9"/>
    <w:rsid w:val="00FA320C"/>
    <w:rsid w:val="00FA5068"/>
    <w:rsid w:val="00FA52AB"/>
    <w:rsid w:val="00FA5EF2"/>
    <w:rsid w:val="00FA672E"/>
    <w:rsid w:val="00FA705F"/>
    <w:rsid w:val="00FA71AF"/>
    <w:rsid w:val="00FA772C"/>
    <w:rsid w:val="00FA7DE7"/>
    <w:rsid w:val="00FB0058"/>
    <w:rsid w:val="00FB5137"/>
    <w:rsid w:val="00FC2905"/>
    <w:rsid w:val="00FC334E"/>
    <w:rsid w:val="00FC34C3"/>
    <w:rsid w:val="00FC63FC"/>
    <w:rsid w:val="00FC7A62"/>
    <w:rsid w:val="00FD119E"/>
    <w:rsid w:val="00FD3FB6"/>
    <w:rsid w:val="00FD5A10"/>
    <w:rsid w:val="00FE3A9E"/>
    <w:rsid w:val="00FE4462"/>
    <w:rsid w:val="00FE4877"/>
    <w:rsid w:val="00FE5188"/>
    <w:rsid w:val="00FE6389"/>
    <w:rsid w:val="00FE6BF4"/>
    <w:rsid w:val="00FE7090"/>
    <w:rsid w:val="00FE74FC"/>
    <w:rsid w:val="00FF0CFC"/>
    <w:rsid w:val="00FF3E61"/>
    <w:rsid w:val="00FF47EF"/>
    <w:rsid w:val="00FF5653"/>
    <w:rsid w:val="00FF5B50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basedOn w:val="DefaultParagraphFont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3899410635746562"/>
          <c:y val="0.11437676707874948"/>
          <c:w val="0.82540578183187752"/>
          <c:h val="0.65631673866871465"/>
        </c:manualLayout>
      </c:layout>
      <c:lineChart>
        <c:grouping val="standard"/>
        <c:ser>
          <c:idx val="0"/>
          <c:order val="0"/>
          <c:tx>
            <c:strRef>
              <c:f>Sheet1!$C$1</c:f>
              <c:strCache>
                <c:ptCount val="1"/>
                <c:pt idx="0">
                  <c:v>رجال</c:v>
                </c:pt>
              </c:strCache>
            </c:strRef>
          </c:tx>
          <c:spPr>
            <a:ln w="12654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4.4131408740590412E-2"/>
                  <c:y val="-3.9013720849147455E-2"/>
                </c:manualLayout>
              </c:layout>
              <c:spPr/>
              <c:txPr>
                <a:bodyPr/>
                <a:lstStyle/>
                <a:p>
                  <a:pPr>
                    <a:defRPr sz="797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 sz="797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1.5</c:v>
                </c:pt>
                <c:pt idx="1">
                  <c:v>1.4000000000000057</c:v>
                </c:pt>
                <c:pt idx="2">
                  <c:v>1.4000000000000057</c:v>
                </c:pt>
                <c:pt idx="3">
                  <c:v>1.2999999999999965</c:v>
                </c:pt>
                <c:pt idx="4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نساء</c:v>
                </c:pt>
              </c:strCache>
            </c:strRef>
          </c:tx>
          <c:spPr>
            <a:ln w="12654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2762454564892409E-2"/>
                  <c:y val="-6.715734715258799E-2"/>
                </c:manualLayout>
              </c:layout>
              <c:spPr/>
              <c:txPr>
                <a:bodyPr/>
                <a:lstStyle/>
                <a:p>
                  <a:pPr>
                    <a:defRPr sz="797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 sz="797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5.0999999999999943</c:v>
                </c:pt>
                <c:pt idx="1">
                  <c:v>4.7999999999999972</c:v>
                </c:pt>
                <c:pt idx="2">
                  <c:v>4.4000000000000075</c:v>
                </c:pt>
                <c:pt idx="3">
                  <c:v>4.2999999999999972</c:v>
                </c:pt>
                <c:pt idx="4">
                  <c:v>4.0999999999999996</c:v>
                </c:pt>
              </c:numCache>
            </c:numRef>
          </c:val>
        </c:ser>
        <c:marker val="1"/>
        <c:axId val="141941760"/>
        <c:axId val="141943936"/>
      </c:lineChart>
      <c:catAx>
        <c:axId val="14194176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السنة</a:t>
                </a:r>
              </a:p>
            </c:rich>
          </c:tx>
          <c:layout>
            <c:manualLayout>
              <c:xMode val="edge"/>
              <c:yMode val="edge"/>
              <c:x val="0.48673577418984265"/>
              <c:y val="0.8940525248715164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797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943936"/>
        <c:crosses val="autoZero"/>
        <c:auto val="1"/>
        <c:lblAlgn val="ctr"/>
        <c:lblOffset val="100"/>
      </c:catAx>
      <c:valAx>
        <c:axId val="141943936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المعدل</a:t>
                </a:r>
              </a:p>
            </c:rich>
          </c:tx>
          <c:layout>
            <c:manualLayout>
              <c:xMode val="edge"/>
              <c:yMode val="edge"/>
              <c:x val="8.5594351211149191E-3"/>
              <c:y val="0.4019846920332564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97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94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4927221471053494"/>
          <c:y val="0.12708629984126243"/>
          <c:w val="0.90834574971057913"/>
          <c:h val="0.26120169110597702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797"/>
          </a:pPr>
          <a:endParaRPr lang="ar-SA"/>
        </a:p>
      </c:txPr>
    </c:legend>
    <c:plotVisOnly val="1"/>
    <c:dispBlanksAs val="gap"/>
  </c:chart>
  <c:spPr>
    <a:noFill/>
    <a:ln>
      <a:solidFill>
        <a:sysClr val="windowText" lastClr="000000">
          <a:tint val="75000"/>
          <a:shade val="95000"/>
          <a:satMod val="105000"/>
        </a:sys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/>
            </a:pPr>
            <a:r>
              <a:rPr lang="ar-SA"/>
              <a:t>السنة</a:t>
            </a:r>
            <a:endParaRPr lang="en-US"/>
          </a:p>
        </c:rich>
      </c:tx>
      <c:layout>
        <c:manualLayout>
          <c:xMode val="edge"/>
          <c:yMode val="edge"/>
          <c:x val="0.43183250608525436"/>
          <c:y val="0.88325082441617875"/>
        </c:manualLayout>
      </c:layout>
    </c:title>
    <c:plotArea>
      <c:layout>
        <c:manualLayout>
          <c:layoutTarget val="inner"/>
          <c:xMode val="edge"/>
          <c:yMode val="edge"/>
          <c:x val="0.13038900011337384"/>
          <c:y val="9.2320355269706361E-2"/>
          <c:w val="0.83377140940505456"/>
          <c:h val="0.6672226870917579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رجال </c:v>
                </c:pt>
              </c:strCache>
            </c:strRef>
          </c:tx>
          <c:marker>
            <c:symbol val="circle"/>
            <c:size val="3"/>
            <c:spPr>
              <a:solidFill>
                <a:schemeClr val="tx2">
                  <a:lumMod val="40000"/>
                  <a:lumOff val="60000"/>
                </a:schemeClr>
              </a:solidFill>
            </c:spPr>
          </c:marker>
          <c:dLbls>
            <c:dLbl>
              <c:idx val="0"/>
              <c:layout>
                <c:manualLayout>
                  <c:x val="-6.4088179952880894E-2"/>
                  <c:y val="-5.2301070612916924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3.414350218236125E-2"/>
                  <c:y val="-5.5144055704180246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0</c:formatCode>
                <c:ptCount val="5"/>
                <c:pt idx="0">
                  <c:v>69.599999999999994</c:v>
                </c:pt>
                <c:pt idx="1">
                  <c:v>69.8</c:v>
                </c:pt>
                <c:pt idx="2">
                  <c:v>70</c:v>
                </c:pt>
                <c:pt idx="3">
                  <c:v>69</c:v>
                </c:pt>
                <c:pt idx="4">
                  <c:v>69.900000000000006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نساء</c:v>
                </c:pt>
              </c:strCache>
            </c:strRef>
          </c:tx>
          <c:marker>
            <c:symbol val="diamond"/>
            <c:size val="3"/>
            <c:spPr>
              <a:solidFill>
                <a:schemeClr val="accent2">
                  <a:lumMod val="40000"/>
                  <a:lumOff val="60000"/>
                </a:schemeClr>
              </a:solidFill>
            </c:spPr>
          </c:marker>
          <c:dLbls>
            <c:dLbl>
              <c:idx val="0"/>
              <c:layout>
                <c:manualLayout>
                  <c:x val="-7.2633579731126913E-2"/>
                  <c:y val="-6.3244153020412475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4.6997998632112722E-2"/>
                  <c:y val="-7.4715815161309609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Sheet1!$C$2:$C$6</c:f>
              <c:numCache>
                <c:formatCode>0</c:formatCode>
                <c:ptCount val="5"/>
                <c:pt idx="0">
                  <c:v>17.7</c:v>
                </c:pt>
                <c:pt idx="1">
                  <c:v>17.100000000000001</c:v>
                </c:pt>
                <c:pt idx="2">
                  <c:v>17.3</c:v>
                </c:pt>
                <c:pt idx="3">
                  <c:v>17.399999999999999</c:v>
                </c:pt>
                <c:pt idx="4">
                  <c:v>18.100000000000001</c:v>
                </c:pt>
              </c:numCache>
            </c:numRef>
          </c:val>
        </c:ser>
        <c:marker val="1"/>
        <c:axId val="141918208"/>
        <c:axId val="141919744"/>
      </c:lineChart>
      <c:catAx>
        <c:axId val="141918208"/>
        <c:scaling>
          <c:orientation val="minMax"/>
        </c:scaling>
        <c:axPos val="b"/>
        <c:numFmt formatCode="General" sourceLinked="1"/>
        <c:majorTickMark val="none"/>
        <c:tickLblPos val="nextTo"/>
        <c:crossAx val="141919744"/>
        <c:crosses val="autoZero"/>
        <c:auto val="1"/>
        <c:lblAlgn val="ctr"/>
        <c:lblOffset val="100"/>
      </c:catAx>
      <c:valAx>
        <c:axId val="1419197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النسبة</a:t>
                </a:r>
              </a:p>
            </c:rich>
          </c:tx>
          <c:layout>
            <c:manualLayout>
              <c:xMode val="edge"/>
              <c:yMode val="edge"/>
              <c:x val="1.5859601708202321E-2"/>
              <c:y val="0.3356753482737736"/>
            </c:manualLayout>
          </c:layout>
        </c:title>
        <c:numFmt formatCode="0" sourceLinked="0"/>
        <c:majorTickMark val="none"/>
        <c:tickLblPos val="nextTo"/>
        <c:crossAx val="14191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38739256602825656"/>
          <c:y val="0.29451618547681552"/>
          <c:w val="0.87115130410678865"/>
          <c:h val="0.40598371357426494"/>
        </c:manualLayout>
      </c:layout>
      <c:spPr>
        <a:noFill/>
        <a:ln>
          <a:solidFill>
            <a:schemeClr val="tx1"/>
          </a:solidFill>
        </a:ln>
      </c:spPr>
    </c:legend>
    <c:plotVisOnly val="1"/>
    <c:dispBlanksAs val="gap"/>
  </c:chart>
  <c:spPr>
    <a:ln>
      <a:solidFill>
        <a:sysClr val="windowText" lastClr="000000"/>
      </a:solidFill>
    </a:ln>
  </c:spPr>
  <c:txPr>
    <a:bodyPr/>
    <a:lstStyle/>
    <a:p>
      <a:pPr>
        <a:defRPr sz="797"/>
      </a:pPr>
      <a:endParaRPr lang="ar-S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97004171955483"/>
          <c:y val="0.17223015702823771"/>
          <c:w val="0.81849471355061865"/>
          <c:h val="0.6218176595064596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نساء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 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رجال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4696959875542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4.2679865387032345E-3"/>
                  <c:y val="3.29292798340571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0"/>
                  <c:y val="2.4696959875542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 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</c:ser>
        <c:axId val="142111104"/>
        <c:axId val="142113024"/>
      </c:barChart>
      <c:catAx>
        <c:axId val="142111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المنطقة</a:t>
                </a:r>
              </a:p>
            </c:rich>
          </c:tx>
          <c:layout>
            <c:manualLayout>
              <c:xMode val="edge"/>
              <c:yMode val="edge"/>
              <c:x val="0.511476779688253"/>
              <c:y val="0.90174155941350742"/>
            </c:manualLayout>
          </c:layout>
        </c:title>
        <c:numFmt formatCode="General" sourceLinked="1"/>
        <c:majorTickMark val="none"/>
        <c:tickLblPos val="nextTo"/>
        <c:crossAx val="142113024"/>
        <c:crosses val="autoZero"/>
        <c:auto val="1"/>
        <c:lblAlgn val="ctr"/>
        <c:lblOffset val="100"/>
      </c:catAx>
      <c:valAx>
        <c:axId val="1421130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النسبة</a:t>
                </a:r>
              </a:p>
            </c:rich>
          </c:tx>
        </c:title>
        <c:numFmt formatCode="General" sourceLinked="1"/>
        <c:tickLblPos val="nextTo"/>
        <c:crossAx val="14211110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wMode val="edge"/>
          <c:hMode val="edge"/>
          <c:x val="0.22021318763725967"/>
          <c:y val="4.8497612497233042E-2"/>
          <c:w val="0.8291981359472923"/>
          <c:h val="0.11065026510240435"/>
        </c:manualLayout>
      </c:layout>
      <c:spPr>
        <a:ln>
          <a:solidFill>
            <a:schemeClr val="accent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798">
          <a:cs typeface="+mn-cs"/>
        </a:defRPr>
      </a:pPr>
      <a:endParaRPr lang="ar-SA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37388079669218088"/>
          <c:y val="3.2311549223164204E-2"/>
          <c:w val="0.58472077896832952"/>
          <c:h val="0.81143433583893443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4.1842465423956423E-3"/>
                  <c:y val="-1.266496238157137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3684930847913227E-3"/>
                  <c:y val="-1.899744357235707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1842465423956423E-3"/>
                  <c:y val="-1.899744357235707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2552739627186929E-2"/>
                  <c:y val="-1.899744357235707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8.3684930847913227E-3"/>
                  <c:y val="-6.3324811907857024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8.3684930847913227E-3"/>
                  <c:y val="6.3324811907857024E-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2552739627186929E-2"/>
                  <c:y val="0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4.1842024444862531E-3"/>
                  <c:y val="-1.5980440947386123E-2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2552739627186929E-2"/>
                  <c:y val="-2.5329924763142778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1.2552739627186929E-2"/>
                  <c:y val="-2.5329924763142764E-2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1.6736986169582569E-2"/>
                  <c:y val="-1.899744357235707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799" b="0"/>
                </a:pPr>
                <a:endParaRPr lang="ar-SA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خانيونس</c:v>
                </c:pt>
                <c:pt idx="1">
                  <c:v>غزة  </c:v>
                </c:pt>
                <c:pt idx="2">
                  <c:v>الخليل </c:v>
                </c:pt>
                <c:pt idx="3">
                  <c:v>رفح</c:v>
                </c:pt>
                <c:pt idx="4">
                  <c:v>شمال غزة </c:v>
                </c:pt>
                <c:pt idx="5">
                  <c:v>دير البلح</c:v>
                </c:pt>
                <c:pt idx="6">
                  <c:v>جنين </c:v>
                </c:pt>
                <c:pt idx="7">
                  <c:v>قلقيلية</c:v>
                </c:pt>
                <c:pt idx="8">
                  <c:v>طولكرم</c:v>
                </c:pt>
                <c:pt idx="9">
                  <c:v>نابلس</c:v>
                </c:pt>
                <c:pt idx="10">
                  <c:v>أريحا والأغوار</c:v>
                </c:pt>
                <c:pt idx="11">
                  <c:v>بيت لحم</c:v>
                </c:pt>
                <c:pt idx="12">
                  <c:v>طوباس والأغوار الشمالية</c:v>
                </c:pt>
                <c:pt idx="13">
                  <c:v>رام الله والبيرة </c:v>
                </c:pt>
                <c:pt idx="14">
                  <c:v>سلفيت </c:v>
                </c:pt>
                <c:pt idx="15">
                  <c:v>القدس </c:v>
                </c:pt>
              </c:strCache>
            </c:strRef>
          </c:cat>
          <c:val>
            <c:numRef>
              <c:f>Sheet1!$B$2:$B$17</c:f>
              <c:numCache>
                <c:formatCode>0</c:formatCode>
                <c:ptCount val="16"/>
                <c:pt idx="0">
                  <c:v>41.3</c:v>
                </c:pt>
                <c:pt idx="1">
                  <c:v>40.200000000000003</c:v>
                </c:pt>
                <c:pt idx="2">
                  <c:v>37.200000000000003</c:v>
                </c:pt>
                <c:pt idx="3">
                  <c:v>36.4</c:v>
                </c:pt>
                <c:pt idx="4">
                  <c:v>34.5</c:v>
                </c:pt>
                <c:pt idx="5">
                  <c:v>29.9</c:v>
                </c:pt>
                <c:pt idx="6">
                  <c:v>26.8</c:v>
                </c:pt>
                <c:pt idx="7">
                  <c:v>23.7</c:v>
                </c:pt>
                <c:pt idx="8">
                  <c:v>23.4</c:v>
                </c:pt>
                <c:pt idx="9">
                  <c:v>23</c:v>
                </c:pt>
                <c:pt idx="10">
                  <c:v>22.9</c:v>
                </c:pt>
                <c:pt idx="11">
                  <c:v>22.4</c:v>
                </c:pt>
                <c:pt idx="12">
                  <c:v>17.7</c:v>
                </c:pt>
                <c:pt idx="13">
                  <c:v>16.899999999999999</c:v>
                </c:pt>
                <c:pt idx="14">
                  <c:v>12.3</c:v>
                </c:pt>
                <c:pt idx="15">
                  <c:v>11.1</c:v>
                </c:pt>
              </c:numCache>
            </c:numRef>
          </c:val>
        </c:ser>
        <c:gapWidth val="151"/>
        <c:axId val="142035200"/>
        <c:axId val="142049280"/>
      </c:barChart>
      <c:catAx>
        <c:axId val="14203520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2049280"/>
        <c:crosses val="autoZero"/>
        <c:auto val="1"/>
        <c:lblAlgn val="ctr"/>
        <c:lblOffset val="100"/>
      </c:catAx>
      <c:valAx>
        <c:axId val="142049280"/>
        <c:scaling>
          <c:orientation val="minMax"/>
        </c:scaling>
        <c:axPos val="b"/>
        <c:numFmt formatCode="0" sourceLinked="1"/>
        <c:tickLblPos val="nextTo"/>
        <c:txPr>
          <a:bodyPr/>
          <a:lstStyle/>
          <a:p>
            <a:pPr>
              <a:defRPr sz="699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2035200"/>
        <c:crosses val="autoZero"/>
        <c:crossBetween val="between"/>
        <c:majorUnit val="10"/>
      </c:valAx>
    </c:plotArea>
    <c:plotVisOnly val="1"/>
    <c:dispBlanksAs val="gap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0.07703</cdr:x>
      <cdr:y>0.21757</cdr:y>
    </cdr:from>
    <cdr:to>
      <cdr:x>0.15178</cdr:x>
      <cdr:y>0.53402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74189" y="878448"/>
          <a:ext cx="834042" cy="224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ar-SA" sz="800" b="1">
              <a:latin typeface="Arial" pitchFamily="34" charset="0"/>
              <a:cs typeface="Arial" pitchFamily="34" charset="0"/>
            </a:rPr>
            <a:t>المحافظة</a:t>
          </a:r>
          <a:endParaRPr lang="ar-SA" sz="5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0.52545</cdr:x>
      <cdr:y>0.91228</cdr:y>
    </cdr:from>
    <cdr:to>
      <cdr:x>0.73827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94608" y="1722783"/>
          <a:ext cx="645855" cy="165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ar-SA" sz="700" b="1">
              <a:latin typeface="Arial" pitchFamily="34" charset="0"/>
              <a:cs typeface="Arial" pitchFamily="34" charset="0"/>
            </a:rPr>
            <a:t>النسبة</a:t>
          </a:r>
          <a:r>
            <a:rPr lang="ar-SA" sz="800" b="1">
              <a:latin typeface="Arial" pitchFamily="34" charset="0"/>
              <a:cs typeface="Arial" pitchFamily="34" charset="0"/>
            </a:rPr>
            <a:t> </a:t>
          </a:r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5F507-575C-497F-9CF6-A8B4486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adwikat</cp:lastModifiedBy>
  <cp:revision>2</cp:revision>
  <cp:lastPrinted>2020-03-04T11:42:00Z</cp:lastPrinted>
  <dcterms:created xsi:type="dcterms:W3CDTF">2020-03-05T09:18:00Z</dcterms:created>
  <dcterms:modified xsi:type="dcterms:W3CDTF">2020-03-05T09:18:00Z</dcterms:modified>
</cp:coreProperties>
</file>