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9F" w:rsidRDefault="0017379F" w:rsidP="0017379F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bookmarkStart w:id="0" w:name="OLE_LINK3"/>
      <w:bookmarkStart w:id="1" w:name="OLE_LINK4"/>
    </w:p>
    <w:p w:rsidR="0017379F" w:rsidRDefault="0017379F" w:rsidP="0017379F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79F" w:rsidRPr="0017379F" w:rsidRDefault="0017379F" w:rsidP="0017379F">
      <w:pPr>
        <w:pStyle w:val="Header"/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7379F" w:rsidRDefault="0017379F" w:rsidP="0017379F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7379F" w:rsidRDefault="0017379F" w:rsidP="0017379F">
      <w:pPr>
        <w:pStyle w:val="Header"/>
        <w:bidi/>
        <w:jc w:val="center"/>
        <w:rPr>
          <w:rFonts w:ascii="Arial" w:hAnsi="Arial" w:cs="Arial"/>
          <w:sz w:val="32"/>
          <w:szCs w:val="32"/>
          <w:rtl/>
        </w:rPr>
      </w:pPr>
      <w:r w:rsidRPr="001737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الفلسطيني: إرتفاع الرقم القياسي لكميات الإنتاج الصناعي في فلسطين </w:t>
      </w:r>
    </w:p>
    <w:p w:rsidR="0017379F" w:rsidRPr="0017379F" w:rsidRDefault="0017379F" w:rsidP="0017379F">
      <w:pPr>
        <w:pStyle w:val="Header"/>
        <w:bidi/>
        <w:jc w:val="center"/>
        <w:rPr>
          <w:sz w:val="32"/>
          <w:szCs w:val="32"/>
        </w:rPr>
      </w:pPr>
      <w:r w:rsidRPr="001737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آب</w:t>
      </w:r>
      <w:r w:rsidRPr="001737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08</w:t>
      </w:r>
      <w:r w:rsidRPr="0017379F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3567A3" w:rsidRPr="0017379F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567A3" w:rsidRPr="0017379F" w:rsidRDefault="003567A3" w:rsidP="007D39A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لكميات الإنتاج الصناعي </w:t>
      </w:r>
      <w:r w:rsidR="00B9409D" w:rsidRPr="0017379F">
        <w:rPr>
          <w:rFonts w:ascii="Simplified Arabic" w:hAnsi="Simplified Arabic" w:cs="Simplified Arabic"/>
          <w:sz w:val="24"/>
          <w:szCs w:val="24"/>
          <w:rtl/>
        </w:rPr>
        <w:t>ارتفاعاً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9409D" w:rsidRPr="0017379F">
        <w:rPr>
          <w:rFonts w:ascii="Simplified Arabic" w:hAnsi="Simplified Arabic" w:cs="Simplified Arabic"/>
          <w:sz w:val="24"/>
          <w:szCs w:val="24"/>
          <w:rtl/>
        </w:rPr>
        <w:t>نسبته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16.97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تموز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2017، إذ </w:t>
      </w:r>
      <w:r w:rsidR="00B9409D" w:rsidRPr="0017379F">
        <w:rPr>
          <w:rFonts w:ascii="Simplified Arabic" w:hAnsi="Simplified Arabic" w:cs="Simplified Arabic"/>
          <w:sz w:val="24"/>
          <w:szCs w:val="24"/>
          <w:rtl/>
        </w:rPr>
        <w:t>ارتفع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لكميات الإنتاج الصناعي إلى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124.42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 </w:t>
      </w:r>
      <w:r w:rsidR="007E4D45" w:rsidRPr="0017379F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proofErr w:type="spellStart"/>
      <w:r w:rsidRPr="0017379F">
        <w:rPr>
          <w:rFonts w:ascii="Simplified Arabic" w:hAnsi="Simplified Arabic" w:cs="Simplified Arabic"/>
          <w:sz w:val="24"/>
          <w:szCs w:val="24"/>
          <w:rtl/>
        </w:rPr>
        <w:t>ب</w:t>
      </w:r>
      <w:r w:rsidR="007E4D45" w:rsidRPr="0017379F">
        <w:rPr>
          <w:rFonts w:ascii="Simplified Arabic" w:hAnsi="Simplified Arabic" w:cs="Simplified Arabic"/>
          <w:sz w:val="24"/>
          <w:szCs w:val="24"/>
          <w:rtl/>
        </w:rPr>
        <w:t>ــ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ـ</w:t>
      </w:r>
      <w:proofErr w:type="spellEnd"/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3F24" w:rsidRPr="0017379F">
        <w:rPr>
          <w:rFonts w:ascii="Simplified Arabic" w:hAnsi="Simplified Arabic" w:cs="Simplified Arabic"/>
          <w:sz w:val="24"/>
          <w:szCs w:val="24"/>
          <w:rtl/>
        </w:rPr>
        <w:t>106.37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7D39AC" w:rsidRPr="0017379F">
        <w:rPr>
          <w:rFonts w:ascii="Simplified Arabic" w:hAnsi="Simplified Arabic" w:cs="Simplified Arabic"/>
          <w:sz w:val="24"/>
          <w:szCs w:val="24"/>
          <w:rtl/>
        </w:rPr>
        <w:t>تموز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 (شهر الأساس كانون أول 2015 = 100)</w:t>
      </w:r>
      <w:r w:rsidRPr="0017379F">
        <w:rPr>
          <w:rFonts w:ascii="Simplified Arabic" w:hAnsi="Simplified Arabic" w:cs="Simplified Arabic"/>
          <w:sz w:val="24"/>
          <w:szCs w:val="24"/>
        </w:rPr>
        <w:t>.</w:t>
      </w:r>
    </w:p>
    <w:p w:rsidR="003567A3" w:rsidRPr="0017379F" w:rsidRDefault="003567A3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17379F" w:rsidRDefault="003567A3" w:rsidP="007F7D6B">
      <w:pPr>
        <w:pStyle w:val="Heading9"/>
        <w:jc w:val="both"/>
        <w:rPr>
          <w:rFonts w:ascii="Simplified Arabic" w:hAnsi="Simplified Arabic"/>
          <w:sz w:val="25"/>
          <w:szCs w:val="25"/>
          <w:rtl/>
        </w:rPr>
      </w:pPr>
      <w:r w:rsidRPr="0017379F">
        <w:rPr>
          <w:rFonts w:ascii="Simplified Arabic" w:hAnsi="Simplified Arabic"/>
          <w:sz w:val="25"/>
          <w:szCs w:val="25"/>
          <w:rtl/>
        </w:rPr>
        <w:t>حركة كميات الإنتاج الصناعي على مستوى الأنشطة الاقتصادية الرئيسية</w:t>
      </w:r>
    </w:p>
    <w:p w:rsidR="007D39AC" w:rsidRPr="0017379F" w:rsidRDefault="007D39AC" w:rsidP="005E29E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>سجل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ت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 xml:space="preserve">أنشطة </w:t>
      </w:r>
      <w:r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ارتفاعاً حاداً نسبته 169.94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% والتي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ا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النسبية 11.98% من إجمالي أنشطة الصناعة.</w:t>
      </w:r>
    </w:p>
    <w:p w:rsidR="007D39AC" w:rsidRPr="0017379F" w:rsidRDefault="007D39AC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36D0" w:rsidRPr="0017379F" w:rsidRDefault="005336D0" w:rsidP="005E29E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>كما سجل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ت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 xml:space="preserve">أنشطة </w:t>
      </w:r>
      <w:r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التعدين واستغلال المحاجر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ارتفاعاً حاداً نسبته 50.00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% والتي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ا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النسبية 4.06% من إجمالي أنشطة الصناعة.</w:t>
      </w:r>
    </w:p>
    <w:p w:rsidR="005336D0" w:rsidRPr="0017379F" w:rsidRDefault="005336D0" w:rsidP="005336D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17379F" w:rsidRDefault="005336D0" w:rsidP="005336D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>و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>سجل</w:t>
      </w:r>
      <w:r w:rsidR="00C3049D" w:rsidRPr="0017379F">
        <w:rPr>
          <w:rFonts w:ascii="Simplified Arabic" w:hAnsi="Simplified Arabic" w:cs="Simplified Arabic"/>
          <w:sz w:val="24"/>
          <w:szCs w:val="24"/>
          <w:rtl/>
        </w:rPr>
        <w:t>ت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4463A" w:rsidRPr="0017379F">
        <w:rPr>
          <w:rFonts w:ascii="Simplified Arabic" w:hAnsi="Simplified Arabic" w:cs="Simplified Arabic"/>
          <w:sz w:val="24"/>
          <w:szCs w:val="24"/>
          <w:rtl/>
        </w:rPr>
        <w:t>أنشطة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567A3"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إمدادات المياه </w:t>
      </w:r>
      <w:r w:rsidR="0094463A"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>و</w:t>
      </w:r>
      <w:r w:rsidR="003567A3"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الصرف الصحي وإدارة النفايات ومعالجتها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ارتفاعاً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نسبته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13.35</w:t>
      </w:r>
      <w:r w:rsidR="005E29EC" w:rsidRPr="0017379F">
        <w:rPr>
          <w:rFonts w:ascii="Simplified Arabic" w:hAnsi="Simplified Arabic" w:cs="Simplified Arabic"/>
          <w:sz w:val="24"/>
          <w:szCs w:val="24"/>
          <w:rtl/>
        </w:rPr>
        <w:t>% والتي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6E31A8" w:rsidRPr="0017379F">
        <w:rPr>
          <w:rFonts w:ascii="Simplified Arabic" w:hAnsi="Simplified Arabic" w:cs="Simplified Arabic"/>
          <w:sz w:val="24"/>
          <w:szCs w:val="24"/>
          <w:rtl/>
        </w:rPr>
        <w:t>ا</w:t>
      </w:r>
      <w:r w:rsidR="003567A3" w:rsidRPr="0017379F">
        <w:rPr>
          <w:rFonts w:ascii="Simplified Arabic" w:hAnsi="Simplified Arabic" w:cs="Simplified Arabic"/>
          <w:sz w:val="24"/>
          <w:szCs w:val="24"/>
          <w:rtl/>
        </w:rPr>
        <w:t xml:space="preserve"> النسبية 0.78% من إجمالي أنشطة الصناعة.</w:t>
      </w:r>
    </w:p>
    <w:p w:rsidR="005336D0" w:rsidRPr="0017379F" w:rsidRDefault="005336D0" w:rsidP="005336D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36D0" w:rsidRPr="0017379F" w:rsidRDefault="005336D0" w:rsidP="005336D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سجلت أنشطة </w:t>
      </w:r>
      <w:r w:rsidRPr="001737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الصناعات التحويلية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ارتفاعاً نسبته 6.74% خلال شهر آب 2017 مقارنة بالشهر السابق والتي تشكل أهميتها النسبية 83.19% من إجمالي أنشطة الصناعة.</w:t>
      </w:r>
    </w:p>
    <w:p w:rsidR="007F7D6B" w:rsidRPr="0017379F" w:rsidRDefault="007F7D6B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70B7" w:rsidRPr="0017379F" w:rsidRDefault="003567A3" w:rsidP="006570B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 w:rsidR="00FA635A" w:rsidRPr="0017379F">
        <w:rPr>
          <w:rFonts w:ascii="Simplified Arabic" w:hAnsi="Simplified Arabic" w:cs="Simplified Arabic"/>
          <w:sz w:val="24"/>
          <w:szCs w:val="24"/>
          <w:rtl/>
        </w:rPr>
        <w:t>ارتفاعاً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آب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تموز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2017 أهمها </w:t>
      </w:r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صناعة المنتجات الصيدلانية الأساسية ومستحضراتها، صناعة منتجات المعادن المشكلة عدا </w:t>
      </w:r>
      <w:proofErr w:type="spellStart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الماكنات</w:t>
      </w:r>
      <w:proofErr w:type="spellEnd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والمعدات،</w:t>
      </w:r>
      <w:proofErr w:type="spellEnd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 صناعة منتجات المعادن </w:t>
      </w:r>
      <w:proofErr w:type="spellStart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اللافلزية</w:t>
      </w:r>
      <w:proofErr w:type="spellEnd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الأخرى،</w:t>
      </w:r>
      <w:proofErr w:type="spellEnd"/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 نشاط الطباعة واستنساخ وسائط الأعلام المسجلة، 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صناعة المنتجات الغذائية، </w:t>
      </w:r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>صناعة الأثاث، صناعة المشروبات، وصناعة الكيماويات والمنتجات الكيميائية.</w:t>
      </w:r>
    </w:p>
    <w:p w:rsidR="003567A3" w:rsidRPr="0017379F" w:rsidRDefault="003567A3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17379F" w:rsidRDefault="003567A3" w:rsidP="006570B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من ناحية أخرى سجل الرقم القياسي لكميات الإنتاج الصناعي </w:t>
      </w:r>
      <w:r w:rsidR="000B171B" w:rsidRPr="0017379F">
        <w:rPr>
          <w:rFonts w:ascii="Simplified Arabic" w:hAnsi="Simplified Arabic" w:cs="Simplified Arabic"/>
          <w:sz w:val="24"/>
          <w:szCs w:val="24"/>
          <w:rtl/>
        </w:rPr>
        <w:t>انخفاضاً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في </w:t>
      </w:r>
      <w:r w:rsidR="00731C12" w:rsidRPr="0017379F">
        <w:rPr>
          <w:rFonts w:ascii="Simplified Arabic" w:hAnsi="Simplified Arabic" w:cs="Simplified Arabic"/>
          <w:sz w:val="24"/>
          <w:szCs w:val="24"/>
          <w:rtl/>
        </w:rPr>
        <w:t>بعض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 xml:space="preserve"> أنشطة الصناعات التحويلية </w:t>
      </w:r>
      <w:r w:rsidR="00731C12" w:rsidRPr="0017379F">
        <w:rPr>
          <w:rFonts w:ascii="Simplified Arabic" w:hAnsi="Simplified Arabic" w:cs="Simplified Arabic"/>
          <w:sz w:val="24"/>
          <w:szCs w:val="24"/>
          <w:rtl/>
        </w:rPr>
        <w:t>منها</w:t>
      </w:r>
      <w:r w:rsidR="006570B7" w:rsidRPr="0017379F">
        <w:rPr>
          <w:rFonts w:ascii="Simplified Arabic" w:hAnsi="Simplified Arabic" w:cs="Simplified Arabic"/>
          <w:sz w:val="24"/>
          <w:szCs w:val="24"/>
          <w:rtl/>
        </w:rPr>
        <w:t xml:space="preserve"> صناعة منتجات التبغ، صناعة منتجات المطاط واللدائن، وصناعة الملابس</w:t>
      </w:r>
      <w:r w:rsidRPr="0017379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056C8" w:rsidRDefault="004056C8" w:rsidP="004056C8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7379F" w:rsidRDefault="0017379F" w:rsidP="0017379F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64344" w:rsidRPr="0017379F" w:rsidRDefault="00A64344" w:rsidP="00A64344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64344" w:rsidRDefault="003567A3" w:rsidP="0017379F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</w:pPr>
      <w:r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الجدول أدناه يوضح نسب التغ</w:t>
      </w:r>
      <w:r w:rsidR="007F7D6B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ّ</w:t>
      </w:r>
      <w:r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ير الشهرية في الرقم القياسي لكميات الإنتاج الصناعي </w:t>
      </w:r>
    </w:p>
    <w:p w:rsidR="007E4D45" w:rsidRDefault="00A64344" w:rsidP="00A64344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خلال الفترة من</w:t>
      </w:r>
      <w:r w:rsidR="00B437DA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3567A3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كانون ثاني </w:t>
      </w:r>
      <w:proofErr w:type="spellStart"/>
      <w:r w:rsidR="003567A3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–</w:t>
      </w:r>
      <w:proofErr w:type="spellEnd"/>
      <w:r w:rsidR="003567A3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2F4BEA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آب</w:t>
      </w:r>
      <w:r w:rsidR="003567A3" w:rsidRPr="0017379F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2017:</w:t>
      </w:r>
    </w:p>
    <w:p w:rsidR="0017379F" w:rsidRPr="00A64344" w:rsidRDefault="0017379F" w:rsidP="0017379F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  <w:lang w:eastAsia="ar-SA"/>
        </w:rPr>
      </w:pPr>
    </w:p>
    <w:tbl>
      <w:tblPr>
        <w:bidiVisual/>
        <w:tblW w:w="5670" w:type="dxa"/>
        <w:jc w:val="center"/>
        <w:tblInd w:w="-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79"/>
        <w:gridCol w:w="2891"/>
      </w:tblGrid>
      <w:tr w:rsidR="003567A3" w:rsidRPr="0017379F" w:rsidTr="00A64344">
        <w:trPr>
          <w:tblHeader/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2891" w:type="dxa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نسبة التغ</w:t>
            </w:r>
            <w:r w:rsidR="007F7D6B"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ّ</w:t>
            </w:r>
            <w:r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ير</w:t>
            </w:r>
            <w:r w:rsidR="007F7D6B"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الشهرية </w:t>
            </w:r>
            <w:proofErr w:type="spellStart"/>
            <w:r w:rsidRPr="0017379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%</w:t>
            </w:r>
            <w:proofErr w:type="spellEnd"/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+ 4.80</w:t>
            </w:r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- 6.11</w:t>
            </w:r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+ 8.08</w:t>
            </w:r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- 6.36</w:t>
            </w:r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</w:tr>
      <w:tr w:rsidR="003567A3" w:rsidRPr="0017379F" w:rsidTr="00A64344">
        <w:trPr>
          <w:jc w:val="center"/>
        </w:trPr>
        <w:tc>
          <w:tcPr>
            <w:tcW w:w="2779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2891" w:type="dxa"/>
            <w:vAlign w:val="center"/>
          </w:tcPr>
          <w:p w:rsidR="003567A3" w:rsidRPr="0017379F" w:rsidRDefault="003567A3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- 11.23</w:t>
            </w:r>
          </w:p>
        </w:tc>
      </w:tr>
      <w:tr w:rsidR="00C76741" w:rsidRPr="0017379F" w:rsidTr="00A64344">
        <w:trPr>
          <w:jc w:val="center"/>
        </w:trPr>
        <w:tc>
          <w:tcPr>
            <w:tcW w:w="2779" w:type="dxa"/>
            <w:vAlign w:val="center"/>
          </w:tcPr>
          <w:p w:rsidR="00C76741" w:rsidRPr="0017379F" w:rsidRDefault="00C76741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2891" w:type="dxa"/>
            <w:vAlign w:val="center"/>
          </w:tcPr>
          <w:p w:rsidR="00C76741" w:rsidRPr="0017379F" w:rsidRDefault="00C76741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+ 15.25</w:t>
            </w:r>
          </w:p>
        </w:tc>
      </w:tr>
      <w:tr w:rsidR="002F4BEA" w:rsidRPr="0017379F" w:rsidTr="00A64344">
        <w:trPr>
          <w:jc w:val="center"/>
        </w:trPr>
        <w:tc>
          <w:tcPr>
            <w:tcW w:w="2779" w:type="dxa"/>
            <w:vAlign w:val="center"/>
          </w:tcPr>
          <w:p w:rsidR="002F4BEA" w:rsidRPr="0017379F" w:rsidRDefault="002F4BEA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2891" w:type="dxa"/>
            <w:vAlign w:val="center"/>
          </w:tcPr>
          <w:p w:rsidR="002F4BEA" w:rsidRPr="0017379F" w:rsidRDefault="002F4BEA" w:rsidP="0017379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7379F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+ 16.97</w:t>
            </w:r>
          </w:p>
        </w:tc>
      </w:tr>
    </w:tbl>
    <w:p w:rsidR="00731C12" w:rsidRPr="0017379F" w:rsidRDefault="00731C12" w:rsidP="0017379F">
      <w:pPr>
        <w:pStyle w:val="Header"/>
        <w:tabs>
          <w:tab w:val="clear" w:pos="4680"/>
          <w:tab w:val="clear" w:pos="9360"/>
          <w:tab w:val="left" w:pos="4445"/>
        </w:tabs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F7D6B" w:rsidRPr="0017379F" w:rsidRDefault="003567A3" w:rsidP="002F4BEA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لكميات الإنتاج الصناعي في فلسطين للأشهر: </w:t>
      </w:r>
      <w:r w:rsidR="002F4BEA"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>آب</w:t>
      </w:r>
      <w:r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– </w:t>
      </w:r>
      <w:r w:rsidR="002F4BEA"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>آب</w:t>
      </w:r>
      <w:r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4865C6" w:rsidRPr="0017379F" w:rsidRDefault="003567A3" w:rsidP="0017379F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7379F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100 )</w:t>
      </w:r>
    </w:p>
    <w:p w:rsidR="007F7D6B" w:rsidRPr="0017379F" w:rsidRDefault="007F7D6B" w:rsidP="007F7D6B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Ind w:w="-568" w:type="dxa"/>
        <w:tblLayout w:type="fixed"/>
        <w:tblLook w:val="04A0"/>
      </w:tblPr>
      <w:tblGrid>
        <w:gridCol w:w="5223"/>
      </w:tblGrid>
      <w:tr w:rsidR="007F7D6B" w:rsidRPr="0017379F" w:rsidTr="0017379F">
        <w:trPr>
          <w:jc w:val="center"/>
        </w:trPr>
        <w:tc>
          <w:tcPr>
            <w:tcW w:w="5223" w:type="dxa"/>
          </w:tcPr>
          <w:p w:rsidR="007F7D6B" w:rsidRPr="0017379F" w:rsidRDefault="007F7D6B" w:rsidP="007F7D6B">
            <w:pPr>
              <w:pStyle w:val="Header"/>
              <w:tabs>
                <w:tab w:val="left" w:pos="59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7379F"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inline distT="0" distB="0" distL="0" distR="0">
                  <wp:extent cx="2725947" cy="2838091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17379F" w:rsidRDefault="0017379F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825D5E" w:rsidRPr="0017379F" w:rsidRDefault="007F7D6B" w:rsidP="0017379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  <w:r w:rsidRPr="0017379F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تنويه:</w:t>
      </w:r>
    </w:p>
    <w:p w:rsidR="007F7D6B" w:rsidRPr="0017379F" w:rsidRDefault="007F7D6B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20"/>
          <w:szCs w:val="20"/>
        </w:rPr>
      </w:pPr>
      <w:r w:rsidRPr="0017379F">
        <w:rPr>
          <w:rFonts w:ascii="Simplified Arabic" w:hAnsi="Simplified Arabic" w:cs="Simplified Arabic"/>
          <w:sz w:val="20"/>
          <w:szCs w:val="20"/>
          <w:rtl/>
        </w:rPr>
        <w:t xml:space="preserve">الأهمية النسبية للأنشطة تمثل التوزيع النسبي للقيمة المضافة للأنشطة الصناعية في العام 2013. </w:t>
      </w:r>
    </w:p>
    <w:p w:rsidR="003567A3" w:rsidRPr="0017379F" w:rsidRDefault="003567A3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r w:rsidRPr="0017379F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</w:p>
    <w:bookmarkEnd w:id="0"/>
    <w:bookmarkEnd w:id="1"/>
    <w:p w:rsidR="00A006DA" w:rsidRPr="0017379F" w:rsidRDefault="00A006DA" w:rsidP="003567A3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17379F" w:rsidSect="0017379F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81" w:rsidRDefault="009B6B81" w:rsidP="0089530C">
      <w:r>
        <w:separator/>
      </w:r>
    </w:p>
  </w:endnote>
  <w:endnote w:type="continuationSeparator" w:id="0">
    <w:p w:rsidR="009B6B81" w:rsidRDefault="009B6B8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A" w:rsidRDefault="00E421F0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4B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BEA" w:rsidRDefault="00E421F0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F4B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BEA" w:rsidRDefault="002F4BEA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A" w:rsidRDefault="00E421F0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F4B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344">
      <w:rPr>
        <w:rStyle w:val="PageNumber"/>
        <w:noProof/>
      </w:rPr>
      <w:t>1</w:t>
    </w:r>
    <w:r>
      <w:rPr>
        <w:rStyle w:val="PageNumber"/>
      </w:rPr>
      <w:fldChar w:fldCharType="end"/>
    </w:r>
  </w:p>
  <w:p w:rsidR="002F4BEA" w:rsidRDefault="00E421F0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2F4BEA" w:rsidRDefault="002F4BEA" w:rsidP="00D33F24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05/10/2017</w:t>
                </w:r>
              </w:p>
            </w:txbxContent>
          </v:textbox>
        </v:shape>
      </w:pict>
    </w:r>
    <w:r w:rsidR="002F4BEA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81" w:rsidRDefault="009B6B81" w:rsidP="0089530C">
      <w:r>
        <w:separator/>
      </w:r>
    </w:p>
  </w:footnote>
  <w:footnote w:type="continuationSeparator" w:id="0">
    <w:p w:rsidR="009B6B81" w:rsidRDefault="009B6B8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A" w:rsidRDefault="002F4BEA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1F0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E421F0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2F4BEA" w:rsidRDefault="002F4BEA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66B9A"/>
    <w:rsid w:val="000753B8"/>
    <w:rsid w:val="000B0833"/>
    <w:rsid w:val="000B171B"/>
    <w:rsid w:val="000F2B27"/>
    <w:rsid w:val="000F44DB"/>
    <w:rsid w:val="001156C2"/>
    <w:rsid w:val="00133A6B"/>
    <w:rsid w:val="00164DF7"/>
    <w:rsid w:val="0017379F"/>
    <w:rsid w:val="00180D60"/>
    <w:rsid w:val="00183FC3"/>
    <w:rsid w:val="001A538A"/>
    <w:rsid w:val="0020755C"/>
    <w:rsid w:val="00215983"/>
    <w:rsid w:val="002662AF"/>
    <w:rsid w:val="002A334A"/>
    <w:rsid w:val="002B1856"/>
    <w:rsid w:val="002C2373"/>
    <w:rsid w:val="002D2E6B"/>
    <w:rsid w:val="002F4BEA"/>
    <w:rsid w:val="003261C5"/>
    <w:rsid w:val="00332C2B"/>
    <w:rsid w:val="00346CBA"/>
    <w:rsid w:val="003567A3"/>
    <w:rsid w:val="003717C5"/>
    <w:rsid w:val="00373661"/>
    <w:rsid w:val="003C749E"/>
    <w:rsid w:val="003D15F4"/>
    <w:rsid w:val="003E6EF8"/>
    <w:rsid w:val="004056C8"/>
    <w:rsid w:val="0043166F"/>
    <w:rsid w:val="0043593A"/>
    <w:rsid w:val="0047198E"/>
    <w:rsid w:val="004865C6"/>
    <w:rsid w:val="004878F9"/>
    <w:rsid w:val="004879CD"/>
    <w:rsid w:val="00491506"/>
    <w:rsid w:val="004A7EF8"/>
    <w:rsid w:val="004C5387"/>
    <w:rsid w:val="004F6543"/>
    <w:rsid w:val="005336D0"/>
    <w:rsid w:val="00544D02"/>
    <w:rsid w:val="0056647A"/>
    <w:rsid w:val="005E29EC"/>
    <w:rsid w:val="00606C0A"/>
    <w:rsid w:val="006570B7"/>
    <w:rsid w:val="006604BA"/>
    <w:rsid w:val="006A5C89"/>
    <w:rsid w:val="006E31A8"/>
    <w:rsid w:val="006F4D70"/>
    <w:rsid w:val="00703C98"/>
    <w:rsid w:val="00716017"/>
    <w:rsid w:val="00717991"/>
    <w:rsid w:val="007230D4"/>
    <w:rsid w:val="00726035"/>
    <w:rsid w:val="00731C12"/>
    <w:rsid w:val="007441E1"/>
    <w:rsid w:val="00787D17"/>
    <w:rsid w:val="00791F9B"/>
    <w:rsid w:val="007D39AC"/>
    <w:rsid w:val="007E4D45"/>
    <w:rsid w:val="007E5AC9"/>
    <w:rsid w:val="007F7D6B"/>
    <w:rsid w:val="00825D5E"/>
    <w:rsid w:val="008268B0"/>
    <w:rsid w:val="00880E5E"/>
    <w:rsid w:val="008813B3"/>
    <w:rsid w:val="0089530C"/>
    <w:rsid w:val="008A456C"/>
    <w:rsid w:val="008F3B41"/>
    <w:rsid w:val="00927B97"/>
    <w:rsid w:val="0094463A"/>
    <w:rsid w:val="00947D6F"/>
    <w:rsid w:val="009709C5"/>
    <w:rsid w:val="009B2B6C"/>
    <w:rsid w:val="009B6B81"/>
    <w:rsid w:val="009B7F79"/>
    <w:rsid w:val="009C1A1C"/>
    <w:rsid w:val="00A006DA"/>
    <w:rsid w:val="00A21B0D"/>
    <w:rsid w:val="00A64344"/>
    <w:rsid w:val="00B11DF4"/>
    <w:rsid w:val="00B35121"/>
    <w:rsid w:val="00B437DA"/>
    <w:rsid w:val="00B9409D"/>
    <w:rsid w:val="00BC4AED"/>
    <w:rsid w:val="00BD4DF5"/>
    <w:rsid w:val="00C10666"/>
    <w:rsid w:val="00C3049D"/>
    <w:rsid w:val="00C73AB4"/>
    <w:rsid w:val="00C76741"/>
    <w:rsid w:val="00C82E36"/>
    <w:rsid w:val="00D03463"/>
    <w:rsid w:val="00D33F24"/>
    <w:rsid w:val="00D50CEE"/>
    <w:rsid w:val="00D84F6F"/>
    <w:rsid w:val="00DD710B"/>
    <w:rsid w:val="00DE34F8"/>
    <w:rsid w:val="00DF1948"/>
    <w:rsid w:val="00E316C4"/>
    <w:rsid w:val="00E421F0"/>
    <w:rsid w:val="00E76D45"/>
    <w:rsid w:val="00ED290A"/>
    <w:rsid w:val="00F670EB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0089801709826"/>
          <c:y val="3.2608695652174162E-2"/>
          <c:w val="0.85099910198290207"/>
          <c:h val="0.6350968085511087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9288926013601964E-2"/>
                  <c:y val="-3.0742495571847415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7823858974150061E-4"/>
                  <c:y val="-4.0967331759389089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Sheet1!$A$5:$M$5</c:f>
              <c:strCache>
                <c:ptCount val="13"/>
                <c:pt idx="0">
                  <c:v>آب 2016</c:v>
                </c:pt>
                <c:pt idx="1">
                  <c:v>أيلول 2016</c:v>
                </c:pt>
                <c:pt idx="2">
                  <c:v>تشرين أول 2016</c:v>
                </c:pt>
                <c:pt idx="3">
                  <c:v>تشرين ثاني 2016</c:v>
                </c:pt>
                <c:pt idx="4">
                  <c:v>كانون أول 2016</c:v>
                </c:pt>
                <c:pt idx="5">
                  <c:v>كانون ثاني 2017</c:v>
                </c:pt>
                <c:pt idx="6">
                  <c:v>شباط 2017</c:v>
                </c:pt>
                <c:pt idx="7">
                  <c:v>آذار 2017</c:v>
                </c:pt>
                <c:pt idx="8">
                  <c:v>نيسان 2017</c:v>
                </c:pt>
                <c:pt idx="9">
                  <c:v>أيار  2017</c:v>
                </c:pt>
                <c:pt idx="10">
                  <c:v>حزيران  2017</c:v>
                </c:pt>
                <c:pt idx="11">
                  <c:v>تموز  2017</c:v>
                </c:pt>
                <c:pt idx="12">
                  <c:v>آب  2017</c:v>
                </c:pt>
              </c:strCache>
            </c:strRef>
          </c:cat>
          <c:val>
            <c:numRef>
              <c:f>Sheet1!$A$6:$M$6</c:f>
              <c:numCache>
                <c:formatCode>0.00</c:formatCode>
                <c:ptCount val="13"/>
                <c:pt idx="0">
                  <c:v>112.32</c:v>
                </c:pt>
                <c:pt idx="1">
                  <c:v>103.07</c:v>
                </c:pt>
                <c:pt idx="2">
                  <c:v>105.48681836750755</c:v>
                </c:pt>
                <c:pt idx="3">
                  <c:v>104.29</c:v>
                </c:pt>
                <c:pt idx="4">
                  <c:v>104.92</c:v>
                </c:pt>
                <c:pt idx="5">
                  <c:v>109.95</c:v>
                </c:pt>
                <c:pt idx="6">
                  <c:v>103.23</c:v>
                </c:pt>
                <c:pt idx="7">
                  <c:v>111.58</c:v>
                </c:pt>
                <c:pt idx="8">
                  <c:v>104.48</c:v>
                </c:pt>
                <c:pt idx="9">
                  <c:v>103.97</c:v>
                </c:pt>
                <c:pt idx="10">
                  <c:v>92.3</c:v>
                </c:pt>
                <c:pt idx="11">
                  <c:v>106.36999999999999</c:v>
                </c:pt>
                <c:pt idx="12">
                  <c:v>124.42</c:v>
                </c:pt>
              </c:numCache>
            </c:numRef>
          </c:val>
        </c:ser>
        <c:marker val="1"/>
        <c:axId val="116252032"/>
        <c:axId val="119674368"/>
      </c:lineChart>
      <c:catAx>
        <c:axId val="11625203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19674368"/>
        <c:crossesAt val="85"/>
        <c:auto val="1"/>
        <c:lblAlgn val="ctr"/>
        <c:lblOffset val="100"/>
      </c:catAx>
      <c:valAx>
        <c:axId val="119674368"/>
        <c:scaling>
          <c:orientation val="minMax"/>
          <c:max val="130"/>
          <c:min val="85"/>
        </c:scaling>
        <c:axPos val="l"/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1625203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2017-10-04T10:59:00Z</cp:lastPrinted>
  <dcterms:created xsi:type="dcterms:W3CDTF">2017-10-04T08:51:00Z</dcterms:created>
  <dcterms:modified xsi:type="dcterms:W3CDTF">2017-10-04T11:06:00Z</dcterms:modified>
</cp:coreProperties>
</file>