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3F" w:rsidRPr="00CD68B0" w:rsidRDefault="003F473F" w:rsidP="0016419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_Toc481377287"/>
      <w:bookmarkStart w:id="1" w:name="_Toc481475296"/>
      <w:bookmarkStart w:id="2" w:name="_Toc129783694"/>
      <w:bookmarkStart w:id="3" w:name="_Toc482007005"/>
      <w:bookmarkStart w:id="4" w:name="_Toc482007097"/>
      <w:bookmarkStart w:id="5" w:name="_Toc482092685"/>
      <w:bookmarkStart w:id="6" w:name="_Toc482153143"/>
      <w:bookmarkStart w:id="7" w:name="_Toc482153204"/>
      <w:r w:rsidRPr="00CD68B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نتائج </w:t>
      </w:r>
      <w:r w:rsidR="00FD3B14" w:rsidRPr="00CD68B0">
        <w:rPr>
          <w:rFonts w:ascii="Simplified Arabic" w:hAnsi="Simplified Arabic" w:cs="Simplified Arabic"/>
          <w:b/>
          <w:bCs/>
          <w:sz w:val="32"/>
          <w:szCs w:val="32"/>
          <w:rtl/>
        </w:rPr>
        <w:t>مسح أثر</w:t>
      </w:r>
      <w:r w:rsidRPr="00CD68B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جائحة كوفيد 19 (كورونا) على الظروف الاجتماعية والاقتصادية للأسر الفلسطينية، (آذار- أيار)، 2020</w:t>
      </w:r>
    </w:p>
    <w:p w:rsidR="003F473F" w:rsidRPr="00CD68B0" w:rsidRDefault="003F473F" w:rsidP="0016419D">
      <w:pPr>
        <w:bidi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5E76E1" w:rsidRPr="00CD68B0" w:rsidRDefault="00105DC7" w:rsidP="00830348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D68B0">
        <w:rPr>
          <w:rFonts w:ascii="Simplified Arabic" w:hAnsi="Simplified Arabic" w:cs="Simplified Arabic"/>
          <w:sz w:val="26"/>
          <w:szCs w:val="26"/>
          <w:rtl/>
        </w:rPr>
        <w:t>قام</w:t>
      </w:r>
      <w:r w:rsidR="005E76E1" w:rsidRPr="00CD68B0">
        <w:rPr>
          <w:rFonts w:ascii="Simplified Arabic" w:hAnsi="Simplified Arabic" w:cs="Simplified Arabic"/>
          <w:sz w:val="26"/>
          <w:szCs w:val="26"/>
          <w:rtl/>
        </w:rPr>
        <w:t xml:space="preserve"> الجهاز المركزي للإحصاء الفلسطيني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>بت</w:t>
      </w:r>
      <w:r w:rsidR="005E76E1" w:rsidRPr="00CD68B0">
        <w:rPr>
          <w:rFonts w:ascii="Simplified Arabic" w:hAnsi="Simplified Arabic" w:cs="Simplified Arabic"/>
          <w:sz w:val="26"/>
          <w:szCs w:val="26"/>
          <w:rtl/>
        </w:rPr>
        <w:t xml:space="preserve">فيذ مسح أسري خاص لقياس أثر جائحة </w:t>
      </w:r>
      <w:r w:rsidR="00954AB7" w:rsidRPr="00CD68B0">
        <w:rPr>
          <w:rFonts w:ascii="Simplified Arabic" w:hAnsi="Simplified Arabic" w:cs="Simplified Arabic"/>
          <w:sz w:val="26"/>
          <w:szCs w:val="26"/>
          <w:rtl/>
        </w:rPr>
        <w:t xml:space="preserve">(كوفيد-19) </w:t>
      </w:r>
      <w:r w:rsidR="005E76E1" w:rsidRPr="00CD68B0">
        <w:rPr>
          <w:rFonts w:ascii="Simplified Arabic" w:hAnsi="Simplified Arabic" w:cs="Simplified Arabic"/>
          <w:sz w:val="26"/>
          <w:szCs w:val="26"/>
          <w:rtl/>
        </w:rPr>
        <w:t>فايروس كورونا على الظروف الاجتماعية والاقتصادية للأسر الفلسطينية</w:t>
      </w:r>
      <w:r w:rsidR="00F86EC0" w:rsidRPr="00CD68B0">
        <w:rPr>
          <w:rFonts w:ascii="Simplified Arabic" w:hAnsi="Simplified Arabic" w:cs="Simplified Arabic"/>
          <w:sz w:val="26"/>
          <w:szCs w:val="26"/>
          <w:rtl/>
        </w:rPr>
        <w:t xml:space="preserve"> على عينة أسرية بلغت  </w:t>
      </w:r>
      <w:r w:rsidR="00F86EC0" w:rsidRPr="00CD68B0">
        <w:rPr>
          <w:rFonts w:ascii="Simplified Arabic" w:hAnsi="Simplified Arabic" w:cs="Simplified Arabic"/>
          <w:sz w:val="26"/>
          <w:szCs w:val="26"/>
        </w:rPr>
        <w:t>9,926</w:t>
      </w:r>
      <w:r w:rsidR="00F86EC0" w:rsidRPr="00CD68B0">
        <w:rPr>
          <w:rFonts w:ascii="Simplified Arabic" w:hAnsi="Simplified Arabic" w:cs="Simplified Arabic"/>
          <w:sz w:val="26"/>
          <w:szCs w:val="26"/>
          <w:rtl/>
        </w:rPr>
        <w:t xml:space="preserve"> أسرة، حيث كان الاسناد الزمني للبيانات فترة الاغلاق الممتدة من الخامس من آذار حتى الخامس والعشر</w:t>
      </w:r>
      <w:r w:rsidR="00830348" w:rsidRPr="00CD68B0">
        <w:rPr>
          <w:rFonts w:ascii="Simplified Arabic" w:hAnsi="Simplified Arabic" w:cs="Simplified Arabic"/>
          <w:sz w:val="26"/>
          <w:szCs w:val="26"/>
          <w:rtl/>
        </w:rPr>
        <w:t>ي</w:t>
      </w:r>
      <w:r w:rsidR="00F86EC0" w:rsidRPr="00CD68B0">
        <w:rPr>
          <w:rFonts w:ascii="Simplified Arabic" w:hAnsi="Simplified Arabic" w:cs="Simplified Arabic"/>
          <w:sz w:val="26"/>
          <w:szCs w:val="26"/>
          <w:rtl/>
        </w:rPr>
        <w:t>ن من أيار من العام 2020</w:t>
      </w:r>
      <w:r w:rsidR="005E76E1" w:rsidRPr="00CD68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780310" w:rsidRPr="00CD68B0">
        <w:rPr>
          <w:rFonts w:ascii="Simplified Arabic" w:hAnsi="Simplified Arabic" w:cs="Simplified Arabic"/>
          <w:sz w:val="26"/>
          <w:szCs w:val="26"/>
          <w:rtl/>
        </w:rPr>
        <w:t xml:space="preserve"> حيث </w:t>
      </w:r>
      <w:r w:rsidR="005E76E1" w:rsidRPr="00CD68B0">
        <w:rPr>
          <w:rFonts w:ascii="Simplified Arabic" w:hAnsi="Simplified Arabic" w:cs="Simplified Arabic"/>
          <w:sz w:val="26"/>
          <w:szCs w:val="26"/>
          <w:rtl/>
        </w:rPr>
        <w:t>هدف المسح إلى توفير منظومة من المؤشرات الاجتماعية والاقتصادية خلال جائحة</w:t>
      </w:r>
      <w:r w:rsidR="00954AB7" w:rsidRPr="00CD68B0">
        <w:rPr>
          <w:rFonts w:ascii="Simplified Arabic" w:hAnsi="Simplified Arabic" w:cs="Simplified Arabic"/>
          <w:sz w:val="26"/>
          <w:szCs w:val="26"/>
        </w:rPr>
        <w:t xml:space="preserve"> </w:t>
      </w:r>
      <w:r w:rsidR="00954AB7" w:rsidRPr="00CD68B0">
        <w:rPr>
          <w:rFonts w:ascii="Simplified Arabic" w:hAnsi="Simplified Arabic" w:cs="Simplified Arabic"/>
          <w:sz w:val="26"/>
          <w:szCs w:val="26"/>
          <w:rtl/>
        </w:rPr>
        <w:t>(كوفيد 19)</w:t>
      </w:r>
      <w:r w:rsidR="005E76E1" w:rsidRPr="00CD68B0">
        <w:rPr>
          <w:rFonts w:ascii="Simplified Arabic" w:hAnsi="Simplified Arabic" w:cs="Simplified Arabic"/>
          <w:sz w:val="26"/>
          <w:szCs w:val="26"/>
          <w:rtl/>
        </w:rPr>
        <w:t xml:space="preserve"> فايروس كورونا، بما يشمل آراء وتوجهات ال</w:t>
      </w:r>
      <w:r w:rsidR="00954AB7" w:rsidRPr="00CD68B0">
        <w:rPr>
          <w:rFonts w:ascii="Simplified Arabic" w:hAnsi="Simplified Arabic" w:cs="Simplified Arabic"/>
          <w:sz w:val="26"/>
          <w:szCs w:val="26"/>
          <w:rtl/>
        </w:rPr>
        <w:t>أ</w:t>
      </w:r>
      <w:r w:rsidR="005E76E1" w:rsidRPr="00CD68B0">
        <w:rPr>
          <w:rFonts w:ascii="Simplified Arabic" w:hAnsi="Simplified Arabic" w:cs="Simplified Arabic"/>
          <w:sz w:val="26"/>
          <w:szCs w:val="26"/>
          <w:rtl/>
        </w:rPr>
        <w:t>سر حول الجائحه، والتعرف على بعض الخصائص الديمغرافية والاقتصادية للأسر وأفرادها من اجل قياس أثر الجائحة على هذه الأسر واستراتيجيات التأقلم التي اتبعتها الأسر وأفرادها خلال فترة الجائحه.</w:t>
      </w:r>
    </w:p>
    <w:p w:rsidR="00780310" w:rsidRPr="00CD68B0" w:rsidRDefault="00780310" w:rsidP="00CD68B0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DC48FA" w:rsidRPr="00CD68B0" w:rsidRDefault="00FD7375" w:rsidP="00CD68B0">
      <w:pPr>
        <w:pStyle w:val="Heading2"/>
        <w:bidi/>
        <w:spacing w:before="0" w:after="0"/>
        <w:jc w:val="lowKashida"/>
        <w:rPr>
          <w:rStyle w:val="1H"/>
          <w:rFonts w:ascii="Simplified Arabic" w:hAnsi="Simplified Arabic" w:cs="Simplified Arabic"/>
          <w:b/>
          <w:i w:val="0"/>
          <w:iCs w:val="0"/>
          <w:smallCaps/>
        </w:rPr>
      </w:pPr>
      <w:bookmarkStart w:id="8" w:name="_Toc51230535"/>
      <w:bookmarkEnd w:id="0"/>
      <w:bookmarkEnd w:id="1"/>
      <w:bookmarkEnd w:id="2"/>
      <w:r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1. </w:t>
      </w:r>
      <w:r w:rsidR="000D4786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>أثر كوفيد - 19 على واقع سوق العمل</w:t>
      </w:r>
      <w:bookmarkEnd w:id="8"/>
      <w:r w:rsidR="000812CA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 </w:t>
      </w:r>
    </w:p>
    <w:p w:rsidR="00955E89" w:rsidRPr="00CD68B0" w:rsidRDefault="00955E89" w:rsidP="00830348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955E89" w:rsidRPr="00CD68B0" w:rsidRDefault="00955E89" w:rsidP="00955E89">
      <w:pPr>
        <w:jc w:val="center"/>
        <w:rPr>
          <w:rFonts w:ascii="Simplified Arabic" w:hAnsi="Simplified Arabic" w:cs="Simplified Arabic"/>
          <w:b/>
          <w:bCs/>
          <w:smallCaps/>
          <w:sz w:val="28"/>
          <w:szCs w:val="28"/>
        </w:rPr>
      </w:pPr>
      <w:r w:rsidRPr="00CD68B0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معيل واحد من بين 7 معيلين في الضفة الغربية توقفوا عن العمل خلال فترة الإغلاق</w:t>
      </w:r>
    </w:p>
    <w:p w:rsidR="00955E89" w:rsidRPr="00CD68B0" w:rsidRDefault="00955E89" w:rsidP="00955E89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3859F2" w:rsidRPr="00CD68B0" w:rsidRDefault="00CC454B" w:rsidP="00955E89">
      <w:pPr>
        <w:bidi/>
        <w:jc w:val="lowKashida"/>
        <w:rPr>
          <w:rFonts w:ascii="Simplified Arabic" w:hAnsi="Simplified Arabic" w:cs="Simplified Arabic"/>
          <w:noProof/>
          <w:sz w:val="26"/>
          <w:szCs w:val="26"/>
          <w:rtl/>
        </w:rPr>
      </w:pP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4A10B2" w:rsidRPr="00CD68B0">
        <w:rPr>
          <w:rFonts w:ascii="Simplified Arabic" w:hAnsi="Simplified Arabic" w:cs="Simplified Arabic"/>
          <w:sz w:val="26"/>
          <w:szCs w:val="26"/>
          <w:rtl/>
        </w:rPr>
        <w:t xml:space="preserve">ثلاث من أصل أربع </w:t>
      </w:r>
      <w:r w:rsidR="00BD0F2E" w:rsidRPr="00CD68B0">
        <w:rPr>
          <w:rFonts w:ascii="Simplified Arabic" w:hAnsi="Simplified Arabic" w:cs="Simplified Arabic"/>
          <w:sz w:val="26"/>
          <w:szCs w:val="26"/>
          <w:rtl/>
        </w:rPr>
        <w:t xml:space="preserve">معيلين رئيسيين </w:t>
      </w:r>
      <w:r w:rsidR="00624460" w:rsidRPr="00CD68B0">
        <w:rPr>
          <w:rFonts w:ascii="Simplified Arabic" w:hAnsi="Simplified Arabic" w:cs="Simplified Arabic"/>
          <w:sz w:val="26"/>
          <w:szCs w:val="26"/>
          <w:rtl/>
        </w:rPr>
        <w:t xml:space="preserve">للأسر </w:t>
      </w:r>
      <w:r w:rsidR="00BD0F2E" w:rsidRPr="00CD68B0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4A10B2" w:rsidRPr="00CD68B0">
        <w:rPr>
          <w:rFonts w:ascii="Simplified Arabic" w:hAnsi="Simplified Arabic" w:cs="Simplified Arabic"/>
          <w:sz w:val="26"/>
          <w:szCs w:val="26"/>
          <w:rtl/>
        </w:rPr>
        <w:t>الضفة الغربية</w:t>
      </w:r>
      <w:r w:rsidR="00BD0F2E"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>(</w:t>
      </w:r>
      <w:r w:rsidR="004A10B2" w:rsidRPr="00CD68B0">
        <w:rPr>
          <w:rFonts w:ascii="Simplified Arabic" w:hAnsi="Simplified Arabic" w:cs="Simplified Arabic"/>
          <w:sz w:val="26"/>
          <w:szCs w:val="26"/>
          <w:rtl/>
        </w:rPr>
        <w:t>73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%) </w:t>
      </w:r>
      <w:r w:rsidR="00BD0F2E" w:rsidRPr="00CD68B0">
        <w:rPr>
          <w:rFonts w:ascii="Simplified Arabic" w:hAnsi="Simplified Arabic" w:cs="Simplified Arabic"/>
          <w:sz w:val="26"/>
          <w:szCs w:val="26"/>
          <w:rtl/>
        </w:rPr>
        <w:t xml:space="preserve">كانوا يعملون خلال فترة </w:t>
      </w:r>
      <w:r w:rsidR="00053142" w:rsidRPr="00CD68B0">
        <w:rPr>
          <w:rFonts w:ascii="Simplified Arabic" w:hAnsi="Simplified Arabic" w:cs="Simplified Arabic"/>
          <w:sz w:val="26"/>
          <w:szCs w:val="26"/>
          <w:rtl/>
        </w:rPr>
        <w:t>الإغلاق</w:t>
      </w:r>
      <w:r w:rsidR="00BD0F2E"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>و</w:t>
      </w:r>
      <w:r w:rsidR="00BD0F2E" w:rsidRPr="00CD68B0">
        <w:rPr>
          <w:rFonts w:ascii="Simplified Arabic" w:hAnsi="Simplified Arabic" w:cs="Simplified Arabic"/>
          <w:sz w:val="26"/>
          <w:szCs w:val="26"/>
          <w:rtl/>
        </w:rPr>
        <w:t>الممتدة من الخامس من آذار حتى الخامس والعشر</w:t>
      </w:r>
      <w:r w:rsidR="00830348" w:rsidRPr="00CD68B0">
        <w:rPr>
          <w:rFonts w:ascii="Simplified Arabic" w:hAnsi="Simplified Arabic" w:cs="Simplified Arabic"/>
          <w:sz w:val="26"/>
          <w:szCs w:val="26"/>
          <w:rtl/>
        </w:rPr>
        <w:t>ي</w:t>
      </w:r>
      <w:r w:rsidR="00BD0F2E" w:rsidRPr="00CD68B0">
        <w:rPr>
          <w:rFonts w:ascii="Simplified Arabic" w:hAnsi="Simplified Arabic" w:cs="Simplified Arabic"/>
          <w:sz w:val="26"/>
          <w:szCs w:val="26"/>
          <w:rtl/>
        </w:rPr>
        <w:t>ن من أيار من العام 2020</w:t>
      </w:r>
      <w:r w:rsidR="00624460" w:rsidRPr="00CD68B0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935CA" w:rsidRPr="00CD68B0">
        <w:rPr>
          <w:rFonts w:ascii="Simplified Arabic" w:hAnsi="Simplified Arabic" w:cs="Simplified Arabic"/>
          <w:sz w:val="26"/>
          <w:szCs w:val="26"/>
          <w:rtl/>
        </w:rPr>
        <w:t>ب</w:t>
      </w:r>
      <w:r w:rsidR="002A0739" w:rsidRPr="00CD68B0">
        <w:rPr>
          <w:rFonts w:ascii="Simplified Arabic" w:hAnsi="Simplified Arabic" w:cs="Simplified Arabic"/>
          <w:sz w:val="26"/>
          <w:szCs w:val="26"/>
          <w:rtl/>
        </w:rPr>
        <w:t>المقابل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35CA" w:rsidRPr="00CD68B0">
        <w:rPr>
          <w:rFonts w:ascii="Simplified Arabic" w:hAnsi="Simplified Arabic" w:cs="Simplified Arabic"/>
          <w:sz w:val="26"/>
          <w:szCs w:val="26"/>
          <w:rtl/>
        </w:rPr>
        <w:t xml:space="preserve">توقف معيل </w:t>
      </w:r>
      <w:r w:rsidR="004A10B2" w:rsidRPr="00CD68B0">
        <w:rPr>
          <w:rFonts w:ascii="Simplified Arabic" w:hAnsi="Simplified Arabic" w:cs="Simplified Arabic"/>
          <w:sz w:val="26"/>
          <w:szCs w:val="26"/>
          <w:rtl/>
        </w:rPr>
        <w:t xml:space="preserve">واحد </w:t>
      </w:r>
      <w:r w:rsidR="009935CA" w:rsidRPr="00CD68B0">
        <w:rPr>
          <w:rFonts w:ascii="Simplified Arabic" w:hAnsi="Simplified Arabic" w:cs="Simplified Arabic"/>
          <w:sz w:val="26"/>
          <w:szCs w:val="26"/>
          <w:rtl/>
        </w:rPr>
        <w:t>من بين كل س</w:t>
      </w:r>
      <w:r w:rsidR="004A10B2" w:rsidRPr="00CD68B0">
        <w:rPr>
          <w:rFonts w:ascii="Simplified Arabic" w:hAnsi="Simplified Arabic" w:cs="Simplified Arabic"/>
          <w:sz w:val="26"/>
          <w:szCs w:val="26"/>
          <w:rtl/>
        </w:rPr>
        <w:t>بع</w:t>
      </w:r>
      <w:r w:rsidR="009935CA"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86BF1" w:rsidRPr="00CD68B0">
        <w:rPr>
          <w:rFonts w:ascii="Simplified Arabic" w:hAnsi="Simplified Arabic" w:cs="Simplified Arabic"/>
          <w:sz w:val="26"/>
          <w:szCs w:val="26"/>
          <w:rtl/>
        </w:rPr>
        <w:t>معيلين</w:t>
      </w:r>
      <w:r w:rsidR="004A10B2" w:rsidRPr="00CD68B0">
        <w:rPr>
          <w:rFonts w:ascii="Simplified Arabic" w:hAnsi="Simplified Arabic" w:cs="Simplified Arabic"/>
          <w:sz w:val="26"/>
          <w:szCs w:val="26"/>
          <w:rtl/>
        </w:rPr>
        <w:t xml:space="preserve"> في الضفة الغربية</w:t>
      </w:r>
      <w:r w:rsidR="00B86BF1"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>(</w:t>
      </w:r>
      <w:r w:rsidR="004A10B2" w:rsidRPr="00CD68B0">
        <w:rPr>
          <w:rFonts w:ascii="Simplified Arabic" w:hAnsi="Simplified Arabic" w:cs="Simplified Arabic"/>
          <w:sz w:val="26"/>
          <w:szCs w:val="26"/>
          <w:rtl/>
        </w:rPr>
        <w:t>14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%) </w:t>
      </w:r>
      <w:r w:rsidR="002A0739" w:rsidRPr="00CD68B0">
        <w:rPr>
          <w:rFonts w:ascii="Simplified Arabic" w:hAnsi="Simplified Arabic" w:cs="Simplified Arabic"/>
          <w:sz w:val="26"/>
          <w:szCs w:val="26"/>
          <w:rtl/>
        </w:rPr>
        <w:t xml:space="preserve">عن العمل خلال فترة </w:t>
      </w:r>
      <w:r w:rsidR="00053142" w:rsidRPr="00CD68B0">
        <w:rPr>
          <w:rFonts w:ascii="Simplified Arabic" w:hAnsi="Simplified Arabic" w:cs="Simplified Arabic"/>
          <w:sz w:val="26"/>
          <w:szCs w:val="26"/>
          <w:rtl/>
        </w:rPr>
        <w:t>الإغلاق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.  حوالي </w:t>
      </w:r>
      <w:r w:rsidR="004A10B2" w:rsidRPr="00CD68B0">
        <w:rPr>
          <w:rFonts w:ascii="Simplified Arabic" w:hAnsi="Simplified Arabic" w:cs="Simplified Arabic"/>
          <w:sz w:val="26"/>
          <w:szCs w:val="26"/>
          <w:rtl/>
        </w:rPr>
        <w:t>معيل واحد من بين كل ثماني</w:t>
      </w:r>
      <w:r w:rsidR="00830348" w:rsidRPr="00CD68B0">
        <w:rPr>
          <w:rFonts w:ascii="Simplified Arabic" w:hAnsi="Simplified Arabic" w:cs="Simplified Arabic"/>
          <w:sz w:val="26"/>
          <w:szCs w:val="26"/>
          <w:rtl/>
        </w:rPr>
        <w:t>ة</w:t>
      </w:r>
      <w:r w:rsidR="004A10B2" w:rsidRPr="00CD68B0">
        <w:rPr>
          <w:rFonts w:ascii="Simplified Arabic" w:hAnsi="Simplified Arabic" w:cs="Simplified Arabic"/>
          <w:sz w:val="26"/>
          <w:szCs w:val="26"/>
          <w:rtl/>
        </w:rPr>
        <w:t xml:space="preserve"> معيلين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7031" w:rsidRPr="00CD68B0">
        <w:rPr>
          <w:rFonts w:ascii="Simplified Arabic" w:hAnsi="Simplified Arabic" w:cs="Simplified Arabic"/>
          <w:sz w:val="26"/>
          <w:szCs w:val="26"/>
          <w:rtl/>
        </w:rPr>
        <w:t>كانوا لا يعملون قبل فترة الإغلاق</w:t>
      </w:r>
      <w:r w:rsidR="004A10B2"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7031" w:rsidRPr="00CD68B0">
        <w:rPr>
          <w:rFonts w:ascii="Simplified Arabic" w:hAnsi="Simplified Arabic" w:cs="Simplified Arabic"/>
          <w:sz w:val="26"/>
          <w:szCs w:val="26"/>
          <w:rtl/>
        </w:rPr>
        <w:t>في الضفة الغربية</w:t>
      </w:r>
      <w:r w:rsidR="001B08DA" w:rsidRPr="00CD68B0">
        <w:rPr>
          <w:rFonts w:ascii="Simplified Arabic" w:hAnsi="Simplified Arabic" w:cs="Simplified Arabic"/>
          <w:sz w:val="26"/>
          <w:szCs w:val="26"/>
        </w:rPr>
        <w:t xml:space="preserve"> </w:t>
      </w:r>
      <w:r w:rsidR="001B08DA" w:rsidRPr="00CD68B0">
        <w:rPr>
          <w:rFonts w:ascii="Simplified Arabic" w:hAnsi="Simplified Arabic" w:cs="Simplified Arabic"/>
          <w:sz w:val="26"/>
          <w:szCs w:val="26"/>
          <w:rtl/>
        </w:rPr>
        <w:t>(13%)</w:t>
      </w:r>
      <w:r w:rsidR="00857031" w:rsidRPr="00CD68B0">
        <w:rPr>
          <w:rFonts w:ascii="Simplified Arabic" w:hAnsi="Simplified Arabic" w:cs="Simplified Arabic"/>
          <w:sz w:val="26"/>
          <w:szCs w:val="26"/>
          <w:rtl/>
        </w:rPr>
        <w:t>.</w:t>
      </w:r>
      <w:r w:rsidR="00DC1A9C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 </w:t>
      </w:r>
      <w:r w:rsidR="003859F2" w:rsidRPr="00CD68B0">
        <w:rPr>
          <w:rFonts w:ascii="Simplified Arabic" w:hAnsi="Simplified Arabic" w:cs="Simplified Arabic"/>
          <w:noProof/>
          <w:sz w:val="26"/>
          <w:szCs w:val="26"/>
          <w:rtl/>
        </w:rPr>
        <w:t>شكل اعلان حالة الطوارئ واغلاق كافة المؤسسات العامة والخاصة نتيجة القيود التي فرضتها الحكومة لمواجهة جائجة كورنا إضافة الى الالتزام بالبقاء بالبيوت وفقا لإعلان حالة الطوارئ سبب</w:t>
      </w:r>
      <w:r w:rsidR="007E5B0D" w:rsidRPr="00CD68B0">
        <w:rPr>
          <w:rFonts w:ascii="Simplified Arabic" w:hAnsi="Simplified Arabic" w:cs="Simplified Arabic"/>
          <w:noProof/>
          <w:sz w:val="26"/>
          <w:szCs w:val="26"/>
          <w:rtl/>
        </w:rPr>
        <w:t>اً</w:t>
      </w:r>
      <w:r w:rsidR="003859F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رئيسياً </w:t>
      </w:r>
      <w:r w:rsidR="004A10B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في الضفة الغربية </w:t>
      </w:r>
      <w:r w:rsidR="003859F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للتوقف عن العمل بنسبة وصلت 68%.  </w:t>
      </w:r>
    </w:p>
    <w:p w:rsidR="00955E89" w:rsidRPr="00CD68B0" w:rsidRDefault="00955E89" w:rsidP="00955E89">
      <w:pPr>
        <w:bidi/>
        <w:jc w:val="lowKashida"/>
        <w:rPr>
          <w:rFonts w:ascii="Simplified Arabic" w:hAnsi="Simplified Arabic" w:cs="Simplified Arabic"/>
          <w:noProof/>
          <w:sz w:val="26"/>
          <w:szCs w:val="26"/>
          <w:rtl/>
        </w:rPr>
      </w:pPr>
    </w:p>
    <w:p w:rsidR="00955E89" w:rsidRPr="00CD68B0" w:rsidRDefault="00955E89" w:rsidP="00955E89">
      <w:pPr>
        <w:jc w:val="center"/>
        <w:rPr>
          <w:rFonts w:ascii="Simplified Arabic" w:hAnsi="Simplified Arabic" w:cs="Simplified Arabic"/>
          <w:b/>
          <w:bCs/>
          <w:smallCaps/>
          <w:sz w:val="28"/>
          <w:szCs w:val="28"/>
        </w:rPr>
      </w:pPr>
      <w:r w:rsidRPr="00CD68B0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أكثر من نصف المعيلين الرئيسين للأسر العاملين في الضفة الغربية تغيبوا عن العمل خلال فترة الاغلاق</w:t>
      </w:r>
    </w:p>
    <w:p w:rsidR="00955E89" w:rsidRPr="00CD68B0" w:rsidRDefault="00955E89" w:rsidP="00955E89">
      <w:pPr>
        <w:bidi/>
        <w:jc w:val="lowKashida"/>
        <w:rPr>
          <w:rFonts w:ascii="Simplified Arabic" w:hAnsi="Simplified Arabic" w:cs="Simplified Arabic"/>
          <w:noProof/>
          <w:sz w:val="26"/>
          <w:szCs w:val="26"/>
          <w:rtl/>
        </w:rPr>
      </w:pPr>
    </w:p>
    <w:p w:rsidR="00B43D09" w:rsidRPr="00CD68B0" w:rsidRDefault="0050761C" w:rsidP="00830348">
      <w:pPr>
        <w:bidi/>
        <w:jc w:val="lowKashida"/>
        <w:rPr>
          <w:rFonts w:ascii="Simplified Arabic" w:hAnsi="Simplified Arabic" w:cs="Simplified Arabic"/>
          <w:noProof/>
          <w:sz w:val="26"/>
          <w:szCs w:val="26"/>
          <w:rtl/>
        </w:rPr>
      </w:pPr>
      <w:r w:rsidRPr="00CD68B0">
        <w:rPr>
          <w:rFonts w:ascii="Simplified Arabic" w:hAnsi="Simplified Arabic" w:cs="Simplified Arabic"/>
          <w:noProof/>
          <w:sz w:val="26"/>
          <w:szCs w:val="26"/>
        </w:rPr>
        <w:t>54</w:t>
      </w:r>
      <w:r w:rsidR="00B36801" w:rsidRPr="00CD68B0">
        <w:rPr>
          <w:rFonts w:ascii="Simplified Arabic" w:hAnsi="Simplified Arabic" w:cs="Simplified Arabic"/>
          <w:noProof/>
          <w:sz w:val="26"/>
          <w:szCs w:val="26"/>
          <w:rtl/>
        </w:rPr>
        <w:t>% من</w:t>
      </w:r>
      <w:r w:rsidR="0004664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العاملين </w:t>
      </w:r>
      <w:r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في الضفة الغربية </w:t>
      </w:r>
      <w:r w:rsidR="0004664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تغيبوا </w:t>
      </w:r>
      <w:r w:rsidR="00B36801" w:rsidRPr="00CD68B0">
        <w:rPr>
          <w:rFonts w:ascii="Simplified Arabic" w:hAnsi="Simplified Arabic" w:cs="Simplified Arabic"/>
          <w:noProof/>
          <w:sz w:val="26"/>
          <w:szCs w:val="26"/>
          <w:rtl/>
        </w:rPr>
        <w:t>عن العمل</w:t>
      </w:r>
      <w:r w:rsidR="0004664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خلال فترة الاغلاق.</w:t>
      </w:r>
      <w:r w:rsidR="00B36801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</w:t>
      </w:r>
      <w:r w:rsidR="0004664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شكل اعلان حالة الطوارئ واغلاق كافة المؤسسات العامة والخاصة نتيجة القيود التي فرضتها الحكومة لمواجهة جائجة كورنا إضافة الى </w:t>
      </w:r>
      <w:r w:rsidR="003859F2" w:rsidRPr="00CD68B0">
        <w:rPr>
          <w:rFonts w:ascii="Simplified Arabic" w:hAnsi="Simplified Arabic" w:cs="Simplified Arabic"/>
          <w:noProof/>
          <w:sz w:val="26"/>
          <w:szCs w:val="26"/>
          <w:rtl/>
        </w:rPr>
        <w:t>الالتزام ب</w:t>
      </w:r>
      <w:r w:rsidR="00B36801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البقاء بالبيوت وفقا لإعلان حالة الطوارئ </w:t>
      </w:r>
      <w:r w:rsidR="0004664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سبب رئيسياً للتغيب عن العمل </w:t>
      </w:r>
      <w:r w:rsidR="004A10B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في الضفة الغربية </w:t>
      </w:r>
      <w:r w:rsidR="00046642" w:rsidRPr="00CD68B0">
        <w:rPr>
          <w:rFonts w:ascii="Simplified Arabic" w:hAnsi="Simplified Arabic" w:cs="Simplified Arabic"/>
          <w:noProof/>
          <w:sz w:val="26"/>
          <w:szCs w:val="26"/>
          <w:rtl/>
        </w:rPr>
        <w:t>بنسبة وصلت</w:t>
      </w:r>
      <w:r w:rsidR="003859F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</w:t>
      </w:r>
      <w:r w:rsidR="00B36801" w:rsidRPr="00CD68B0">
        <w:rPr>
          <w:rFonts w:ascii="Simplified Arabic" w:hAnsi="Simplified Arabic" w:cs="Simplified Arabic"/>
          <w:noProof/>
          <w:sz w:val="26"/>
          <w:szCs w:val="26"/>
          <w:rtl/>
        </w:rPr>
        <w:t>7</w:t>
      </w:r>
      <w:r w:rsidR="004A10B2" w:rsidRPr="00CD68B0">
        <w:rPr>
          <w:rFonts w:ascii="Simplified Arabic" w:hAnsi="Simplified Arabic" w:cs="Simplified Arabic"/>
          <w:noProof/>
          <w:sz w:val="26"/>
          <w:szCs w:val="26"/>
          <w:rtl/>
        </w:rPr>
        <w:t>5</w:t>
      </w:r>
      <w:r w:rsidR="00B36801" w:rsidRPr="00CD68B0">
        <w:rPr>
          <w:rFonts w:ascii="Simplified Arabic" w:hAnsi="Simplified Arabic" w:cs="Simplified Arabic"/>
          <w:noProof/>
          <w:sz w:val="26"/>
          <w:szCs w:val="26"/>
          <w:rtl/>
        </w:rPr>
        <w:t>%.</w:t>
      </w:r>
      <w:r w:rsidR="003859F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 </w:t>
      </w:r>
    </w:p>
    <w:p w:rsidR="00DC1A9C" w:rsidRPr="00CD68B0" w:rsidRDefault="00DC1A9C" w:rsidP="00DC1A9C">
      <w:pPr>
        <w:bidi/>
        <w:jc w:val="lowKashida"/>
        <w:rPr>
          <w:rFonts w:ascii="Simplified Arabic" w:hAnsi="Simplified Arabic" w:cs="Simplified Arabic"/>
          <w:noProof/>
          <w:sz w:val="26"/>
          <w:szCs w:val="26"/>
          <w:rtl/>
        </w:rPr>
      </w:pPr>
    </w:p>
    <w:p w:rsidR="00AA3264" w:rsidRDefault="0089534F" w:rsidP="00830348">
      <w:pPr>
        <w:bidi/>
        <w:jc w:val="lowKashida"/>
        <w:rPr>
          <w:rFonts w:ascii="Simplified Arabic" w:hAnsi="Simplified Arabic" w:cs="Simplified Arabic" w:hint="cs"/>
          <w:i/>
          <w:sz w:val="26"/>
          <w:szCs w:val="26"/>
          <w:rtl/>
          <w:lang w:val="en-GB"/>
        </w:rPr>
      </w:pPr>
      <w:r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>أثرت تدابير الإغلاق على القدرة على العمل بشكل مختلف حسب النشاط الاقتصادي</w:t>
      </w:r>
      <w:r w:rsidR="004A10B2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 xml:space="preserve"> في الضفة الغربية</w:t>
      </w:r>
      <w:r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 xml:space="preserve">، مع تأثر قطاع الصناعة أكثر من أي قطاع آخر. </w:t>
      </w:r>
      <w:r w:rsidR="004A10B2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>51</w:t>
      </w:r>
      <w:r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 xml:space="preserve">% من المعيلين الرئيسيين </w:t>
      </w:r>
      <w:r w:rsidR="004A10B2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 xml:space="preserve">في الضفة الغربية </w:t>
      </w:r>
      <w:r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>الذين توقفوا عن العم</w:t>
      </w:r>
      <w:r w:rsidR="00805703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 xml:space="preserve">ل كانوا يعملون في قطاع الصناعة، </w:t>
      </w:r>
      <w:r w:rsidR="007B1DA4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 xml:space="preserve">كذلك الامر فقد تأثر العاملين في </w:t>
      </w:r>
      <w:r w:rsidR="0041117D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>قطاع الزراعة</w:t>
      </w:r>
      <w:r w:rsidR="007B1DA4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>، حي</w:t>
      </w:r>
      <w:bookmarkStart w:id="9" w:name="_GoBack"/>
      <w:bookmarkEnd w:id="9"/>
      <w:r w:rsidR="007B1DA4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 xml:space="preserve">ث ان </w:t>
      </w:r>
      <w:r w:rsidR="00E24497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>7</w:t>
      </w:r>
      <w:r w:rsidR="007B1DA4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 xml:space="preserve">% من المعيلين الرئيسيين الذين توقفوا عن العمل </w:t>
      </w:r>
      <w:r w:rsidR="00830348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 xml:space="preserve">في الضفة الغربية </w:t>
      </w:r>
      <w:r w:rsidR="007B1DA4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>كانوا يعملون في قطاع الزراعة.</w:t>
      </w:r>
      <w:r w:rsidR="000B2192" w:rsidRPr="00CD68B0">
        <w:rPr>
          <w:rFonts w:ascii="Simplified Arabic" w:hAnsi="Simplified Arabic" w:cs="Simplified Arabic"/>
          <w:i/>
          <w:sz w:val="26"/>
          <w:szCs w:val="26"/>
          <w:rtl/>
          <w:lang w:val="en-GB"/>
        </w:rPr>
        <w:t xml:space="preserve">  </w:t>
      </w:r>
    </w:p>
    <w:p w:rsidR="00CD68B0" w:rsidRPr="00CD68B0" w:rsidRDefault="00CD68B0" w:rsidP="00CD68B0">
      <w:pPr>
        <w:bidi/>
        <w:jc w:val="lowKashida"/>
        <w:rPr>
          <w:rFonts w:ascii="Simplified Arabic" w:hAnsi="Simplified Arabic" w:cs="Simplified Arabic"/>
          <w:i/>
          <w:sz w:val="26"/>
          <w:szCs w:val="26"/>
          <w:rtl/>
          <w:lang w:val="en-GB"/>
        </w:rPr>
      </w:pPr>
    </w:p>
    <w:p w:rsidR="00805703" w:rsidRPr="00CD68B0" w:rsidRDefault="00955E89" w:rsidP="00955E89">
      <w:pPr>
        <w:jc w:val="center"/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</w:pPr>
      <w:r w:rsidRPr="00CD68B0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lastRenderedPageBreak/>
        <w:t>عدد ساعات عمل أقل من المعتاد</w:t>
      </w:r>
    </w:p>
    <w:p w:rsidR="00955E89" w:rsidRPr="00CD68B0" w:rsidRDefault="00955E89" w:rsidP="00955E89">
      <w:pPr>
        <w:jc w:val="center"/>
        <w:rPr>
          <w:rFonts w:ascii="Simplified Arabic" w:hAnsi="Simplified Arabic" w:cs="Simplified Arabic"/>
          <w:b/>
          <w:bCs/>
          <w:smallCaps/>
          <w:sz w:val="26"/>
          <w:szCs w:val="26"/>
          <w:rtl/>
        </w:rPr>
      </w:pPr>
    </w:p>
    <w:p w:rsidR="004959EC" w:rsidRPr="00CD68B0" w:rsidRDefault="000B2192" w:rsidP="00830348">
      <w:pPr>
        <w:bidi/>
        <w:jc w:val="lowKashida"/>
        <w:rPr>
          <w:rFonts w:ascii="Simplified Arabic" w:hAnsi="Simplified Arabic" w:cs="Simplified Arabic"/>
          <w:noProof/>
          <w:sz w:val="26"/>
          <w:szCs w:val="26"/>
        </w:rPr>
      </w:pPr>
      <w:r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80% </w:t>
      </w:r>
      <w:r w:rsidR="00367D69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من المعيلين الرئيسين العاملين </w:t>
      </w:r>
      <w:r w:rsidRPr="00CD68B0">
        <w:rPr>
          <w:rFonts w:ascii="Simplified Arabic" w:hAnsi="Simplified Arabic" w:cs="Simplified Arabic"/>
          <w:b/>
          <w:sz w:val="26"/>
          <w:szCs w:val="26"/>
          <w:rtl/>
        </w:rPr>
        <w:t>شهدوا انخفا</w:t>
      </w:r>
      <w:r w:rsidR="00DC1A9C" w:rsidRPr="00CD68B0">
        <w:rPr>
          <w:rFonts w:ascii="Simplified Arabic" w:hAnsi="Simplified Arabic" w:cs="Simplified Arabic"/>
          <w:b/>
          <w:sz w:val="26"/>
          <w:szCs w:val="26"/>
          <w:rtl/>
        </w:rPr>
        <w:t>َض</w:t>
      </w:r>
      <w:r w:rsidRPr="00CD68B0">
        <w:rPr>
          <w:rFonts w:ascii="Simplified Arabic" w:hAnsi="Simplified Arabic" w:cs="Simplified Arabic"/>
          <w:b/>
          <w:sz w:val="26"/>
          <w:szCs w:val="26"/>
          <w:rtl/>
        </w:rPr>
        <w:t>ا</w:t>
      </w:r>
      <w:r w:rsidR="00DC1A9C" w:rsidRPr="00CD68B0">
        <w:rPr>
          <w:rFonts w:ascii="Simplified Arabic" w:hAnsi="Simplified Arabic" w:cs="Simplified Arabic"/>
          <w:b/>
          <w:sz w:val="26"/>
          <w:szCs w:val="26"/>
          <w:rtl/>
        </w:rPr>
        <w:t>ً</w:t>
      </w:r>
      <w:r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في عبء العمل (ساعات أقل من المعتاد)</w:t>
      </w:r>
      <w:r w:rsidR="00830348" w:rsidRPr="00CD68B0">
        <w:rPr>
          <w:rFonts w:ascii="Simplified Arabic" w:hAnsi="Simplified Arabic" w:cs="Simplified Arabic"/>
          <w:b/>
          <w:sz w:val="26"/>
          <w:szCs w:val="26"/>
          <w:rtl/>
        </w:rPr>
        <w:t>،</w:t>
      </w:r>
      <w:r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وظهر ذلك أكثر في الضفة الغربية (83٪) منه في قطاع غزة (73٪). ومن المرجح بشكل طفيف أن يواجه </w:t>
      </w:r>
      <w:r w:rsidR="00367D69" w:rsidRPr="00CD68B0">
        <w:rPr>
          <w:rFonts w:ascii="Simplified Arabic" w:hAnsi="Simplified Arabic" w:cs="Simplified Arabic"/>
          <w:b/>
          <w:sz w:val="26"/>
          <w:szCs w:val="26"/>
          <w:rtl/>
        </w:rPr>
        <w:t>المعيلين الذكور</w:t>
      </w:r>
      <w:r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انخفاضًا في عبء العمل مقارنة </w:t>
      </w:r>
      <w:r w:rsidR="00367D69" w:rsidRPr="00CD68B0">
        <w:rPr>
          <w:rFonts w:ascii="Simplified Arabic" w:hAnsi="Simplified Arabic" w:cs="Simplified Arabic"/>
          <w:b/>
          <w:sz w:val="26"/>
          <w:szCs w:val="26"/>
          <w:rtl/>
        </w:rPr>
        <w:t>بالإناث</w:t>
      </w:r>
      <w:r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(80% </w:t>
      </w:r>
      <w:r w:rsidR="00367D69" w:rsidRPr="00CD68B0">
        <w:rPr>
          <w:rFonts w:ascii="Simplified Arabic" w:hAnsi="Simplified Arabic" w:cs="Simplified Arabic"/>
          <w:b/>
          <w:sz w:val="26"/>
          <w:szCs w:val="26"/>
          <w:rtl/>
        </w:rPr>
        <w:t>لل</w:t>
      </w:r>
      <w:r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ذكور و78% </w:t>
      </w:r>
      <w:r w:rsidR="00367D69" w:rsidRPr="00CD68B0">
        <w:rPr>
          <w:rFonts w:ascii="Simplified Arabic" w:hAnsi="Simplified Arabic" w:cs="Simplified Arabic"/>
          <w:b/>
          <w:sz w:val="26"/>
          <w:szCs w:val="26"/>
          <w:rtl/>
        </w:rPr>
        <w:t>لل</w:t>
      </w:r>
      <w:r w:rsidRPr="00CD68B0">
        <w:rPr>
          <w:rFonts w:ascii="Simplified Arabic" w:hAnsi="Simplified Arabic" w:cs="Simplified Arabic"/>
          <w:b/>
          <w:sz w:val="26"/>
          <w:szCs w:val="26"/>
          <w:rtl/>
        </w:rPr>
        <w:t>إناث).</w:t>
      </w:r>
      <w:r w:rsidR="00700AF1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 </w:t>
      </w:r>
    </w:p>
    <w:p w:rsidR="000B2192" w:rsidRPr="00CD68B0" w:rsidRDefault="000B2192" w:rsidP="0001346C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أثر 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>كوفيد - 19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بشكل ملحوظ على تدفقات 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>الأجور/والرواتب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 xml:space="preserve">23%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من 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>المعيلين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الرئيسيين </w:t>
      </w:r>
      <w:r w:rsidR="00367D69" w:rsidRPr="00CD68B0">
        <w:rPr>
          <w:rFonts w:ascii="Simplified Arabic" w:hAnsi="Simplified Arabic" w:cs="Simplified Arabic"/>
          <w:sz w:val="26"/>
          <w:szCs w:val="26"/>
          <w:rtl/>
        </w:rPr>
        <w:t xml:space="preserve">العاملين باجر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>تلقوا أجورهم كالمعتاد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 xml:space="preserve">، بينما 25% منهم </w:t>
      </w:r>
      <w:r w:rsidR="00367D69" w:rsidRPr="00CD68B0">
        <w:rPr>
          <w:rFonts w:ascii="Simplified Arabic" w:hAnsi="Simplified Arabic" w:cs="Simplified Arabic"/>
          <w:sz w:val="26"/>
          <w:szCs w:val="26"/>
          <w:rtl/>
        </w:rPr>
        <w:t>تلقوا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 xml:space="preserve"> أجور/رواتب بشكل جزئي، و52% لم يتلقوا أي أجور/رواتب خلال فترة الاغلاق</w:t>
      </w:r>
      <w:r w:rsidR="007906D9" w:rsidRPr="00CD68B0">
        <w:rPr>
          <w:rFonts w:ascii="Simplified Arabic" w:hAnsi="Simplified Arabic" w:cs="Simplified Arabic"/>
          <w:sz w:val="26"/>
          <w:szCs w:val="26"/>
          <w:rtl/>
        </w:rPr>
        <w:t xml:space="preserve"> (95% منهم يعملون في القطاع الخاص، و2% يعملون في القطاع الحكومي، و3% يعملون في قطاعات أخرى)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DC1A9C"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ومع ذلك، فإن تأثير 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>كوفيد - 19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على الأجور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>/الرواتب مختلف تمام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>ا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>ً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في الضفة الغربية مقارنة بقطاع غزة ، حيث</w:t>
      </w:r>
      <w:r w:rsidR="003D7352" w:rsidRPr="00CD68B0">
        <w:rPr>
          <w:rFonts w:ascii="Simplified Arabic" w:hAnsi="Simplified Arabic" w:cs="Simplified Arabic"/>
          <w:sz w:val="26"/>
          <w:szCs w:val="26"/>
          <w:rtl/>
        </w:rPr>
        <w:t xml:space="preserve"> أن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67D69" w:rsidRPr="00CD68B0">
        <w:rPr>
          <w:rFonts w:ascii="Simplified Arabic" w:hAnsi="Simplified Arabic" w:cs="Simplified Arabic"/>
          <w:sz w:val="26"/>
          <w:szCs w:val="26"/>
          <w:rtl/>
        </w:rPr>
        <w:t>61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>%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67D69" w:rsidRPr="00CD68B0">
        <w:rPr>
          <w:rFonts w:ascii="Simplified Arabic" w:hAnsi="Simplified Arabic" w:cs="Simplified Arabic"/>
          <w:sz w:val="26"/>
          <w:szCs w:val="26"/>
          <w:rtl/>
        </w:rPr>
        <w:t>من المعيلين</w:t>
      </w:r>
      <w:r w:rsidR="000B7633" w:rsidRPr="00CD68B0">
        <w:rPr>
          <w:rFonts w:ascii="Simplified Arabic" w:hAnsi="Simplified Arabic" w:cs="Simplified Arabic"/>
          <w:sz w:val="26"/>
          <w:szCs w:val="26"/>
          <w:rtl/>
        </w:rPr>
        <w:t xml:space="preserve"> الرئيسين</w:t>
      </w:r>
      <w:r w:rsidR="00367D69" w:rsidRPr="00CD68B0">
        <w:rPr>
          <w:rFonts w:ascii="Simplified Arabic" w:hAnsi="Simplified Arabic" w:cs="Simplified Arabic"/>
          <w:sz w:val="26"/>
          <w:szCs w:val="26"/>
          <w:rtl/>
        </w:rPr>
        <w:t xml:space="preserve"> العاملين بأجر 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 </w:t>
      </w:r>
      <w:r w:rsidR="00367D69" w:rsidRPr="00CD68B0">
        <w:rPr>
          <w:rFonts w:ascii="Simplified Arabic" w:hAnsi="Simplified Arabic" w:cs="Simplified Arabic"/>
          <w:sz w:val="26"/>
          <w:szCs w:val="26"/>
          <w:rtl/>
        </w:rPr>
        <w:t xml:space="preserve">كان عملهم غير مدفوع الأجر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مقابل </w:t>
      </w:r>
      <w:r w:rsidR="00367D69" w:rsidRPr="00CD68B0">
        <w:rPr>
          <w:rFonts w:ascii="Simplified Arabic" w:hAnsi="Simplified Arabic" w:cs="Simplified Arabic"/>
          <w:sz w:val="26"/>
          <w:szCs w:val="26"/>
          <w:rtl/>
        </w:rPr>
        <w:t>31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>%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24629" w:rsidRPr="00CD68B0">
        <w:rPr>
          <w:rFonts w:ascii="Simplified Arabic" w:hAnsi="Simplified Arabic" w:cs="Simplified Arabic"/>
          <w:sz w:val="26"/>
          <w:szCs w:val="26"/>
          <w:rtl/>
        </w:rPr>
        <w:t xml:space="preserve">في قطاع غزة </w:t>
      </w:r>
      <w:r w:rsidR="00367D69" w:rsidRPr="00CD68B0">
        <w:rPr>
          <w:rFonts w:ascii="Simplified Arabic" w:hAnsi="Simplified Arabic" w:cs="Simplified Arabic"/>
          <w:sz w:val="26"/>
          <w:szCs w:val="26"/>
          <w:rtl/>
        </w:rPr>
        <w:t xml:space="preserve">لم يحصلوا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على أجورهم المعتادة. </w:t>
      </w:r>
      <w:r w:rsidR="00367D69"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وبالمثل، هناك اختلافات بين الجنسين حيث أن </w:t>
      </w:r>
      <w:r w:rsidR="00437416" w:rsidRPr="00CD68B0">
        <w:rPr>
          <w:rFonts w:ascii="Simplified Arabic" w:hAnsi="Simplified Arabic" w:cs="Simplified Arabic"/>
          <w:sz w:val="26"/>
          <w:szCs w:val="26"/>
          <w:rtl/>
        </w:rPr>
        <w:t xml:space="preserve">26% من المعيلات الرئيسيات العاملات بأجر من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النساء </w:t>
      </w:r>
      <w:r w:rsidR="00437416" w:rsidRPr="00CD68B0">
        <w:rPr>
          <w:rFonts w:ascii="Simplified Arabic" w:hAnsi="Simplified Arabic" w:cs="Simplified Arabic"/>
          <w:sz w:val="26"/>
          <w:szCs w:val="26"/>
          <w:rtl/>
        </w:rPr>
        <w:t>لم ي</w:t>
      </w:r>
      <w:r w:rsidR="00F621F1" w:rsidRPr="00CD68B0">
        <w:rPr>
          <w:rFonts w:ascii="Simplified Arabic" w:hAnsi="Simplified Arabic" w:cs="Simplified Arabic"/>
          <w:sz w:val="26"/>
          <w:szCs w:val="26"/>
          <w:rtl/>
        </w:rPr>
        <w:t xml:space="preserve">حصلن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على أجرهن الكامل </w:t>
      </w:r>
      <w:r w:rsidR="00437416" w:rsidRPr="00CD68B0">
        <w:rPr>
          <w:rFonts w:ascii="Simplified Arabic" w:hAnsi="Simplified Arabic" w:cs="Simplified Arabic"/>
          <w:sz w:val="26"/>
          <w:szCs w:val="26"/>
          <w:rtl/>
        </w:rPr>
        <w:t>وهو أقل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من نظرائهن من الرجال</w:t>
      </w:r>
      <w:r w:rsidR="00437416" w:rsidRPr="00CD68B0">
        <w:rPr>
          <w:rFonts w:ascii="Simplified Arabic" w:hAnsi="Simplified Arabic" w:cs="Simplified Arabic"/>
          <w:sz w:val="26"/>
          <w:szCs w:val="26"/>
          <w:rtl/>
        </w:rPr>
        <w:t xml:space="preserve"> والتي شكلت نسبتهم 52%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40452" w:rsidRPr="00CD68B0" w:rsidRDefault="00940452" w:rsidP="0016419D">
      <w:pPr>
        <w:bidi/>
        <w:rPr>
          <w:rFonts w:ascii="Simplified Arabic" w:hAnsi="Simplified Arabic" w:cs="Simplified Arabic"/>
          <w:i/>
          <w:sz w:val="26"/>
          <w:szCs w:val="26"/>
          <w:rtl/>
          <w:lang w:val="en-GB"/>
        </w:rPr>
      </w:pPr>
    </w:p>
    <w:p w:rsidR="00DC48FA" w:rsidRPr="00CD68B0" w:rsidRDefault="00FD7375" w:rsidP="00CD68B0">
      <w:pPr>
        <w:pStyle w:val="Heading2"/>
        <w:bidi/>
        <w:spacing w:before="0" w:after="0"/>
        <w:jc w:val="lowKashida"/>
        <w:rPr>
          <w:rStyle w:val="1H"/>
          <w:rFonts w:ascii="Simplified Arabic" w:hAnsi="Simplified Arabic" w:cs="Simplified Arabic"/>
          <w:b/>
          <w:i w:val="0"/>
          <w:iCs w:val="0"/>
          <w:smallCaps/>
        </w:rPr>
      </w:pPr>
      <w:bookmarkStart w:id="10" w:name="_Toc51230536"/>
      <w:r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2. </w:t>
      </w:r>
      <w:r w:rsidR="008D4757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>أثر</w:t>
      </w:r>
      <w:r w:rsidR="00C666AF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 </w:t>
      </w:r>
      <w:r w:rsidR="000D4786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كوفيد – 19 </w:t>
      </w:r>
      <w:r w:rsidR="00C666AF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>على الوصول الى الخدمات</w:t>
      </w:r>
      <w:bookmarkEnd w:id="10"/>
      <w:r w:rsidR="00C666AF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 </w:t>
      </w:r>
      <w:r w:rsidR="00ED5460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>(الصحية، والتعليمية، والمالية)</w:t>
      </w:r>
    </w:p>
    <w:p w:rsidR="00955E89" w:rsidRPr="00CD68B0" w:rsidRDefault="00955E89" w:rsidP="00830348">
      <w:pPr>
        <w:bidi/>
        <w:jc w:val="lowKashida"/>
        <w:rPr>
          <w:rFonts w:ascii="Simplified Arabic" w:hAnsi="Simplified Arabic" w:cs="Simplified Arabic"/>
          <w:noProof/>
          <w:sz w:val="28"/>
          <w:szCs w:val="28"/>
          <w:rtl/>
        </w:rPr>
      </w:pPr>
    </w:p>
    <w:p w:rsidR="00955E89" w:rsidRPr="00CD68B0" w:rsidRDefault="00955E89" w:rsidP="00955E89">
      <w:pPr>
        <w:bidi/>
        <w:jc w:val="center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CD68B0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الوصول إلى الخدمات الصحية كانت متاحة للأسر التي احتاجت لهذه الخدمات</w:t>
      </w:r>
    </w:p>
    <w:p w:rsidR="00955E89" w:rsidRPr="00CD68B0" w:rsidRDefault="00955E89" w:rsidP="00955E89">
      <w:pPr>
        <w:bidi/>
        <w:jc w:val="center"/>
        <w:rPr>
          <w:rFonts w:ascii="Simplified Arabic" w:hAnsi="Simplified Arabic" w:cs="Simplified Arabic"/>
          <w:noProof/>
          <w:sz w:val="26"/>
          <w:szCs w:val="26"/>
          <w:rtl/>
        </w:rPr>
      </w:pPr>
    </w:p>
    <w:p w:rsidR="005609B2" w:rsidRPr="00CD68B0" w:rsidRDefault="007906D9" w:rsidP="00955E89">
      <w:pPr>
        <w:bidi/>
        <w:jc w:val="lowKashida"/>
        <w:rPr>
          <w:rFonts w:ascii="Simplified Arabic" w:hAnsi="Simplified Arabic" w:cs="Simplified Arabic"/>
          <w:noProof/>
          <w:sz w:val="26"/>
          <w:szCs w:val="26"/>
        </w:rPr>
      </w:pPr>
      <w:r w:rsidRPr="00CD68B0">
        <w:rPr>
          <w:rFonts w:ascii="Simplified Arabic" w:hAnsi="Simplified Arabic" w:cs="Simplified Arabic"/>
          <w:noProof/>
          <w:sz w:val="26"/>
          <w:szCs w:val="26"/>
          <w:rtl/>
        </w:rPr>
        <w:t>4% من الاسر التي احتاج</w:t>
      </w:r>
      <w:r w:rsidR="00731A1D" w:rsidRPr="00CD68B0">
        <w:rPr>
          <w:rFonts w:ascii="Simplified Arabic" w:hAnsi="Simplified Arabic" w:cs="Simplified Arabic"/>
          <w:noProof/>
          <w:sz w:val="26"/>
          <w:szCs w:val="26"/>
          <w:rtl/>
        </w:rPr>
        <w:t>ت</w:t>
      </w:r>
      <w:r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الى خدمات صحية لم تتمكن من الوصول الى الخدمات الصحية</w:t>
      </w:r>
      <w:r w:rsidR="00630E0D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. </w:t>
      </w:r>
      <w:r w:rsidR="00026002" w:rsidRPr="00CD68B0">
        <w:rPr>
          <w:rFonts w:ascii="Simplified Arabic" w:hAnsi="Simplified Arabic" w:cs="Simplified Arabic"/>
          <w:noProof/>
          <w:sz w:val="26"/>
          <w:szCs w:val="26"/>
          <w:rtl/>
        </w:rPr>
        <w:t>بينت النتائج ان</w:t>
      </w:r>
      <w:r w:rsidR="00F621F1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أدنى النسب المئوية </w:t>
      </w:r>
      <w:r w:rsidR="0002600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كانت </w:t>
      </w:r>
      <w:r w:rsidR="00F621F1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للوصول </w:t>
      </w:r>
      <w:r w:rsidR="00026002" w:rsidRPr="00CD68B0">
        <w:rPr>
          <w:rFonts w:ascii="Simplified Arabic" w:hAnsi="Simplified Arabic" w:cs="Simplified Arabic"/>
          <w:noProof/>
          <w:sz w:val="26"/>
          <w:szCs w:val="26"/>
          <w:rtl/>
        </w:rPr>
        <w:t>للمطاعيم</w:t>
      </w:r>
      <w:r w:rsidR="00F621F1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ورعاية الحالات المزمنة</w:t>
      </w:r>
      <w:r w:rsidR="00026002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وغير المزمنة</w:t>
      </w:r>
      <w:r w:rsidR="00F621F1" w:rsidRPr="00CD68B0">
        <w:rPr>
          <w:rFonts w:ascii="Simplified Arabic" w:hAnsi="Simplified Arabic" w:cs="Simplified Arabic"/>
          <w:noProof/>
          <w:sz w:val="26"/>
          <w:szCs w:val="26"/>
          <w:rtl/>
        </w:rPr>
        <w:t>.</w:t>
      </w:r>
      <w:r w:rsidR="00EE2A41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وفيما يتعلق بالاسباب وراء عدم القدرة على الحصول على الخدمة الصحية، فقد كان أهمها عدم استقبال المراكز الصحية والمستشفيات للمرض</w:t>
      </w:r>
      <w:r w:rsidR="003D7352" w:rsidRPr="00CD68B0">
        <w:rPr>
          <w:rFonts w:ascii="Simplified Arabic" w:hAnsi="Simplified Arabic" w:cs="Simplified Arabic"/>
          <w:noProof/>
          <w:sz w:val="26"/>
          <w:szCs w:val="26"/>
          <w:rtl/>
        </w:rPr>
        <w:t>ى</w:t>
      </w:r>
      <w:r w:rsidR="00EE2A41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(39%)، وعدم المقدرة على الدفع (تغطية التكاليف) (23%)، والخوف من مغادرة المنزل (11%).</w:t>
      </w:r>
      <w:r w:rsidR="00783457" w:rsidRPr="00CD68B0">
        <w:rPr>
          <w:rFonts w:ascii="Simplified Arabic" w:hAnsi="Simplified Arabic" w:cs="Simplified Arabic"/>
          <w:noProof/>
          <w:sz w:val="26"/>
          <w:szCs w:val="26"/>
          <w:rtl/>
        </w:rPr>
        <w:t xml:space="preserve">  </w:t>
      </w:r>
      <w:bookmarkEnd w:id="3"/>
      <w:bookmarkEnd w:id="4"/>
      <w:bookmarkEnd w:id="5"/>
      <w:bookmarkEnd w:id="6"/>
      <w:bookmarkEnd w:id="7"/>
    </w:p>
    <w:p w:rsidR="00955E89" w:rsidRPr="00CD68B0" w:rsidRDefault="00955E89" w:rsidP="00955E89">
      <w:pPr>
        <w:bidi/>
        <w:jc w:val="lowKashida"/>
        <w:rPr>
          <w:rFonts w:ascii="Simplified Arabic" w:hAnsi="Simplified Arabic" w:cs="Simplified Arabic"/>
          <w:smallCaps/>
          <w:sz w:val="26"/>
          <w:szCs w:val="26"/>
          <w:rtl/>
        </w:rPr>
      </w:pPr>
    </w:p>
    <w:p w:rsidR="00955E89" w:rsidRPr="00CD68B0" w:rsidRDefault="00955E89" w:rsidP="00955E89">
      <w:pPr>
        <w:bidi/>
        <w:jc w:val="center"/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</w:pPr>
      <w:r w:rsidRPr="00CD68B0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تباين في مشاركة الطلاب في التعليم عن بعد</w:t>
      </w:r>
    </w:p>
    <w:p w:rsidR="00955E89" w:rsidRPr="00CD68B0" w:rsidRDefault="00955E89" w:rsidP="00955E89">
      <w:pPr>
        <w:bidi/>
        <w:jc w:val="center"/>
        <w:rPr>
          <w:rFonts w:ascii="Simplified Arabic" w:hAnsi="Simplified Arabic" w:cs="Simplified Arabic"/>
          <w:b/>
          <w:bCs/>
          <w:smallCaps/>
          <w:sz w:val="10"/>
          <w:szCs w:val="10"/>
        </w:rPr>
      </w:pPr>
    </w:p>
    <w:p w:rsidR="00FA49AD" w:rsidRDefault="003B069C" w:rsidP="00CD68B0">
      <w:pPr>
        <w:bidi/>
        <w:jc w:val="lowKashida"/>
        <w:rPr>
          <w:rFonts w:ascii="Simplified Arabic" w:hAnsi="Simplified Arabic" w:cs="Simplified Arabic" w:hint="cs"/>
          <w:smallCaps/>
          <w:sz w:val="26"/>
          <w:szCs w:val="26"/>
          <w:rtl/>
        </w:rPr>
      </w:pPr>
      <w:r w:rsidRPr="00CD68B0">
        <w:rPr>
          <w:rFonts w:ascii="Simplified Arabic" w:hAnsi="Simplified Arabic" w:cs="Simplified Arabic"/>
          <w:smallCaps/>
          <w:sz w:val="26"/>
          <w:szCs w:val="26"/>
          <w:rtl/>
        </w:rPr>
        <w:t>51% من الاسر في فلسطين التي لديها أطفال (6-18 سنة) وملتحقين بالتعليم قبل الإغلاق شارك أطفالهم في أنشطة تعليمية خلال فترة الإغلاق، (53% في الضفة الغربية، و49% في قطاع غزة).</w:t>
      </w:r>
      <w:r w:rsidR="002A7A0A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مع وجود تباين واضح في مشاركة الطلاب بين المحافظات</w:t>
      </w:r>
      <w:r w:rsidR="003D7352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، حيث كانت اعلى نسبة مشاركة في محافظة القدس (85%)، </w:t>
      </w:r>
      <w:r w:rsidR="00FA49AD" w:rsidRPr="00CD68B0">
        <w:rPr>
          <w:rFonts w:ascii="Simplified Arabic" w:hAnsi="Simplified Arabic" w:cs="Simplified Arabic"/>
          <w:smallCaps/>
          <w:sz w:val="26"/>
          <w:szCs w:val="26"/>
          <w:rtl/>
        </w:rPr>
        <w:t>وأدنى</w:t>
      </w:r>
      <w:r w:rsidR="003D7352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نسبة مشاركة في محافظة الخليل </w:t>
      </w:r>
      <w:r w:rsidR="00CD68B0">
        <w:rPr>
          <w:rFonts w:ascii="Simplified Arabic" w:hAnsi="Simplified Arabic" w:cs="Simplified Arabic" w:hint="cs"/>
          <w:smallCaps/>
          <w:sz w:val="26"/>
          <w:szCs w:val="26"/>
          <w:rtl/>
        </w:rPr>
        <w:t xml:space="preserve"> </w:t>
      </w:r>
      <w:r w:rsidR="00CD68B0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  <w:r w:rsidR="003D7352" w:rsidRPr="00CD68B0">
        <w:rPr>
          <w:rFonts w:ascii="Simplified Arabic" w:hAnsi="Simplified Arabic" w:cs="Simplified Arabic"/>
          <w:smallCaps/>
          <w:sz w:val="26"/>
          <w:szCs w:val="26"/>
          <w:rtl/>
        </w:rPr>
        <w:t>(39%)</w:t>
      </w:r>
      <w:r w:rsidR="002A7A0A" w:rsidRPr="00CD68B0">
        <w:rPr>
          <w:rFonts w:ascii="Simplified Arabic" w:hAnsi="Simplified Arabic" w:cs="Simplified Arabic"/>
          <w:smallCaps/>
          <w:sz w:val="26"/>
          <w:szCs w:val="26"/>
          <w:rtl/>
        </w:rPr>
        <w:t>.</w:t>
      </w: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smallCaps/>
          <w:sz w:val="26"/>
          <w:szCs w:val="26"/>
          <w:rtl/>
        </w:rPr>
      </w:pP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smallCaps/>
          <w:sz w:val="26"/>
          <w:szCs w:val="26"/>
          <w:rtl/>
        </w:rPr>
      </w:pP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smallCaps/>
          <w:sz w:val="26"/>
          <w:szCs w:val="26"/>
          <w:rtl/>
        </w:rPr>
      </w:pP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smallCaps/>
          <w:sz w:val="26"/>
          <w:szCs w:val="26"/>
          <w:rtl/>
        </w:rPr>
      </w:pP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smallCaps/>
          <w:sz w:val="26"/>
          <w:szCs w:val="26"/>
          <w:rtl/>
        </w:rPr>
      </w:pPr>
    </w:p>
    <w:p w:rsidR="00CD68B0" w:rsidRDefault="00CD68B0" w:rsidP="00FA49AD">
      <w:pPr>
        <w:bidi/>
        <w:jc w:val="center"/>
        <w:rPr>
          <w:rFonts w:ascii="Simplified Arabic" w:hAnsi="Simplified Arabic" w:cs="Simplified Arabic" w:hint="cs"/>
          <w:smallCaps/>
          <w:sz w:val="26"/>
          <w:szCs w:val="26"/>
          <w:rtl/>
        </w:rPr>
      </w:pPr>
      <w:r w:rsidRPr="00CD68B0">
        <w:rPr>
          <w:rFonts w:ascii="Simplified Arabic" w:hAnsi="Simplified Arabic" w:cs="Simplified Arabic"/>
          <w:b/>
          <w:bCs/>
          <w:smallCaps/>
          <w:noProof/>
          <w:sz w:val="26"/>
          <w:szCs w:val="26"/>
          <w:rtl/>
        </w:rPr>
        <w:lastRenderedPageBreak/>
        <w:pict>
          <v:rect id="Rectangle 77" o:spid="_x0000_s1031" style="position:absolute;left:0;text-align:left;margin-left:1.85pt;margin-top:55.8pt;width:477.2pt;height:28.3pt;z-index:2516567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" fillcolor="#4f81bd" strokecolor="#243f60" strokeweight="2pt">
            <v:textbox>
              <w:txbxContent>
                <w:p w:rsidR="003F473F" w:rsidRPr="00FE729E" w:rsidRDefault="00151D9D" w:rsidP="00731A1D">
                  <w:pPr>
                    <w:jc w:val="center"/>
                    <w:rPr>
                      <w:sz w:val="28"/>
                      <w:szCs w:val="24"/>
                    </w:rPr>
                  </w:pPr>
                  <w:r w:rsidRPr="00151D9D">
                    <w:rPr>
                      <w:rFonts w:ascii="Simplified Arabic" w:hAnsi="Simplified Arabic" w:cs="Simplified Arabic"/>
                      <w:b/>
                      <w:bCs/>
                      <w:smallCaps/>
                      <w:szCs w:val="22"/>
                      <w:rtl/>
                    </w:rPr>
                    <w:t>نسبة الاسر في فلسطين وال</w:t>
                  </w:r>
                  <w:r w:rsidR="00731A1D">
                    <w:rPr>
                      <w:rFonts w:ascii="Simplified Arabic" w:hAnsi="Simplified Arabic" w:cs="Simplified Arabic" w:hint="cs"/>
                      <w:b/>
                      <w:bCs/>
                      <w:smallCaps/>
                      <w:szCs w:val="22"/>
                      <w:rtl/>
                    </w:rPr>
                    <w:t>ت</w:t>
                  </w:r>
                  <w:r w:rsidRPr="00151D9D">
                    <w:rPr>
                      <w:rFonts w:ascii="Simplified Arabic" w:hAnsi="Simplified Arabic" w:cs="Simplified Arabic"/>
                      <w:b/>
                      <w:bCs/>
                      <w:smallCaps/>
                      <w:szCs w:val="22"/>
                      <w:rtl/>
                    </w:rPr>
                    <w:t>ي شارك أطفاله</w:t>
                  </w:r>
                  <w:r w:rsidR="00731A1D">
                    <w:rPr>
                      <w:rFonts w:ascii="Simplified Arabic" w:hAnsi="Simplified Arabic" w:cs="Simplified Arabic" w:hint="cs"/>
                      <w:b/>
                      <w:bCs/>
                      <w:smallCaps/>
                      <w:szCs w:val="22"/>
                      <w:rtl/>
                    </w:rPr>
                    <w:t>ا</w:t>
                  </w:r>
                  <w:r w:rsidRPr="00151D9D">
                    <w:rPr>
                      <w:rFonts w:ascii="Simplified Arabic" w:hAnsi="Simplified Arabic" w:cs="Simplified Arabic"/>
                      <w:b/>
                      <w:bCs/>
                      <w:smallCaps/>
                      <w:szCs w:val="22"/>
                      <w:rtl/>
                    </w:rPr>
                    <w:t xml:space="preserve"> في أي أنشطة تعليمية خلال فترة الاغلاقات (آذار- أيار، 2020) حسب المحافظة</w:t>
                  </w:r>
                </w:p>
              </w:txbxContent>
            </v:textbox>
            <w10:wrap type="topAndBottom" anchorx="margin"/>
          </v:rect>
        </w:pict>
      </w:r>
    </w:p>
    <w:p w:rsidR="00CD68B0" w:rsidRDefault="00CD68B0" w:rsidP="00CD68B0">
      <w:pPr>
        <w:bidi/>
        <w:jc w:val="center"/>
        <w:rPr>
          <w:rFonts w:ascii="Simplified Arabic" w:hAnsi="Simplified Arabic" w:cs="Simplified Arabic" w:hint="cs"/>
          <w:smallCaps/>
          <w:sz w:val="26"/>
          <w:szCs w:val="26"/>
          <w:rtl/>
        </w:rPr>
      </w:pPr>
    </w:p>
    <w:p w:rsidR="007906D9" w:rsidRPr="00CD68B0" w:rsidRDefault="006C239A" w:rsidP="00CD68B0">
      <w:pPr>
        <w:bidi/>
        <w:jc w:val="center"/>
        <w:rPr>
          <w:rFonts w:ascii="Simplified Arabic" w:hAnsi="Simplified Arabic" w:cs="Simplified Arabic"/>
          <w:smallCaps/>
          <w:sz w:val="26"/>
          <w:szCs w:val="26"/>
          <w:rtl/>
        </w:rPr>
      </w:pPr>
      <w:r>
        <w:rPr>
          <w:noProof/>
          <w:rtl/>
        </w:rPr>
        <w:drawing>
          <wp:anchor distT="158496" distB="1019937" distL="2077212" distR="1204633" simplePos="0" relativeHeight="251657728" behindDoc="0" locked="0" layoutInCell="1" allowOverlap="1">
            <wp:simplePos x="0" y="0"/>
            <wp:positionH relativeFrom="page">
              <wp:posOffset>1240155</wp:posOffset>
            </wp:positionH>
            <wp:positionV relativeFrom="paragraph">
              <wp:posOffset>556895</wp:posOffset>
            </wp:positionV>
            <wp:extent cx="5431790" cy="1383665"/>
            <wp:effectExtent l="0" t="635" r="635" b="0"/>
            <wp:wrapNone/>
            <wp:docPr id="10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Simplified Arabic" w:hAnsi="Simplified Arabic" w:cs="Simplified Arabic"/>
          <w:smallCaps/>
          <w:noProof/>
          <w:sz w:val="26"/>
          <w:szCs w:val="26"/>
        </w:rPr>
        <w:drawing>
          <wp:inline distT="0" distB="0" distL="0" distR="0">
            <wp:extent cx="6076950" cy="330517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68B0" w:rsidRDefault="00CD68B0" w:rsidP="00955E89">
      <w:pPr>
        <w:bidi/>
        <w:jc w:val="center"/>
        <w:rPr>
          <w:rFonts w:ascii="Simplified Arabic" w:hAnsi="Simplified Arabic" w:cs="Simplified Arabic" w:hint="cs"/>
          <w:b/>
          <w:bCs/>
          <w:smallCaps/>
          <w:sz w:val="26"/>
          <w:szCs w:val="26"/>
          <w:rtl/>
        </w:rPr>
      </w:pPr>
    </w:p>
    <w:p w:rsidR="00955E89" w:rsidRPr="00CD68B0" w:rsidRDefault="00955E89" w:rsidP="00CD68B0">
      <w:pPr>
        <w:bidi/>
        <w:jc w:val="center"/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</w:pPr>
      <w:r w:rsidRPr="00CD68B0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اسرتين من بين 5 اسر قيمت تجربة التعليم عن بعد بأنها سيئة ولم تُؤدِّ الغرض منها</w:t>
      </w:r>
    </w:p>
    <w:p w:rsidR="00955E89" w:rsidRPr="00CD68B0" w:rsidRDefault="00955E89" w:rsidP="00955E89">
      <w:pPr>
        <w:bidi/>
        <w:jc w:val="center"/>
        <w:rPr>
          <w:rFonts w:ascii="Simplified Arabic" w:hAnsi="Simplified Arabic" w:cs="Simplified Arabic"/>
          <w:b/>
          <w:bCs/>
          <w:smallCaps/>
          <w:sz w:val="26"/>
          <w:szCs w:val="26"/>
        </w:rPr>
      </w:pPr>
    </w:p>
    <w:p w:rsidR="00C041E4" w:rsidRPr="00CD68B0" w:rsidRDefault="001677C7" w:rsidP="00830348">
      <w:pPr>
        <w:bidi/>
        <w:jc w:val="lowKashida"/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</w:pPr>
      <w:r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40</w:t>
      </w:r>
      <w:r w:rsidR="00DE077C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% من 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ال</w:t>
      </w:r>
      <w:r w:rsidR="003855A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أ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سر الذين</w:t>
      </w:r>
      <w:r w:rsidR="00DE077C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 شارك أطفالهم في أي من الأنشطة التعليمية </w:t>
      </w:r>
      <w:r w:rsidR="00DE4541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خلال فترة الإغلاق </w:t>
      </w:r>
      <w:r w:rsidR="00DE077C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قيموا التجربة بانها سيئة ولم </w:t>
      </w:r>
      <w:r w:rsidR="00830348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تُؤدِّ</w:t>
      </w:r>
      <w:r w:rsidR="00DE077C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 الغرض منها، و39% 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قيموا التجربة بانها </w:t>
      </w:r>
      <w:r w:rsidR="00DE077C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جيدة 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وأدت</w:t>
      </w:r>
      <w:r w:rsidR="00DE077C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 الغرض منها ولكن </w:t>
      </w:r>
      <w:r w:rsidR="00E72B5A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هنالك</w:t>
      </w:r>
      <w:r w:rsidR="00DE077C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 مجال لتحسين التجربة، و21% 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قيموا التجربة بانها </w:t>
      </w:r>
      <w:r w:rsidR="00DE077C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جيدة 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وأدت</w:t>
      </w:r>
      <w:r w:rsidR="00DE077C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 الغرض منها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.</w:t>
      </w:r>
      <w:r w:rsidR="003B069C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</w:p>
    <w:p w:rsidR="00955E89" w:rsidRPr="00CD68B0" w:rsidRDefault="00955E89" w:rsidP="00955E89">
      <w:pPr>
        <w:bidi/>
        <w:jc w:val="lowKashida"/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</w:pPr>
    </w:p>
    <w:p w:rsidR="00955E89" w:rsidRPr="00CD68B0" w:rsidRDefault="00955E89" w:rsidP="00955E89">
      <w:pPr>
        <w:bidi/>
        <w:jc w:val="center"/>
        <w:rPr>
          <w:rFonts w:ascii="Simplified Arabic" w:hAnsi="Simplified Arabic" w:cs="Simplified Arabic"/>
          <w:b/>
          <w:bCs/>
          <w:smallCaps/>
          <w:sz w:val="28"/>
          <w:szCs w:val="28"/>
        </w:rPr>
      </w:pPr>
      <w:r w:rsidRPr="00CD68B0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حوالي نصف الأسر حرم أطفالهم من المشاركة بالتعليم عن بعد بسبب عدم وجود انترنت</w:t>
      </w:r>
    </w:p>
    <w:p w:rsidR="00955E89" w:rsidRPr="00CD68B0" w:rsidRDefault="00955E89" w:rsidP="00955E89">
      <w:pPr>
        <w:bidi/>
        <w:jc w:val="lowKashida"/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</w:pPr>
    </w:p>
    <w:p w:rsidR="00AB4EC2" w:rsidRPr="00CD68B0" w:rsidRDefault="00796041" w:rsidP="00830348">
      <w:pPr>
        <w:bidi/>
        <w:jc w:val="lowKashida"/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</w:pPr>
      <w:r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49% من ال</w:t>
      </w:r>
      <w:r w:rsidR="003855A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أ</w:t>
      </w:r>
      <w:r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سر أشارت الى ان عدم وجود الانترنت في المنزل حال دون 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مشاركة </w:t>
      </w:r>
      <w:r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أطفالهم في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 الأنشطة التعليمية </w:t>
      </w:r>
      <w:r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خلال الإغلاق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، </w:t>
      </w:r>
      <w:r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ولم يشارك 22% منهم بسبب عدم 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قيام المدرسين بتنفيذ أنشطة تعليمية، </w:t>
      </w:r>
      <w:r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و13% </w:t>
      </w:r>
      <w:r w:rsidR="00830348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من الاسر </w:t>
      </w:r>
      <w:r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كان </w:t>
      </w:r>
      <w:r w:rsidR="003855A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عدم مشاركة </w:t>
      </w:r>
      <w:r w:rsidR="00830348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اطفالهم </w:t>
      </w:r>
      <w:r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عائداً ل</w:t>
      </w:r>
      <w:r w:rsidR="005972B2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عدم رغبة الطفل في تنفيذ الأنشطة التعليمية</w:t>
      </w:r>
      <w:r w:rsidR="00833F50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>.</w:t>
      </w:r>
      <w:r w:rsidR="00ED5460" w:rsidRPr="00CD68B0">
        <w:rPr>
          <w:rStyle w:val="1H"/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</w:p>
    <w:p w:rsidR="003855A2" w:rsidRDefault="003855A2" w:rsidP="0016419D">
      <w:pPr>
        <w:bidi/>
        <w:jc w:val="lowKashida"/>
        <w:rPr>
          <w:rFonts w:ascii="Simplified Arabic" w:hAnsi="Simplified Arabic" w:cs="Simplified Arabic" w:hint="cs"/>
          <w:b/>
          <w:sz w:val="26"/>
          <w:szCs w:val="26"/>
          <w:rtl/>
        </w:rPr>
      </w:pP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b/>
          <w:sz w:val="26"/>
          <w:szCs w:val="26"/>
          <w:rtl/>
        </w:rPr>
      </w:pP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b/>
          <w:sz w:val="26"/>
          <w:szCs w:val="26"/>
          <w:rtl/>
        </w:rPr>
      </w:pP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b/>
          <w:sz w:val="26"/>
          <w:szCs w:val="26"/>
          <w:rtl/>
        </w:rPr>
      </w:pPr>
    </w:p>
    <w:p w:rsidR="00CD68B0" w:rsidRPr="00CD68B0" w:rsidRDefault="00CD68B0" w:rsidP="00CD68B0">
      <w:pPr>
        <w:bidi/>
        <w:jc w:val="lowKashida"/>
        <w:rPr>
          <w:rFonts w:ascii="Simplified Arabic" w:hAnsi="Simplified Arabic" w:cs="Simplified Arabic"/>
          <w:b/>
          <w:sz w:val="26"/>
          <w:szCs w:val="26"/>
          <w:rtl/>
        </w:rPr>
      </w:pPr>
    </w:p>
    <w:p w:rsidR="005D0E23" w:rsidRPr="00CD68B0" w:rsidRDefault="00FD7375" w:rsidP="00CD68B0">
      <w:pPr>
        <w:pStyle w:val="Heading2"/>
        <w:bidi/>
        <w:spacing w:before="0" w:after="0"/>
        <w:jc w:val="lowKashida"/>
        <w:rPr>
          <w:rStyle w:val="1H"/>
          <w:rFonts w:ascii="Simplified Arabic" w:hAnsi="Simplified Arabic" w:cs="Simplified Arabic"/>
          <w:b/>
          <w:i w:val="0"/>
          <w:iCs w:val="0"/>
          <w:smallCaps/>
        </w:rPr>
      </w:pPr>
      <w:bookmarkStart w:id="11" w:name="_Toc51230537"/>
      <w:r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lastRenderedPageBreak/>
        <w:t>3</w:t>
      </w:r>
      <w:r w:rsidR="002E2B1B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. </w:t>
      </w:r>
      <w:r w:rsidR="00596D6C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الأمن الغذائي </w:t>
      </w:r>
      <w:r w:rsidR="000D4786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>وأثر كوفيد - 19</w:t>
      </w:r>
      <w:r w:rsidR="00596D6C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 على سبل العيش</w:t>
      </w:r>
      <w:bookmarkEnd w:id="11"/>
      <w:r w:rsidR="00596D6C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 </w:t>
      </w:r>
    </w:p>
    <w:p w:rsidR="00955E89" w:rsidRPr="00CD68B0" w:rsidRDefault="00955E89" w:rsidP="00955E89">
      <w:pPr>
        <w:bidi/>
        <w:jc w:val="center"/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</w:pPr>
    </w:p>
    <w:p w:rsidR="00410080" w:rsidRPr="00CD68B0" w:rsidRDefault="00955E89" w:rsidP="00955E89">
      <w:pPr>
        <w:bidi/>
        <w:jc w:val="center"/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</w:pPr>
      <w:r w:rsidRPr="00CD68B0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أسرتين من بين خمسة أسر انخفض دخلها بمقدار النصف فأكثر</w:t>
      </w:r>
    </w:p>
    <w:p w:rsidR="00955E89" w:rsidRPr="00CD68B0" w:rsidRDefault="00955E89" w:rsidP="00955E89">
      <w:pPr>
        <w:bidi/>
        <w:jc w:val="center"/>
        <w:rPr>
          <w:rFonts w:ascii="Simplified Arabic" w:hAnsi="Simplified Arabic" w:cs="Simplified Arabic"/>
          <w:sz w:val="26"/>
          <w:szCs w:val="26"/>
          <w:rtl/>
        </w:rPr>
      </w:pPr>
    </w:p>
    <w:p w:rsidR="00940452" w:rsidRPr="00CD68B0" w:rsidRDefault="00246D0D" w:rsidP="00410080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D68B0">
        <w:rPr>
          <w:rFonts w:ascii="Simplified Arabic" w:hAnsi="Simplified Arabic" w:cs="Simplified Arabic"/>
          <w:sz w:val="26"/>
          <w:szCs w:val="26"/>
          <w:rtl/>
        </w:rPr>
        <w:t>42% من الاسر الفلسطينية انخفض دخل</w:t>
      </w:r>
      <w:r w:rsidR="00A6529C" w:rsidRPr="00CD68B0">
        <w:rPr>
          <w:rFonts w:ascii="Simplified Arabic" w:hAnsi="Simplified Arabic" w:cs="Simplified Arabic"/>
          <w:sz w:val="26"/>
          <w:szCs w:val="26"/>
          <w:rtl/>
        </w:rPr>
        <w:t>ه</w:t>
      </w:r>
      <w:r w:rsidR="003D7352" w:rsidRPr="00CD68B0">
        <w:rPr>
          <w:rFonts w:ascii="Simplified Arabic" w:hAnsi="Simplified Arabic" w:cs="Simplified Arabic"/>
          <w:sz w:val="26"/>
          <w:szCs w:val="26"/>
          <w:rtl/>
        </w:rPr>
        <w:t>ا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بمقدار النصف</w:t>
      </w:r>
      <w:r w:rsidR="00A6529C" w:rsidRPr="00CD68B0">
        <w:rPr>
          <w:rFonts w:ascii="Simplified Arabic" w:hAnsi="Simplified Arabic" w:cs="Simplified Arabic"/>
          <w:sz w:val="26"/>
          <w:szCs w:val="26"/>
          <w:rtl/>
        </w:rPr>
        <w:t xml:space="preserve"> فأكثر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خلال فترة </w:t>
      </w:r>
      <w:r w:rsidR="00053142" w:rsidRPr="00CD68B0">
        <w:rPr>
          <w:rFonts w:ascii="Simplified Arabic" w:hAnsi="Simplified Arabic" w:cs="Simplified Arabic"/>
          <w:sz w:val="26"/>
          <w:szCs w:val="26"/>
          <w:rtl/>
        </w:rPr>
        <w:t>الإغلاق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مقارنة مع شهر شباط/فبراير 2020</w:t>
      </w:r>
      <w:r w:rsidR="0017449E" w:rsidRPr="00CD68B0">
        <w:rPr>
          <w:rFonts w:ascii="Simplified Arabic" w:hAnsi="Simplified Arabic" w:cs="Simplified Arabic"/>
          <w:sz w:val="26"/>
          <w:szCs w:val="26"/>
          <w:rtl/>
        </w:rPr>
        <w:t xml:space="preserve"> (46% في الضفة الغربية، و38% في قطاع غزة)</w:t>
      </w:r>
      <w:r w:rsidR="00940452" w:rsidRPr="00CD68B0">
        <w:rPr>
          <w:rFonts w:ascii="Simplified Arabic" w:hAnsi="Simplified Arabic" w:cs="Simplified Arabic"/>
          <w:sz w:val="26"/>
          <w:szCs w:val="26"/>
          <w:rtl/>
        </w:rPr>
        <w:t>.</w:t>
      </w:r>
      <w:r w:rsidR="00270416" w:rsidRPr="00CD68B0">
        <w:rPr>
          <w:rFonts w:ascii="Simplified Arabic" w:hAnsi="Simplified Arabic" w:cs="Simplified Arabic"/>
          <w:sz w:val="26"/>
          <w:szCs w:val="26"/>
          <w:rtl/>
        </w:rPr>
        <w:t xml:space="preserve">  </w:t>
      </w:r>
      <w:r w:rsidR="00940452" w:rsidRPr="00CD68B0">
        <w:rPr>
          <w:rFonts w:ascii="Simplified Arabic" w:hAnsi="Simplified Arabic" w:cs="Simplified Arabic"/>
          <w:b/>
          <w:sz w:val="26"/>
          <w:szCs w:val="26"/>
          <w:rtl/>
        </w:rPr>
        <w:t>وأشارت</w:t>
      </w:r>
      <w:r w:rsidR="00940452"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0452" w:rsidRPr="00CD68B0">
        <w:rPr>
          <w:rFonts w:ascii="Simplified Arabic" w:hAnsi="Simplified Arabic" w:cs="Simplified Arabic"/>
          <w:b/>
          <w:sz w:val="26"/>
          <w:szCs w:val="26"/>
          <w:rtl/>
        </w:rPr>
        <w:t>31% من ال</w:t>
      </w:r>
      <w:r w:rsidR="003855A2" w:rsidRPr="00CD68B0">
        <w:rPr>
          <w:rFonts w:ascii="Simplified Arabic" w:hAnsi="Simplified Arabic" w:cs="Simplified Arabic"/>
          <w:b/>
          <w:sz w:val="26"/>
          <w:szCs w:val="26"/>
          <w:rtl/>
        </w:rPr>
        <w:t>أ</w:t>
      </w:r>
      <w:r w:rsidR="00940452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سر الفلسطينية بأنه يتوفر لديها مصادر </w:t>
      </w:r>
      <w:r w:rsidR="00410080" w:rsidRPr="00CD68B0">
        <w:rPr>
          <w:rFonts w:ascii="Simplified Arabic" w:hAnsi="Simplified Arabic" w:cs="Simplified Arabic"/>
          <w:b/>
          <w:sz w:val="26"/>
          <w:szCs w:val="26"/>
          <w:rtl/>
        </w:rPr>
        <w:t>لل</w:t>
      </w:r>
      <w:r w:rsidR="00940452" w:rsidRPr="00CD68B0">
        <w:rPr>
          <w:rFonts w:ascii="Simplified Arabic" w:hAnsi="Simplified Arabic" w:cs="Simplified Arabic"/>
          <w:b/>
          <w:sz w:val="26"/>
          <w:szCs w:val="26"/>
          <w:rtl/>
        </w:rPr>
        <w:t>دخل لتغطية نفقات ال</w:t>
      </w:r>
      <w:r w:rsidR="003855A2" w:rsidRPr="00CD68B0">
        <w:rPr>
          <w:rFonts w:ascii="Simplified Arabic" w:hAnsi="Simplified Arabic" w:cs="Simplified Arabic"/>
          <w:b/>
          <w:sz w:val="26"/>
          <w:szCs w:val="26"/>
          <w:rtl/>
        </w:rPr>
        <w:t>أ</w:t>
      </w:r>
      <w:r w:rsidR="00940452" w:rsidRPr="00CD68B0">
        <w:rPr>
          <w:rFonts w:ascii="Simplified Arabic" w:hAnsi="Simplified Arabic" w:cs="Simplified Arabic"/>
          <w:b/>
          <w:sz w:val="26"/>
          <w:szCs w:val="26"/>
          <w:rtl/>
        </w:rPr>
        <w:t>سرة خلال فترة الإغلاق (31% من ال</w:t>
      </w:r>
      <w:r w:rsidR="003855A2" w:rsidRPr="00CD68B0">
        <w:rPr>
          <w:rFonts w:ascii="Simplified Arabic" w:hAnsi="Simplified Arabic" w:cs="Simplified Arabic"/>
          <w:b/>
          <w:sz w:val="26"/>
          <w:szCs w:val="26"/>
          <w:rtl/>
        </w:rPr>
        <w:t>أ</w:t>
      </w:r>
      <w:r w:rsidR="00940452" w:rsidRPr="00CD68B0">
        <w:rPr>
          <w:rFonts w:ascii="Simplified Arabic" w:hAnsi="Simplified Arabic" w:cs="Simplified Arabic"/>
          <w:b/>
          <w:sz w:val="26"/>
          <w:szCs w:val="26"/>
          <w:rtl/>
        </w:rPr>
        <w:t>سر يعيلها ذكر، و40% من ال</w:t>
      </w:r>
      <w:r w:rsidR="003855A2" w:rsidRPr="00CD68B0">
        <w:rPr>
          <w:rFonts w:ascii="Simplified Arabic" w:hAnsi="Simplified Arabic" w:cs="Simplified Arabic"/>
          <w:b/>
          <w:sz w:val="26"/>
          <w:szCs w:val="26"/>
          <w:rtl/>
        </w:rPr>
        <w:t>أ</w:t>
      </w:r>
      <w:r w:rsidR="00940452" w:rsidRPr="00CD68B0">
        <w:rPr>
          <w:rFonts w:ascii="Simplified Arabic" w:hAnsi="Simplified Arabic" w:cs="Simplified Arabic"/>
          <w:b/>
          <w:sz w:val="26"/>
          <w:szCs w:val="26"/>
          <w:rtl/>
        </w:rPr>
        <w:t>سر تعيلها انثى).</w:t>
      </w:r>
    </w:p>
    <w:p w:rsidR="003D7352" w:rsidRPr="00CD68B0" w:rsidRDefault="003D7352" w:rsidP="003D7352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955E89" w:rsidRPr="00CD68B0" w:rsidRDefault="00955E89" w:rsidP="00955E89">
      <w:pPr>
        <w:jc w:val="center"/>
        <w:rPr>
          <w:rFonts w:ascii="Simplified Arabic" w:hAnsi="Simplified Arabic" w:cs="Simplified Arabic"/>
          <w:sz w:val="28"/>
          <w:szCs w:val="28"/>
        </w:rPr>
      </w:pPr>
      <w:r w:rsidRPr="00CD68B0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3 أسر من بين 5 أسر تستطيع تغطية نفقاتها لمدة شهر فأقل كالمعتاد في حال عاد الإغلاق</w:t>
      </w:r>
    </w:p>
    <w:p w:rsidR="00955E89" w:rsidRPr="00CD68B0" w:rsidRDefault="00955E89" w:rsidP="00955E89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270416" w:rsidRPr="00CD68B0" w:rsidRDefault="00270416" w:rsidP="00830348">
      <w:pPr>
        <w:bidi/>
        <w:jc w:val="lowKashida"/>
        <w:rPr>
          <w:rFonts w:ascii="Simplified Arabic" w:hAnsi="Simplified Arabic" w:cs="Simplified Arabic"/>
          <w:b/>
          <w:sz w:val="26"/>
          <w:szCs w:val="26"/>
          <w:rtl/>
        </w:rPr>
      </w:pPr>
      <w:r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في حال تم إعادة الإغلاق فإن </w:t>
      </w:r>
      <w:r w:rsidR="00A12044" w:rsidRPr="00CD68B0">
        <w:rPr>
          <w:rFonts w:ascii="Simplified Arabic" w:hAnsi="Simplified Arabic" w:cs="Simplified Arabic"/>
          <w:b/>
          <w:sz w:val="26"/>
          <w:szCs w:val="26"/>
          <w:rtl/>
        </w:rPr>
        <w:t>63% من ال</w:t>
      </w:r>
      <w:r w:rsidR="00B37E36" w:rsidRPr="00CD68B0">
        <w:rPr>
          <w:rFonts w:ascii="Simplified Arabic" w:hAnsi="Simplified Arabic" w:cs="Simplified Arabic"/>
          <w:b/>
          <w:sz w:val="26"/>
          <w:szCs w:val="26"/>
          <w:rtl/>
        </w:rPr>
        <w:t>أ</w:t>
      </w:r>
      <w:r w:rsidR="00A12044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سر </w:t>
      </w:r>
      <w:r w:rsidR="00524AA7" w:rsidRPr="00CD68B0">
        <w:rPr>
          <w:rFonts w:ascii="Simplified Arabic" w:hAnsi="Simplified Arabic" w:cs="Simplified Arabic"/>
          <w:b/>
          <w:sz w:val="26"/>
          <w:szCs w:val="26"/>
          <w:rtl/>
        </w:rPr>
        <w:t>تستطيع</w:t>
      </w:r>
      <w:r w:rsidR="00A12044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تغطي</w:t>
      </w:r>
      <w:r w:rsidR="00524AA7" w:rsidRPr="00CD68B0">
        <w:rPr>
          <w:rFonts w:ascii="Simplified Arabic" w:hAnsi="Simplified Arabic" w:cs="Simplified Arabic"/>
          <w:b/>
          <w:sz w:val="26"/>
          <w:szCs w:val="26"/>
          <w:rtl/>
        </w:rPr>
        <w:t>ة</w:t>
      </w:r>
      <w:r w:rsidR="00A12044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نفقات</w:t>
      </w:r>
      <w:r w:rsidR="00524AA7" w:rsidRPr="00CD68B0">
        <w:rPr>
          <w:rFonts w:ascii="Simplified Arabic" w:hAnsi="Simplified Arabic" w:cs="Simplified Arabic"/>
          <w:b/>
          <w:sz w:val="26"/>
          <w:szCs w:val="26"/>
          <w:rtl/>
        </w:rPr>
        <w:t>ها</w:t>
      </w:r>
      <w:r w:rsidR="00A12044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</w:t>
      </w:r>
      <w:r w:rsidR="00117125" w:rsidRPr="00CD68B0">
        <w:rPr>
          <w:rFonts w:ascii="Simplified Arabic" w:hAnsi="Simplified Arabic" w:cs="Simplified Arabic"/>
          <w:b/>
          <w:sz w:val="26"/>
          <w:szCs w:val="26"/>
          <w:rtl/>
        </w:rPr>
        <w:t>لمدة شهر فأقل</w:t>
      </w:r>
      <w:r w:rsidR="00750030" w:rsidRPr="00CD68B0">
        <w:rPr>
          <w:rFonts w:ascii="Simplified Arabic" w:hAnsi="Simplified Arabic" w:cs="Simplified Arabic"/>
          <w:b/>
          <w:sz w:val="26"/>
          <w:szCs w:val="26"/>
        </w:rPr>
        <w:t xml:space="preserve"> </w:t>
      </w:r>
      <w:r w:rsidR="00750030" w:rsidRPr="00CD68B0">
        <w:rPr>
          <w:rFonts w:ascii="Simplified Arabic" w:hAnsi="Simplified Arabic" w:cs="Simplified Arabic"/>
          <w:smallCaps/>
          <w:sz w:val="26"/>
          <w:szCs w:val="26"/>
          <w:rtl/>
        </w:rPr>
        <w:t>(</w:t>
      </w:r>
      <w:r w:rsidR="00750030" w:rsidRPr="00CD68B0">
        <w:rPr>
          <w:rFonts w:ascii="Simplified Arabic" w:hAnsi="Simplified Arabic" w:cs="Simplified Arabic"/>
          <w:smallCaps/>
          <w:sz w:val="26"/>
          <w:szCs w:val="26"/>
        </w:rPr>
        <w:t>62</w:t>
      </w:r>
      <w:r w:rsidR="00750030" w:rsidRPr="00CD68B0">
        <w:rPr>
          <w:rFonts w:ascii="Simplified Arabic" w:hAnsi="Simplified Arabic" w:cs="Simplified Arabic"/>
          <w:smallCaps/>
          <w:sz w:val="26"/>
          <w:szCs w:val="26"/>
          <w:rtl/>
        </w:rPr>
        <w:t>% في الضفة الغربية، و</w:t>
      </w:r>
      <w:r w:rsidR="00750030" w:rsidRPr="00CD68B0">
        <w:rPr>
          <w:rFonts w:ascii="Simplified Arabic" w:hAnsi="Simplified Arabic" w:cs="Simplified Arabic"/>
          <w:smallCaps/>
          <w:sz w:val="26"/>
          <w:szCs w:val="26"/>
        </w:rPr>
        <w:t>68</w:t>
      </w:r>
      <w:r w:rsidR="00750030" w:rsidRPr="00CD68B0">
        <w:rPr>
          <w:rFonts w:ascii="Simplified Arabic" w:hAnsi="Simplified Arabic" w:cs="Simplified Arabic"/>
          <w:smallCaps/>
          <w:sz w:val="26"/>
          <w:szCs w:val="26"/>
          <w:rtl/>
        </w:rPr>
        <w:t>% في قطاع غزة)</w:t>
      </w:r>
      <w:r w:rsidR="00117125" w:rsidRPr="00CD68B0">
        <w:rPr>
          <w:rFonts w:ascii="Simplified Arabic" w:hAnsi="Simplified Arabic" w:cs="Simplified Arabic"/>
          <w:b/>
          <w:sz w:val="26"/>
          <w:szCs w:val="26"/>
          <w:rtl/>
        </w:rPr>
        <w:t>، و10</w:t>
      </w:r>
      <w:r w:rsidR="00EE1304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% </w:t>
      </w:r>
      <w:r w:rsidR="00AD0179" w:rsidRPr="00CD68B0">
        <w:rPr>
          <w:rFonts w:ascii="Simplified Arabic" w:hAnsi="Simplified Arabic" w:cs="Simplified Arabic"/>
          <w:b/>
          <w:sz w:val="26"/>
          <w:szCs w:val="26"/>
          <w:rtl/>
        </w:rPr>
        <w:t>من ال</w:t>
      </w:r>
      <w:r w:rsidR="00B37E36" w:rsidRPr="00CD68B0">
        <w:rPr>
          <w:rFonts w:ascii="Simplified Arabic" w:hAnsi="Simplified Arabic" w:cs="Simplified Arabic"/>
          <w:b/>
          <w:sz w:val="26"/>
          <w:szCs w:val="26"/>
          <w:rtl/>
        </w:rPr>
        <w:t>أ</w:t>
      </w:r>
      <w:r w:rsidR="00AD0179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سر </w:t>
      </w:r>
      <w:r w:rsidR="00524AA7" w:rsidRPr="00CD68B0">
        <w:rPr>
          <w:rFonts w:ascii="Simplified Arabic" w:hAnsi="Simplified Arabic" w:cs="Simplified Arabic"/>
          <w:b/>
          <w:sz w:val="26"/>
          <w:szCs w:val="26"/>
          <w:rtl/>
        </w:rPr>
        <w:t>تستطيع</w:t>
      </w:r>
      <w:r w:rsidR="00117125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تغطي</w:t>
      </w:r>
      <w:r w:rsidR="00524AA7" w:rsidRPr="00CD68B0">
        <w:rPr>
          <w:rFonts w:ascii="Simplified Arabic" w:hAnsi="Simplified Arabic" w:cs="Simplified Arabic"/>
          <w:b/>
          <w:sz w:val="26"/>
          <w:szCs w:val="26"/>
          <w:rtl/>
        </w:rPr>
        <w:t>ة</w:t>
      </w:r>
      <w:r w:rsidR="00117125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نفقات</w:t>
      </w:r>
      <w:r w:rsidR="00524AA7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ها </w:t>
      </w:r>
      <w:r w:rsidR="00117125" w:rsidRPr="00CD68B0">
        <w:rPr>
          <w:rFonts w:ascii="Simplified Arabic" w:hAnsi="Simplified Arabic" w:cs="Simplified Arabic"/>
          <w:b/>
          <w:sz w:val="26"/>
          <w:szCs w:val="26"/>
          <w:rtl/>
        </w:rPr>
        <w:t>لمدة أربعة شهور فأكثر</w:t>
      </w:r>
      <w:r w:rsidR="00750030" w:rsidRPr="00CD68B0">
        <w:rPr>
          <w:rFonts w:ascii="Simplified Arabic" w:hAnsi="Simplified Arabic" w:cs="Simplified Arabic"/>
          <w:b/>
          <w:sz w:val="26"/>
          <w:szCs w:val="26"/>
        </w:rPr>
        <w:t xml:space="preserve"> </w:t>
      </w:r>
      <w:r w:rsidR="00750030" w:rsidRPr="00CD68B0">
        <w:rPr>
          <w:rFonts w:ascii="Simplified Arabic" w:hAnsi="Simplified Arabic" w:cs="Simplified Arabic"/>
          <w:smallCaps/>
          <w:sz w:val="26"/>
          <w:szCs w:val="26"/>
          <w:rtl/>
        </w:rPr>
        <w:t>(</w:t>
      </w:r>
      <w:r w:rsidR="00750030" w:rsidRPr="00CD68B0">
        <w:rPr>
          <w:rFonts w:ascii="Simplified Arabic" w:hAnsi="Simplified Arabic" w:cs="Simplified Arabic"/>
          <w:smallCaps/>
          <w:sz w:val="26"/>
          <w:szCs w:val="26"/>
        </w:rPr>
        <w:t>9</w:t>
      </w:r>
      <w:r w:rsidR="00750030" w:rsidRPr="00CD68B0">
        <w:rPr>
          <w:rFonts w:ascii="Simplified Arabic" w:hAnsi="Simplified Arabic" w:cs="Simplified Arabic"/>
          <w:smallCaps/>
          <w:sz w:val="26"/>
          <w:szCs w:val="26"/>
          <w:rtl/>
        </w:rPr>
        <w:t>% في الضفة الغربية، و</w:t>
      </w:r>
      <w:r w:rsidR="00750030" w:rsidRPr="00CD68B0">
        <w:rPr>
          <w:rFonts w:ascii="Simplified Arabic" w:hAnsi="Simplified Arabic" w:cs="Simplified Arabic"/>
          <w:smallCaps/>
          <w:sz w:val="26"/>
          <w:szCs w:val="26"/>
        </w:rPr>
        <w:t>11</w:t>
      </w:r>
      <w:r w:rsidR="00750030" w:rsidRPr="00CD68B0">
        <w:rPr>
          <w:rFonts w:ascii="Simplified Arabic" w:hAnsi="Simplified Arabic" w:cs="Simplified Arabic"/>
          <w:smallCaps/>
          <w:sz w:val="26"/>
          <w:szCs w:val="26"/>
          <w:rtl/>
        </w:rPr>
        <w:t>% في قطاع غزة)</w:t>
      </w:r>
      <w:r w:rsidR="00117125" w:rsidRPr="00CD68B0">
        <w:rPr>
          <w:rFonts w:ascii="Simplified Arabic" w:hAnsi="Simplified Arabic" w:cs="Simplified Arabic"/>
          <w:b/>
          <w:sz w:val="26"/>
          <w:szCs w:val="26"/>
          <w:rtl/>
        </w:rPr>
        <w:t>.</w:t>
      </w:r>
      <w:r w:rsidR="00830348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 </w:t>
      </w:r>
      <w:r w:rsidR="002A77DE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كما </w:t>
      </w:r>
      <w:r w:rsidR="00830348" w:rsidRPr="00CD68B0">
        <w:rPr>
          <w:rFonts w:ascii="Simplified Arabic" w:hAnsi="Simplified Arabic" w:cs="Simplified Arabic"/>
          <w:b/>
          <w:sz w:val="26"/>
          <w:szCs w:val="26"/>
          <w:rtl/>
        </w:rPr>
        <w:t>ت</w:t>
      </w:r>
      <w:r w:rsidR="00BC6CC2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شعر 61% من الأسر بالقلق من عدم وجود ما يكفي من الطعام للأكل، في حين أن 57% من الأسر لديها نظام غذائي أقل </w:t>
      </w:r>
      <w:r w:rsidR="00472086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كماً وتنوعاً، و47% </w:t>
      </w:r>
      <w:r w:rsidR="00BC6CC2" w:rsidRPr="00CD68B0">
        <w:rPr>
          <w:rFonts w:ascii="Simplified Arabic" w:hAnsi="Simplified Arabic" w:cs="Simplified Arabic"/>
          <w:b/>
          <w:sz w:val="26"/>
          <w:szCs w:val="26"/>
          <w:rtl/>
        </w:rPr>
        <w:t>لا تستطيع تناول طعام صحي</w:t>
      </w:r>
      <w:r w:rsidR="00472086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 ومغذي</w:t>
      </w:r>
      <w:r w:rsidR="00BC6CC2" w:rsidRPr="00CD68B0">
        <w:rPr>
          <w:rFonts w:ascii="Simplified Arabic" w:hAnsi="Simplified Arabic" w:cs="Simplified Arabic"/>
          <w:b/>
          <w:sz w:val="26"/>
          <w:szCs w:val="26"/>
          <w:rtl/>
        </w:rPr>
        <w:t xml:space="preserve">. </w:t>
      </w:r>
    </w:p>
    <w:p w:rsidR="009451C0" w:rsidRPr="00CD68B0" w:rsidRDefault="009451C0" w:rsidP="0016419D">
      <w:pPr>
        <w:bidi/>
        <w:rPr>
          <w:rFonts w:ascii="Simplified Arabic" w:hAnsi="Simplified Arabic" w:cs="Simplified Arabic"/>
          <w:sz w:val="26"/>
          <w:szCs w:val="26"/>
          <w:rtl/>
        </w:rPr>
      </w:pPr>
    </w:p>
    <w:p w:rsidR="002178EA" w:rsidRPr="00CD68B0" w:rsidRDefault="003D7352" w:rsidP="00942ECC">
      <w:pPr>
        <w:bidi/>
        <w:jc w:val="lowKashida"/>
        <w:rPr>
          <w:rFonts w:ascii="Simplified Arabic" w:hAnsi="Simplified Arabic" w:cs="Simplified Arabic"/>
          <w:smallCaps/>
          <w:sz w:val="26"/>
          <w:szCs w:val="26"/>
          <w:rtl/>
        </w:rPr>
      </w:pPr>
      <w:r w:rsidRPr="00CD68B0">
        <w:rPr>
          <w:rFonts w:ascii="Simplified Arabic" w:hAnsi="Simplified Arabic" w:cs="Simplified Arabic"/>
          <w:smallCaps/>
          <w:sz w:val="26"/>
          <w:szCs w:val="26"/>
          <w:rtl/>
        </w:rPr>
        <w:t>في سياق</w:t>
      </w:r>
      <w:r w:rsidR="00942ECC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متصل </w:t>
      </w:r>
      <w:r w:rsidR="00ED5460" w:rsidRPr="00CD68B0">
        <w:rPr>
          <w:rFonts w:ascii="Simplified Arabic" w:hAnsi="Simplified Arabic" w:cs="Simplified Arabic"/>
          <w:smallCaps/>
          <w:sz w:val="26"/>
          <w:szCs w:val="26"/>
          <w:rtl/>
        </w:rPr>
        <w:t>بينت نتائج المسح ان</w:t>
      </w:r>
      <w:r w:rsidR="005B76AB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  <w:r w:rsidR="003C2FF9" w:rsidRPr="00CD68B0">
        <w:rPr>
          <w:rFonts w:ascii="Simplified Arabic" w:hAnsi="Simplified Arabic" w:cs="Simplified Arabic"/>
          <w:smallCaps/>
          <w:sz w:val="26"/>
          <w:szCs w:val="26"/>
          <w:rtl/>
        </w:rPr>
        <w:t>58% من ال</w:t>
      </w:r>
      <w:r w:rsidR="00F43DC3" w:rsidRPr="00CD68B0">
        <w:rPr>
          <w:rFonts w:ascii="Simplified Arabic" w:hAnsi="Simplified Arabic" w:cs="Simplified Arabic"/>
          <w:smallCaps/>
          <w:sz w:val="26"/>
          <w:szCs w:val="26"/>
          <w:rtl/>
        </w:rPr>
        <w:t>أ</w:t>
      </w:r>
      <w:r w:rsidR="003C2FF9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سر الفلسطينية </w:t>
      </w:r>
      <w:r w:rsidR="005B76AB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عادة ما </w:t>
      </w:r>
      <w:r w:rsidR="003C2FF9" w:rsidRPr="00CD68B0">
        <w:rPr>
          <w:rFonts w:ascii="Simplified Arabic" w:hAnsi="Simplified Arabic" w:cs="Simplified Arabic"/>
          <w:smallCaps/>
          <w:sz w:val="26"/>
          <w:szCs w:val="26"/>
          <w:rtl/>
        </w:rPr>
        <w:t>ت</w:t>
      </w:r>
      <w:r w:rsidR="005B76AB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قترض </w:t>
      </w:r>
      <w:r w:rsidR="007F4CE4" w:rsidRPr="00CD68B0">
        <w:rPr>
          <w:rFonts w:ascii="Simplified Arabic" w:hAnsi="Simplified Arabic" w:cs="Simplified Arabic"/>
          <w:smallCaps/>
          <w:sz w:val="26"/>
          <w:szCs w:val="26"/>
          <w:rtl/>
        </w:rPr>
        <w:t>المال او يشترون بالدين لتغطية نفقات الأسرة المعيشية</w:t>
      </w:r>
      <w:r w:rsidR="005B76AB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بما في ذلك الطعام. </w:t>
      </w:r>
      <w:r w:rsidR="007F4CE4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وقد ارتفعت هذه النسبة </w:t>
      </w:r>
      <w:r w:rsidR="005B76AB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خلال فترة الإغلاق </w:t>
      </w:r>
      <w:r w:rsidR="007F4CE4" w:rsidRPr="00CD68B0">
        <w:rPr>
          <w:rFonts w:ascii="Simplified Arabic" w:hAnsi="Simplified Arabic" w:cs="Simplified Arabic"/>
          <w:smallCaps/>
          <w:sz w:val="26"/>
          <w:szCs w:val="26"/>
          <w:rtl/>
        </w:rPr>
        <w:t>لتصل الى</w:t>
      </w:r>
      <w:r w:rsidR="005B76AB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  <w:r w:rsidR="007F4CE4" w:rsidRPr="00CD68B0">
        <w:rPr>
          <w:rFonts w:ascii="Simplified Arabic" w:hAnsi="Simplified Arabic" w:cs="Simplified Arabic"/>
          <w:smallCaps/>
          <w:sz w:val="26"/>
          <w:szCs w:val="26"/>
          <w:rtl/>
        </w:rPr>
        <w:t>63</w:t>
      </w:r>
      <w:r w:rsidR="005B76AB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٪. </w:t>
      </w:r>
      <w:r w:rsidR="007F4CE4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  <w:r w:rsidR="00942ECC" w:rsidRPr="00CD68B0">
        <w:rPr>
          <w:rFonts w:ascii="Simplified Arabic" w:hAnsi="Simplified Arabic" w:cs="Simplified Arabic"/>
          <w:smallCaps/>
          <w:sz w:val="26"/>
          <w:szCs w:val="26"/>
          <w:rtl/>
        </w:rPr>
        <w:t>وكانت الاعلى في قطاع غزة مقارنة بالضفة الغربية</w:t>
      </w:r>
      <w:r w:rsidR="00410080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(79% في قطاع غزة، و52% في الضفة الغربية)</w:t>
      </w:r>
      <w:r w:rsidR="005B76AB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. </w:t>
      </w:r>
      <w:r w:rsidR="00867FE4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</w:p>
    <w:p w:rsidR="002178EA" w:rsidRPr="00CD68B0" w:rsidRDefault="002178EA" w:rsidP="002178EA">
      <w:pPr>
        <w:bidi/>
        <w:jc w:val="lowKashida"/>
        <w:rPr>
          <w:rFonts w:ascii="Simplified Arabic" w:hAnsi="Simplified Arabic" w:cs="Simplified Arabic"/>
          <w:smallCaps/>
          <w:sz w:val="26"/>
          <w:szCs w:val="26"/>
          <w:rtl/>
        </w:rPr>
      </w:pPr>
    </w:p>
    <w:p w:rsidR="00A52FDD" w:rsidRPr="00CD68B0" w:rsidRDefault="00ED5460" w:rsidP="002178EA">
      <w:pPr>
        <w:bidi/>
        <w:jc w:val="lowKashida"/>
        <w:rPr>
          <w:rFonts w:ascii="Simplified Arabic" w:hAnsi="Simplified Arabic" w:cs="Simplified Arabic"/>
          <w:smallCaps/>
          <w:sz w:val="26"/>
          <w:szCs w:val="26"/>
          <w:rtl/>
        </w:rPr>
      </w:pPr>
      <w:r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وقد كان هناك </w:t>
      </w:r>
      <w:r w:rsidR="009D0F28" w:rsidRPr="00CD68B0">
        <w:rPr>
          <w:rFonts w:ascii="Simplified Arabic" w:hAnsi="Simplified Arabic" w:cs="Simplified Arabic"/>
          <w:smallCaps/>
          <w:sz w:val="26"/>
          <w:szCs w:val="26"/>
          <w:rtl/>
        </w:rPr>
        <w:t>انخفاض في الانفاق الشهري على المواد</w:t>
      </w:r>
      <w:r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، حيث ان </w:t>
      </w:r>
      <w:r w:rsidR="009D0F28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41% </w:t>
      </w:r>
      <w:r w:rsidR="00EB5949" w:rsidRPr="00CD68B0">
        <w:rPr>
          <w:rFonts w:ascii="Simplified Arabic" w:hAnsi="Simplified Arabic" w:cs="Simplified Arabic"/>
          <w:smallCaps/>
          <w:sz w:val="26"/>
          <w:szCs w:val="26"/>
          <w:rtl/>
        </w:rPr>
        <w:t>من الأ</w:t>
      </w:r>
      <w:r w:rsidR="001B1888" w:rsidRPr="00CD68B0">
        <w:rPr>
          <w:rFonts w:ascii="Simplified Arabic" w:hAnsi="Simplified Arabic" w:cs="Simplified Arabic"/>
          <w:smallCaps/>
          <w:sz w:val="26"/>
          <w:szCs w:val="26"/>
          <w:rtl/>
        </w:rPr>
        <w:t>سر انخفض</w:t>
      </w:r>
      <w:r w:rsidR="00AD0179" w:rsidRPr="00CD68B0">
        <w:rPr>
          <w:rFonts w:ascii="Simplified Arabic" w:hAnsi="Simplified Arabic" w:cs="Simplified Arabic"/>
          <w:smallCaps/>
          <w:sz w:val="26"/>
          <w:szCs w:val="26"/>
          <w:rtl/>
        </w:rPr>
        <w:t>ت</w:t>
      </w:r>
      <w:r w:rsidR="001B1888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نفقاتها الشهرية على المواد الغذائية </w:t>
      </w:r>
      <w:r w:rsidR="0020343C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خلال فترة </w:t>
      </w:r>
      <w:r w:rsidR="00053142" w:rsidRPr="00CD68B0">
        <w:rPr>
          <w:rFonts w:ascii="Simplified Arabic" w:hAnsi="Simplified Arabic" w:cs="Simplified Arabic"/>
          <w:smallCaps/>
          <w:sz w:val="26"/>
          <w:szCs w:val="26"/>
          <w:rtl/>
        </w:rPr>
        <w:t>الإغلاق</w:t>
      </w:r>
      <w:r w:rsidR="001B1888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  <w:r w:rsidR="0020343C" w:rsidRPr="00CD68B0">
        <w:rPr>
          <w:rFonts w:ascii="Simplified Arabic" w:hAnsi="Simplified Arabic" w:cs="Simplified Arabic"/>
          <w:smallCaps/>
          <w:sz w:val="26"/>
          <w:szCs w:val="26"/>
          <w:rtl/>
        </w:rPr>
        <w:t>مقارنة مع شهر شباط/</w:t>
      </w:r>
      <w:r w:rsidR="00A52FDD" w:rsidRPr="00CD68B0">
        <w:rPr>
          <w:rFonts w:ascii="Simplified Arabic" w:hAnsi="Simplified Arabic" w:cs="Simplified Arabic"/>
          <w:smallCaps/>
          <w:sz w:val="26"/>
          <w:szCs w:val="26"/>
          <w:rtl/>
        </w:rPr>
        <w:t>فبراير 2020</w:t>
      </w:r>
      <w:r w:rsidR="00AD0179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(</w:t>
      </w:r>
      <w:r w:rsidR="009D0F28" w:rsidRPr="00CD68B0">
        <w:rPr>
          <w:rFonts w:ascii="Simplified Arabic" w:hAnsi="Simplified Arabic" w:cs="Simplified Arabic"/>
          <w:smallCaps/>
          <w:sz w:val="26"/>
          <w:szCs w:val="26"/>
          <w:rtl/>
        </w:rPr>
        <w:t>42</w:t>
      </w:r>
      <w:r w:rsidR="00AD0179" w:rsidRPr="00CD68B0">
        <w:rPr>
          <w:rFonts w:ascii="Simplified Arabic" w:hAnsi="Simplified Arabic" w:cs="Simplified Arabic"/>
          <w:smallCaps/>
          <w:sz w:val="26"/>
          <w:szCs w:val="26"/>
          <w:rtl/>
        </w:rPr>
        <w:t>% في الضفة الغربية، و</w:t>
      </w:r>
      <w:r w:rsidR="009D0F28" w:rsidRPr="00CD68B0">
        <w:rPr>
          <w:rFonts w:ascii="Simplified Arabic" w:hAnsi="Simplified Arabic" w:cs="Simplified Arabic"/>
          <w:smallCaps/>
          <w:sz w:val="26"/>
          <w:szCs w:val="26"/>
          <w:rtl/>
        </w:rPr>
        <w:t>40</w:t>
      </w:r>
      <w:r w:rsidR="00AD0179" w:rsidRPr="00CD68B0">
        <w:rPr>
          <w:rFonts w:ascii="Simplified Arabic" w:hAnsi="Simplified Arabic" w:cs="Simplified Arabic"/>
          <w:smallCaps/>
          <w:sz w:val="26"/>
          <w:szCs w:val="26"/>
          <w:rtl/>
        </w:rPr>
        <w:t>% في قطاع غزة)</w:t>
      </w:r>
      <w:r w:rsidRPr="00CD68B0">
        <w:rPr>
          <w:rFonts w:ascii="Simplified Arabic" w:hAnsi="Simplified Arabic" w:cs="Simplified Arabic"/>
          <w:smallCaps/>
          <w:sz w:val="26"/>
          <w:szCs w:val="26"/>
          <w:rtl/>
        </w:rPr>
        <w:t>.</w:t>
      </w:r>
      <w:r w:rsidR="0020343C" w:rsidRPr="00CD68B0">
        <w:rPr>
          <w:rFonts w:ascii="Simplified Arabic" w:hAnsi="Simplified Arabic" w:cs="Simplified Arabic"/>
          <w:smallCaps/>
          <w:sz w:val="26"/>
          <w:szCs w:val="26"/>
          <w:rtl/>
        </w:rPr>
        <w:t xml:space="preserve"> </w:t>
      </w:r>
    </w:p>
    <w:p w:rsidR="009D0F28" w:rsidRPr="00CD68B0" w:rsidRDefault="009D0F28" w:rsidP="0016419D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10370F" w:rsidRPr="00CD68B0" w:rsidRDefault="006C5039" w:rsidP="00CD68B0">
      <w:pPr>
        <w:pStyle w:val="Heading2"/>
        <w:bidi/>
        <w:spacing w:before="0" w:after="0"/>
        <w:jc w:val="lowKashida"/>
        <w:rPr>
          <w:rStyle w:val="1H"/>
          <w:rFonts w:ascii="Simplified Arabic" w:hAnsi="Simplified Arabic" w:cs="Simplified Arabic"/>
          <w:b/>
          <w:i w:val="0"/>
          <w:iCs w:val="0"/>
          <w:smallCaps/>
        </w:rPr>
      </w:pPr>
      <w:bookmarkStart w:id="12" w:name="_Toc51230538"/>
      <w:r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>4</w:t>
      </w:r>
      <w:r w:rsidR="00A52FDD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. </w:t>
      </w:r>
      <w:r w:rsidR="00722A77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>أثر</w:t>
      </w:r>
      <w:r w:rsidR="00E34DDB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 </w:t>
      </w:r>
      <w:r w:rsidR="000D4786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كوفيد – 19 </w:t>
      </w:r>
      <w:r w:rsidR="00E34DDB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على </w:t>
      </w:r>
      <w:r w:rsidR="004754F9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>برامج المساعدات الاجتماعية</w:t>
      </w:r>
      <w:bookmarkEnd w:id="12"/>
    </w:p>
    <w:p w:rsidR="000B63DE" w:rsidRPr="00CD68B0" w:rsidRDefault="000B63DE" w:rsidP="00410080">
      <w:pPr>
        <w:bidi/>
        <w:jc w:val="lowKashida"/>
        <w:rPr>
          <w:rFonts w:ascii="Simplified Arabic" w:hAnsi="Simplified Arabic" w:cs="Simplified Arabic"/>
          <w:sz w:val="26"/>
          <w:szCs w:val="26"/>
        </w:rPr>
      </w:pP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تستند الحماية الاجتماعية في فلسطين إلى العديد من التدخلات السياسية التي تتراوح من برامج </w:t>
      </w:r>
      <w:r w:rsidR="008A14AF" w:rsidRPr="00CD68B0">
        <w:rPr>
          <w:rFonts w:ascii="Simplified Arabic" w:hAnsi="Simplified Arabic" w:cs="Simplified Arabic"/>
          <w:sz w:val="26"/>
          <w:szCs w:val="26"/>
          <w:rtl/>
        </w:rPr>
        <w:t xml:space="preserve">كوبونات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الطعام إلى المساعدة في العمل. تسجل البرامج مستفيدين في قطاع غزة أكثر من الضفة الغربية. يحصل حوالي </w:t>
      </w:r>
      <w:r w:rsidR="004D7351" w:rsidRPr="00CD68B0">
        <w:rPr>
          <w:rFonts w:ascii="Simplified Arabic" w:hAnsi="Simplified Arabic" w:cs="Simplified Arabic"/>
          <w:sz w:val="26"/>
          <w:szCs w:val="26"/>
          <w:rtl/>
        </w:rPr>
        <w:t>63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٪ من الأسر في قطاع غزة على برنامج </w:t>
      </w:r>
      <w:r w:rsidR="004D7351" w:rsidRPr="00CD68B0">
        <w:rPr>
          <w:rFonts w:ascii="Simplified Arabic" w:hAnsi="Simplified Arabic" w:cs="Simplified Arabic"/>
          <w:sz w:val="26"/>
          <w:szCs w:val="26"/>
          <w:rtl/>
        </w:rPr>
        <w:t xml:space="preserve">كوبونات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الطعام مقابل </w:t>
      </w:r>
      <w:r w:rsidR="004D7351" w:rsidRPr="00CD68B0">
        <w:rPr>
          <w:rFonts w:ascii="Simplified Arabic" w:hAnsi="Simplified Arabic" w:cs="Simplified Arabic"/>
          <w:sz w:val="26"/>
          <w:szCs w:val="26"/>
          <w:rtl/>
        </w:rPr>
        <w:t>5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٪ في الضفة الغربية. </w:t>
      </w:r>
      <w:r w:rsidR="00925103" w:rsidRPr="00CD68B0">
        <w:rPr>
          <w:rFonts w:ascii="Simplified Arabic" w:hAnsi="Simplified Arabic" w:cs="Simplified Arabic"/>
          <w:sz w:val="26"/>
          <w:szCs w:val="26"/>
          <w:rtl/>
        </w:rPr>
        <w:t xml:space="preserve">وحسب ما هو متوقع فان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الأسر التي لديها </w:t>
      </w:r>
      <w:r w:rsidR="004D7351" w:rsidRPr="00CD68B0">
        <w:rPr>
          <w:rFonts w:ascii="Simplified Arabic" w:hAnsi="Simplified Arabic" w:cs="Simplified Arabic"/>
          <w:sz w:val="26"/>
          <w:szCs w:val="26"/>
          <w:rtl/>
        </w:rPr>
        <w:t>معيل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رئيسي من الإناث </w:t>
      </w:r>
      <w:r w:rsidR="00925103" w:rsidRPr="00CD68B0">
        <w:rPr>
          <w:rFonts w:ascii="Simplified Arabic" w:hAnsi="Simplified Arabic" w:cs="Simplified Arabic"/>
          <w:sz w:val="26"/>
          <w:szCs w:val="26"/>
          <w:rtl/>
        </w:rPr>
        <w:t>استفاد</w:t>
      </w:r>
      <w:r w:rsidR="00410080" w:rsidRPr="00CD68B0">
        <w:rPr>
          <w:rFonts w:ascii="Simplified Arabic" w:hAnsi="Simplified Arabic" w:cs="Simplified Arabic"/>
          <w:sz w:val="26"/>
          <w:szCs w:val="26"/>
          <w:rtl/>
        </w:rPr>
        <w:t>ت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من هذه البرامج أكثر من الأسر التي لديها </w:t>
      </w:r>
      <w:r w:rsidR="004D7351" w:rsidRPr="00CD68B0">
        <w:rPr>
          <w:rFonts w:ascii="Simplified Arabic" w:hAnsi="Simplified Arabic" w:cs="Simplified Arabic"/>
          <w:sz w:val="26"/>
          <w:szCs w:val="26"/>
          <w:rtl/>
        </w:rPr>
        <w:t>معيل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 رئيسي من الذكور</w:t>
      </w:r>
      <w:r w:rsidR="004D7351" w:rsidRPr="00CD68B0">
        <w:rPr>
          <w:rFonts w:ascii="Simplified Arabic" w:hAnsi="Simplified Arabic" w:cs="Simplified Arabic"/>
          <w:sz w:val="26"/>
          <w:szCs w:val="26"/>
          <w:rtl/>
        </w:rPr>
        <w:t xml:space="preserve"> (28% من المعيلين الذكور، و41% من المعيلين الاناث</w:t>
      </w:r>
      <w:r w:rsidR="00925103" w:rsidRPr="00CD68B0">
        <w:rPr>
          <w:rFonts w:ascii="Simplified Arabic" w:hAnsi="Simplified Arabic" w:cs="Simplified Arabic"/>
          <w:sz w:val="26"/>
          <w:szCs w:val="26"/>
          <w:rtl/>
        </w:rPr>
        <w:t>)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B63DE" w:rsidRDefault="000B63DE" w:rsidP="0016419D">
      <w:pPr>
        <w:bidi/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CD68B0" w:rsidRDefault="00CD68B0" w:rsidP="00CD68B0">
      <w:pPr>
        <w:bidi/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</w:p>
    <w:p w:rsidR="00CD68B0" w:rsidRPr="00CD68B0" w:rsidRDefault="00CD68B0" w:rsidP="00CD68B0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B06124" w:rsidRPr="00CD68B0" w:rsidRDefault="00D10260" w:rsidP="00830348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D68B0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خلال فترة </w:t>
      </w:r>
      <w:r w:rsidR="001B5D57" w:rsidRPr="00CD68B0">
        <w:rPr>
          <w:rFonts w:ascii="Simplified Arabic" w:hAnsi="Simplified Arabic" w:cs="Simplified Arabic"/>
          <w:sz w:val="26"/>
          <w:szCs w:val="26"/>
          <w:rtl/>
        </w:rPr>
        <w:t xml:space="preserve">الاغلاق كان هناك </w:t>
      </w:r>
      <w:r w:rsidR="00EE2445" w:rsidRPr="00CD68B0">
        <w:rPr>
          <w:rFonts w:ascii="Simplified Arabic" w:hAnsi="Simplified Arabic" w:cs="Simplified Arabic"/>
          <w:sz w:val="26"/>
          <w:szCs w:val="26"/>
          <w:rtl/>
        </w:rPr>
        <w:t>دوراً رئيساً ل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>لحكومة</w:t>
      </w:r>
      <w:r w:rsidR="00731A1D" w:rsidRPr="00CD68B0">
        <w:rPr>
          <w:rFonts w:ascii="Simplified Arabic" w:hAnsi="Simplified Arabic" w:cs="Simplified Arabic"/>
          <w:sz w:val="26"/>
          <w:szCs w:val="26"/>
          <w:rtl/>
        </w:rPr>
        <w:t xml:space="preserve"> وللتكافل</w:t>
      </w:r>
      <w:r w:rsidR="00EE2445" w:rsidRPr="00CD68B0">
        <w:rPr>
          <w:rFonts w:ascii="Simplified Arabic" w:hAnsi="Simplified Arabic" w:cs="Simplified Arabic"/>
          <w:sz w:val="26"/>
          <w:szCs w:val="26"/>
          <w:rtl/>
        </w:rPr>
        <w:t xml:space="preserve"> الاجتماعي داخل المجتمع الفلسطيني في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مواجهة التحديات الاجتماعية </w:t>
      </w:r>
      <w:r w:rsidR="00731A1D" w:rsidRPr="00CD68B0">
        <w:rPr>
          <w:rFonts w:ascii="Simplified Arabic" w:hAnsi="Simplified Arabic" w:cs="Simplified Arabic"/>
          <w:sz w:val="26"/>
          <w:szCs w:val="26"/>
          <w:rtl/>
        </w:rPr>
        <w:t>والاقتصادية الناجمة عن الجائحة</w:t>
      </w:r>
      <w:r w:rsidR="00EE2445" w:rsidRPr="00CD68B0">
        <w:rPr>
          <w:rFonts w:ascii="Simplified Arabic" w:hAnsi="Simplified Arabic" w:cs="Simplified Arabic"/>
          <w:sz w:val="26"/>
          <w:szCs w:val="26"/>
          <w:rtl/>
        </w:rPr>
        <w:t>،</w:t>
      </w:r>
      <w:r w:rsidR="00731A1D" w:rsidRPr="00CD68B0">
        <w:rPr>
          <w:rFonts w:ascii="Simplified Arabic" w:hAnsi="Simplified Arabic" w:cs="Simplified Arabic"/>
          <w:sz w:val="26"/>
          <w:szCs w:val="26"/>
          <w:rtl/>
        </w:rPr>
        <w:t xml:space="preserve"> حيث اشارت النتائج الى ان 15% من الاسر </w:t>
      </w:r>
      <w:r w:rsidR="00830348" w:rsidRPr="00CD68B0">
        <w:rPr>
          <w:rFonts w:ascii="Simplified Arabic" w:hAnsi="Simplified Arabic" w:cs="Simplified Arabic"/>
          <w:sz w:val="26"/>
          <w:szCs w:val="26"/>
          <w:rtl/>
        </w:rPr>
        <w:t xml:space="preserve">تلقت مساعدات على شكل كوبونات طعام وطرود غذائية علما بان هذه الاسر </w:t>
      </w:r>
      <w:r w:rsidR="00B06124" w:rsidRPr="00CD68B0">
        <w:rPr>
          <w:rFonts w:ascii="Simplified Arabic" w:hAnsi="Simplified Arabic" w:cs="Simplified Arabic"/>
          <w:sz w:val="26"/>
          <w:szCs w:val="26"/>
          <w:rtl/>
        </w:rPr>
        <w:t>ل</w:t>
      </w:r>
      <w:r w:rsidR="00722A77" w:rsidRPr="00CD68B0">
        <w:rPr>
          <w:rFonts w:ascii="Simplified Arabic" w:hAnsi="Simplified Arabic" w:cs="Simplified Arabic"/>
          <w:sz w:val="26"/>
          <w:szCs w:val="26"/>
          <w:rtl/>
        </w:rPr>
        <w:t>م</w:t>
      </w:r>
      <w:r w:rsidR="00B06124" w:rsidRPr="00CD68B0">
        <w:rPr>
          <w:rFonts w:ascii="Simplified Arabic" w:hAnsi="Simplified Arabic" w:cs="Simplified Arabic"/>
          <w:sz w:val="26"/>
          <w:szCs w:val="26"/>
          <w:rtl/>
        </w:rPr>
        <w:t xml:space="preserve"> تكن مستفيدة من أي من برامج المساعدات والحماية الاجتماعية قبل </w:t>
      </w:r>
      <w:r w:rsidR="00053142" w:rsidRPr="00CD68B0">
        <w:rPr>
          <w:rFonts w:ascii="Simplified Arabic" w:hAnsi="Simplified Arabic" w:cs="Simplified Arabic"/>
          <w:sz w:val="26"/>
          <w:szCs w:val="26"/>
          <w:rtl/>
        </w:rPr>
        <w:t>الإغلاق</w:t>
      </w:r>
      <w:r w:rsidR="00B06124" w:rsidRPr="00CD68B0">
        <w:rPr>
          <w:rFonts w:ascii="Simplified Arabic" w:hAnsi="Simplified Arabic" w:cs="Simplified Arabic"/>
          <w:sz w:val="26"/>
          <w:szCs w:val="26"/>
          <w:rtl/>
        </w:rPr>
        <w:t xml:space="preserve"> ونتيجة لفرض </w:t>
      </w:r>
      <w:r w:rsidR="00053142" w:rsidRPr="00CD68B0">
        <w:rPr>
          <w:rFonts w:ascii="Simplified Arabic" w:hAnsi="Simplified Arabic" w:cs="Simplified Arabic"/>
          <w:sz w:val="26"/>
          <w:szCs w:val="26"/>
          <w:rtl/>
        </w:rPr>
        <w:t>الإغلاق</w:t>
      </w:r>
      <w:r w:rsidR="00FD6035" w:rsidRPr="00CD68B0">
        <w:rPr>
          <w:rFonts w:ascii="Simplified Arabic" w:hAnsi="Simplified Arabic" w:cs="Simplified Arabic"/>
          <w:sz w:val="26"/>
          <w:szCs w:val="26"/>
          <w:rtl/>
        </w:rPr>
        <w:t xml:space="preserve"> تلقت مساعدات</w:t>
      </w:r>
      <w:r w:rsidR="00B06124" w:rsidRPr="00CD68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D6292" w:rsidRPr="00CD68B0">
        <w:rPr>
          <w:rFonts w:ascii="Simplified Arabic" w:hAnsi="Simplified Arabic" w:cs="Simplified Arabic"/>
          <w:sz w:val="26"/>
          <w:szCs w:val="26"/>
          <w:rtl/>
        </w:rPr>
        <w:t xml:space="preserve">تليها </w:t>
      </w:r>
      <w:r w:rsidR="00B06124" w:rsidRPr="00CD68B0">
        <w:rPr>
          <w:rFonts w:ascii="Simplified Arabic" w:hAnsi="Simplified Arabic" w:cs="Simplified Arabic"/>
          <w:sz w:val="26"/>
          <w:szCs w:val="26"/>
          <w:rtl/>
        </w:rPr>
        <w:t>التحويلات النقدية من الحكومة</w:t>
      </w:r>
      <w:r w:rsidR="008D6292" w:rsidRPr="00CD68B0">
        <w:rPr>
          <w:rFonts w:ascii="Simplified Arabic" w:hAnsi="Simplified Arabic" w:cs="Simplified Arabic"/>
          <w:sz w:val="26"/>
          <w:szCs w:val="26"/>
          <w:rtl/>
        </w:rPr>
        <w:t xml:space="preserve"> (5%)</w:t>
      </w:r>
      <w:r w:rsidR="00B06124" w:rsidRPr="00CD68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D6292" w:rsidRPr="00CD68B0">
        <w:rPr>
          <w:rFonts w:ascii="Simplified Arabic" w:hAnsi="Simplified Arabic" w:cs="Simplified Arabic"/>
          <w:sz w:val="26"/>
          <w:szCs w:val="26"/>
          <w:rtl/>
        </w:rPr>
        <w:t xml:space="preserve">والثالثة </w:t>
      </w:r>
      <w:r w:rsidR="00166378" w:rsidRPr="00CD68B0">
        <w:rPr>
          <w:rFonts w:ascii="Simplified Arabic" w:hAnsi="Simplified Arabic" w:cs="Simplified Arabic"/>
          <w:sz w:val="26"/>
          <w:szCs w:val="26"/>
          <w:rtl/>
        </w:rPr>
        <w:t>المساعدات</w:t>
      </w:r>
      <w:r w:rsidR="008D6292" w:rsidRPr="00CD68B0">
        <w:rPr>
          <w:rFonts w:ascii="Simplified Arabic" w:hAnsi="Simplified Arabic" w:cs="Simplified Arabic"/>
          <w:sz w:val="26"/>
          <w:szCs w:val="26"/>
          <w:rtl/>
        </w:rPr>
        <w:t xml:space="preserve"> التي </w:t>
      </w:r>
      <w:r w:rsidR="00EE2445" w:rsidRPr="00CD68B0">
        <w:rPr>
          <w:rFonts w:ascii="Simplified Arabic" w:hAnsi="Simplified Arabic" w:cs="Simplified Arabic"/>
          <w:sz w:val="26"/>
          <w:szCs w:val="26"/>
          <w:rtl/>
        </w:rPr>
        <w:t xml:space="preserve">كانت </w:t>
      </w:r>
      <w:r w:rsidR="008D6292" w:rsidRPr="00CD68B0">
        <w:rPr>
          <w:rFonts w:ascii="Simplified Arabic" w:hAnsi="Simplified Arabic" w:cs="Simplified Arabic"/>
          <w:sz w:val="26"/>
          <w:szCs w:val="26"/>
          <w:rtl/>
        </w:rPr>
        <w:t xml:space="preserve">على شكل </w:t>
      </w:r>
      <w:r w:rsidR="00B06124" w:rsidRPr="00CD68B0">
        <w:rPr>
          <w:rFonts w:ascii="Simplified Arabic" w:hAnsi="Simplified Arabic" w:cs="Simplified Arabic"/>
          <w:sz w:val="26"/>
          <w:szCs w:val="26"/>
          <w:rtl/>
        </w:rPr>
        <w:t>تحويلات من العائلة والأصدقاء من داخل فلسطين</w:t>
      </w:r>
      <w:r w:rsidR="008D6292" w:rsidRPr="00CD68B0">
        <w:rPr>
          <w:rFonts w:ascii="Simplified Arabic" w:hAnsi="Simplified Arabic" w:cs="Simplified Arabic"/>
          <w:sz w:val="26"/>
          <w:szCs w:val="26"/>
          <w:rtl/>
        </w:rPr>
        <w:t xml:space="preserve"> (4%)</w:t>
      </w:r>
      <w:r w:rsidR="00B06124" w:rsidRPr="00CD68B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40452" w:rsidRPr="00CD68B0" w:rsidRDefault="00940452" w:rsidP="00CD68B0">
      <w:pPr>
        <w:pStyle w:val="Heading2"/>
        <w:bidi/>
        <w:spacing w:before="0" w:after="0"/>
        <w:jc w:val="lowKashida"/>
        <w:rPr>
          <w:rStyle w:val="1H"/>
          <w:rFonts w:ascii="Simplified Arabic" w:hAnsi="Simplified Arabic" w:cs="Simplified Arabic"/>
          <w:b/>
          <w:i w:val="0"/>
          <w:iCs w:val="0"/>
          <w:smallCaps/>
          <w:sz w:val="26"/>
          <w:szCs w:val="26"/>
          <w:rtl/>
        </w:rPr>
      </w:pPr>
    </w:p>
    <w:p w:rsidR="00FF72EB" w:rsidRPr="00CD68B0" w:rsidRDefault="00FD7375" w:rsidP="00CD68B0">
      <w:pPr>
        <w:pStyle w:val="Heading2"/>
        <w:bidi/>
        <w:spacing w:before="0" w:after="0"/>
        <w:jc w:val="lowKashida"/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</w:pPr>
      <w:bookmarkStart w:id="13" w:name="_Toc51230539"/>
      <w:r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>5</w:t>
      </w:r>
      <w:r w:rsidR="002E2B1B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. </w:t>
      </w:r>
      <w:r w:rsidR="00FF72EB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>أولويات المواطنين</w:t>
      </w:r>
      <w:r w:rsidR="00292B84" w:rsidRPr="00CD68B0">
        <w:rPr>
          <w:rStyle w:val="1H"/>
          <w:rFonts w:ascii="Simplified Arabic" w:hAnsi="Simplified Arabic" w:cs="Simplified Arabic"/>
          <w:b/>
          <w:i w:val="0"/>
          <w:iCs w:val="0"/>
          <w:smallCaps/>
          <w:rtl/>
        </w:rPr>
        <w:t xml:space="preserve"> للحد من أثر كوفيد - 19</w:t>
      </w:r>
      <w:bookmarkEnd w:id="13"/>
    </w:p>
    <w:p w:rsidR="008D6292" w:rsidRPr="00CD68B0" w:rsidRDefault="0057488E" w:rsidP="00830348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أشارت </w:t>
      </w:r>
      <w:r w:rsidR="007760C4" w:rsidRPr="00CD68B0">
        <w:rPr>
          <w:rFonts w:ascii="Simplified Arabic" w:hAnsi="Simplified Arabic" w:cs="Simplified Arabic"/>
          <w:sz w:val="26"/>
          <w:szCs w:val="26"/>
          <w:rtl/>
        </w:rPr>
        <w:t>29% من الاسر</w:t>
      </w:r>
      <w:r w:rsidR="00867FE4" w:rsidRPr="00CD68B0">
        <w:rPr>
          <w:rFonts w:ascii="Simplified Arabic" w:hAnsi="Simplified Arabic" w:cs="Simplified Arabic"/>
          <w:sz w:val="26"/>
          <w:szCs w:val="26"/>
          <w:rtl/>
        </w:rPr>
        <w:t xml:space="preserve"> إلى</w:t>
      </w:r>
      <w:r w:rsidR="007760C4" w:rsidRPr="00CD68B0">
        <w:rPr>
          <w:rFonts w:ascii="Simplified Arabic" w:hAnsi="Simplified Arabic" w:cs="Simplified Arabic"/>
          <w:sz w:val="26"/>
          <w:szCs w:val="26"/>
          <w:rtl/>
        </w:rPr>
        <w:t xml:space="preserve"> ان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برامج التحويلات النقدية </w:t>
      </w:r>
      <w:r w:rsidR="007760C4" w:rsidRPr="00CD68B0">
        <w:rPr>
          <w:rFonts w:ascii="Simplified Arabic" w:hAnsi="Simplified Arabic" w:cs="Simplified Arabic"/>
          <w:sz w:val="26"/>
          <w:szCs w:val="26"/>
          <w:rtl/>
        </w:rPr>
        <w:t>من أكثر التدابير والاجراءات التي يجب على الحكومة القيام بها</w:t>
      </w:r>
      <w:r w:rsidR="00731A1D" w:rsidRPr="00CD68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يلي ذلك </w:t>
      </w:r>
      <w:r w:rsidR="007760C4" w:rsidRPr="00CD68B0">
        <w:rPr>
          <w:rFonts w:ascii="Simplified Arabic" w:hAnsi="Simplified Arabic" w:cs="Simplified Arabic"/>
          <w:sz w:val="26"/>
          <w:szCs w:val="26"/>
          <w:rtl/>
        </w:rPr>
        <w:t>توفير فرص عمل وتشغيل (21%)</w:t>
      </w:r>
      <w:r w:rsidR="002178EA" w:rsidRPr="00CD68B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7760C4" w:rsidRPr="00CD68B0">
        <w:rPr>
          <w:rFonts w:ascii="Simplified Arabic" w:hAnsi="Simplified Arabic" w:cs="Simplified Arabic"/>
          <w:sz w:val="26"/>
          <w:szCs w:val="26"/>
          <w:rtl/>
        </w:rPr>
        <w:t>و</w:t>
      </w:r>
      <w:r w:rsidRPr="00CD68B0">
        <w:rPr>
          <w:rFonts w:ascii="Simplified Arabic" w:hAnsi="Simplified Arabic" w:cs="Simplified Arabic"/>
          <w:sz w:val="26"/>
          <w:szCs w:val="26"/>
          <w:rtl/>
        </w:rPr>
        <w:t xml:space="preserve">الأولوية الثالثة </w:t>
      </w:r>
      <w:r w:rsidR="007760C4" w:rsidRPr="00CD68B0">
        <w:rPr>
          <w:rFonts w:ascii="Simplified Arabic" w:hAnsi="Simplified Arabic" w:cs="Simplified Arabic"/>
          <w:sz w:val="26"/>
          <w:szCs w:val="26"/>
          <w:rtl/>
        </w:rPr>
        <w:t>توفير كوبونات طعام وطرود غذائية وقسائم شرائية (19%)</w:t>
      </w:r>
      <w:r w:rsidR="002178EA" w:rsidRPr="00CD68B0">
        <w:rPr>
          <w:rFonts w:ascii="Simplified Arabic" w:hAnsi="Simplified Arabic" w:cs="Simplified Arabic"/>
          <w:sz w:val="26"/>
          <w:szCs w:val="26"/>
          <w:rtl/>
        </w:rPr>
        <w:t>،</w:t>
      </w:r>
      <w:r w:rsidR="00731A1D" w:rsidRPr="00CD68B0">
        <w:rPr>
          <w:rFonts w:ascii="Simplified Arabic" w:hAnsi="Simplified Arabic" w:cs="Simplified Arabic"/>
          <w:sz w:val="26"/>
          <w:szCs w:val="26"/>
          <w:rtl/>
        </w:rPr>
        <w:t xml:space="preserve"> مع وجود تباين بين الضفة الغربية وقطاع غزة كما يشير الشكل ادناه</w:t>
      </w:r>
      <w:r w:rsidR="002178EA" w:rsidRPr="00CD68B0">
        <w:rPr>
          <w:rFonts w:ascii="Simplified Arabic" w:hAnsi="Simplified Arabic" w:cs="Simplified Arabic"/>
          <w:sz w:val="26"/>
          <w:szCs w:val="26"/>
          <w:rtl/>
        </w:rPr>
        <w:t>.</w:t>
      </w:r>
      <w:r w:rsidR="007760C4" w:rsidRPr="00CD68B0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410080" w:rsidRPr="00CD68B0" w:rsidRDefault="006C239A" w:rsidP="001B5D57">
      <w:pPr>
        <w:bidi/>
        <w:jc w:val="lowKashida"/>
        <w:rPr>
          <w:rFonts w:ascii="Simplified Arabic" w:hAnsi="Simplified Arabic" w:cs="Simplified Arabic"/>
          <w:sz w:val="26"/>
          <w:szCs w:val="26"/>
          <w:rtl/>
        </w:rPr>
      </w:pPr>
      <w:r>
        <w:rPr>
          <w:noProof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161290</wp:posOffset>
            </wp:positionH>
            <wp:positionV relativeFrom="paragraph">
              <wp:posOffset>248920</wp:posOffset>
            </wp:positionV>
            <wp:extent cx="5906770" cy="3139440"/>
            <wp:effectExtent l="0" t="0" r="0" b="0"/>
            <wp:wrapTight wrapText="bothSides">
              <wp:wrapPolygon edited="0">
                <wp:start x="0" y="0"/>
                <wp:lineTo x="0" y="21548"/>
                <wp:lineTo x="21530" y="21548"/>
                <wp:lineTo x="21530" y="0"/>
                <wp:lineTo x="0" y="0"/>
              </wp:wrapPolygon>
            </wp:wrapTight>
            <wp:docPr id="9" name="Objec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sectPr w:rsidR="00410080" w:rsidRPr="00CD68B0" w:rsidSect="00ED5460">
      <w:footerReference w:type="even" r:id="rId11"/>
      <w:footerReference w:type="default" r:id="rId12"/>
      <w:pgSz w:w="11907" w:h="16839" w:code="9"/>
      <w:pgMar w:top="1134" w:right="1134" w:bottom="1134" w:left="1134" w:header="720" w:footer="720" w:gutter="0"/>
      <w:cols w:space="1542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2C" w:rsidRPr="00024C28" w:rsidRDefault="0063602C" w:rsidP="00024C28">
      <w:pPr>
        <w:pStyle w:val="Footer"/>
      </w:pPr>
    </w:p>
  </w:endnote>
  <w:endnote w:type="continuationSeparator" w:id="0">
    <w:p w:rsidR="0063602C" w:rsidRDefault="00636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3F" w:rsidRPr="003028CE" w:rsidRDefault="003F473F" w:rsidP="00AE379B">
    <w:pPr>
      <w:pStyle w:val="Footer"/>
      <w:bidi/>
      <w:rPr>
        <w:rFonts w:ascii="Calibri" w:hAnsi="Calibri"/>
        <w:b/>
        <w:sz w:val="20"/>
      </w:rPr>
    </w:pPr>
    <w:r w:rsidRPr="003028CE">
      <w:rPr>
        <w:rFonts w:ascii="Calibri" w:hAnsi="Calibri"/>
        <w:b/>
        <w:sz w:val="20"/>
      </w:rPr>
      <w:tab/>
      <w:t xml:space="preserve">| </w:t>
    </w:r>
    <w:r w:rsidR="000B49C2" w:rsidRPr="003028CE">
      <w:rPr>
        <w:rFonts w:ascii="Calibri" w:hAnsi="Calibri"/>
        <w:b/>
        <w:sz w:val="20"/>
      </w:rPr>
      <w:fldChar w:fldCharType="begin"/>
    </w:r>
    <w:r w:rsidRPr="003028CE">
      <w:rPr>
        <w:rFonts w:ascii="Calibri" w:hAnsi="Calibri"/>
        <w:b/>
        <w:sz w:val="20"/>
      </w:rPr>
      <w:instrText xml:space="preserve"> PAGE   \* MERGEFORMAT </w:instrText>
    </w:r>
    <w:r w:rsidR="000B49C2" w:rsidRPr="003028CE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  <w:rtl/>
      </w:rPr>
      <w:t>2</w:t>
    </w:r>
    <w:r w:rsidR="000B49C2" w:rsidRPr="003028CE">
      <w:rPr>
        <w:rFonts w:ascii="Calibri" w:hAnsi="Calibri"/>
        <w:b/>
        <w:noProof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3F" w:rsidRPr="002B3E71" w:rsidRDefault="000B49C2" w:rsidP="002B3E71">
    <w:pPr>
      <w:pStyle w:val="Footer"/>
      <w:pBdr>
        <w:top w:val="single" w:sz="4" w:space="1" w:color="D9D9D9"/>
      </w:pBdr>
      <w:jc w:val="right"/>
      <w:rPr>
        <w:color w:val="17365D"/>
      </w:rPr>
    </w:pPr>
    <w:r w:rsidRPr="002B3E71">
      <w:rPr>
        <w:color w:val="17365D"/>
      </w:rPr>
      <w:fldChar w:fldCharType="begin"/>
    </w:r>
    <w:r w:rsidR="003F473F" w:rsidRPr="002B3E71">
      <w:rPr>
        <w:color w:val="17365D"/>
      </w:rPr>
      <w:instrText xml:space="preserve"> PAGE   \* MERGEFORMAT </w:instrText>
    </w:r>
    <w:r w:rsidRPr="002B3E71">
      <w:rPr>
        <w:color w:val="17365D"/>
      </w:rPr>
      <w:fldChar w:fldCharType="separate"/>
    </w:r>
    <w:r w:rsidR="006C239A">
      <w:rPr>
        <w:noProof/>
        <w:color w:val="17365D"/>
      </w:rPr>
      <w:t>1</w:t>
    </w:r>
    <w:r w:rsidRPr="002B3E71">
      <w:rPr>
        <w:noProof/>
        <w:color w:val="17365D"/>
      </w:rPr>
      <w:fldChar w:fldCharType="end"/>
    </w:r>
    <w:r w:rsidR="003F473F" w:rsidRPr="002B3E71">
      <w:rPr>
        <w:color w:val="17365D"/>
      </w:rPr>
      <w:t xml:space="preserve"> | </w:t>
    </w:r>
  </w:p>
  <w:p w:rsidR="003F473F" w:rsidRDefault="003F47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2C" w:rsidRDefault="0063602C">
      <w:r>
        <w:separator/>
      </w:r>
    </w:p>
  </w:footnote>
  <w:footnote w:type="continuationSeparator" w:id="0">
    <w:p w:rsidR="0063602C" w:rsidRDefault="00636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34E"/>
    <w:multiLevelType w:val="hybridMultilevel"/>
    <w:tmpl w:val="6F2C8B6E"/>
    <w:lvl w:ilvl="0" w:tplc="493CCF2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8E4"/>
    <w:multiLevelType w:val="multilevel"/>
    <w:tmpl w:val="E3725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BF6F7C"/>
    <w:multiLevelType w:val="hybridMultilevel"/>
    <w:tmpl w:val="7F9A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0CF8"/>
    <w:multiLevelType w:val="hybridMultilevel"/>
    <w:tmpl w:val="A7FA97F2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1" w:tplc="1EA03C74">
      <w:start w:val="1"/>
      <w:numFmt w:val="bullet"/>
      <w:lvlText w:val=""/>
      <w:lvlJc w:val="left"/>
      <w:pPr>
        <w:tabs>
          <w:tab w:val="num" w:pos="1656"/>
        </w:tabs>
        <w:ind w:left="1656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15272C3D"/>
    <w:multiLevelType w:val="hybridMultilevel"/>
    <w:tmpl w:val="C496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1567C"/>
    <w:multiLevelType w:val="hybridMultilevel"/>
    <w:tmpl w:val="31B8C6D2"/>
    <w:lvl w:ilvl="0" w:tplc="4E7E8F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B6482"/>
    <w:multiLevelType w:val="hybridMultilevel"/>
    <w:tmpl w:val="710A1666"/>
    <w:lvl w:ilvl="0" w:tplc="0F4654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AB1513"/>
    <w:multiLevelType w:val="hybridMultilevel"/>
    <w:tmpl w:val="4D6CA4E2"/>
    <w:lvl w:ilvl="0" w:tplc="639E267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C5CC5"/>
    <w:multiLevelType w:val="hybridMultilevel"/>
    <w:tmpl w:val="942274F4"/>
    <w:lvl w:ilvl="0" w:tplc="2EDAA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C51C7"/>
    <w:multiLevelType w:val="multilevel"/>
    <w:tmpl w:val="A93E364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93428"/>
    <w:multiLevelType w:val="hybridMultilevel"/>
    <w:tmpl w:val="9D3A529A"/>
    <w:lvl w:ilvl="0" w:tplc="14789E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2163"/>
    <w:multiLevelType w:val="hybridMultilevel"/>
    <w:tmpl w:val="F0966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86758D"/>
    <w:multiLevelType w:val="hybridMultilevel"/>
    <w:tmpl w:val="59BCF42C"/>
    <w:lvl w:ilvl="0" w:tplc="38EE836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05E8E"/>
    <w:multiLevelType w:val="hybridMultilevel"/>
    <w:tmpl w:val="AC060EB8"/>
    <w:lvl w:ilvl="0" w:tplc="C2884F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B0472"/>
    <w:multiLevelType w:val="hybridMultilevel"/>
    <w:tmpl w:val="60FAC2EA"/>
    <w:lvl w:ilvl="0" w:tplc="3D38DF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C1047"/>
    <w:multiLevelType w:val="hybridMultilevel"/>
    <w:tmpl w:val="B92A1ACE"/>
    <w:lvl w:ilvl="0" w:tplc="2EDAA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2F7FC5"/>
    <w:multiLevelType w:val="hybridMultilevel"/>
    <w:tmpl w:val="E45E7468"/>
    <w:lvl w:ilvl="0" w:tplc="F522BF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103BA8"/>
    <w:multiLevelType w:val="hybridMultilevel"/>
    <w:tmpl w:val="22521B10"/>
    <w:lvl w:ilvl="0" w:tplc="14789E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E6796"/>
    <w:multiLevelType w:val="hybridMultilevel"/>
    <w:tmpl w:val="58F40AEA"/>
    <w:lvl w:ilvl="0" w:tplc="14789E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73911"/>
    <w:multiLevelType w:val="hybridMultilevel"/>
    <w:tmpl w:val="E8D4CEFE"/>
    <w:lvl w:ilvl="0" w:tplc="9294A8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82080"/>
    <w:multiLevelType w:val="hybridMultilevel"/>
    <w:tmpl w:val="06D0C14E"/>
    <w:lvl w:ilvl="0" w:tplc="A8740F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88D24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D27C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6A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4C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1A7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A3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68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1E5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AB5F8E"/>
    <w:multiLevelType w:val="hybridMultilevel"/>
    <w:tmpl w:val="57E2E460"/>
    <w:lvl w:ilvl="0" w:tplc="DE34F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E0711"/>
    <w:multiLevelType w:val="hybridMultilevel"/>
    <w:tmpl w:val="A3BCCB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4E6449"/>
    <w:multiLevelType w:val="hybridMultilevel"/>
    <w:tmpl w:val="0CD4A600"/>
    <w:lvl w:ilvl="0" w:tplc="EB081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344FF"/>
    <w:multiLevelType w:val="hybridMultilevel"/>
    <w:tmpl w:val="97682056"/>
    <w:lvl w:ilvl="0" w:tplc="0F4654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8477E8"/>
    <w:multiLevelType w:val="hybridMultilevel"/>
    <w:tmpl w:val="5F4EB6C6"/>
    <w:lvl w:ilvl="0" w:tplc="F7285F2A">
      <w:start w:val="9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B581A"/>
    <w:multiLevelType w:val="hybridMultilevel"/>
    <w:tmpl w:val="E6E46BA0"/>
    <w:lvl w:ilvl="0" w:tplc="E7CE51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65771A"/>
    <w:multiLevelType w:val="hybridMultilevel"/>
    <w:tmpl w:val="57E2E460"/>
    <w:lvl w:ilvl="0" w:tplc="DE34F2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6525C"/>
    <w:multiLevelType w:val="hybridMultilevel"/>
    <w:tmpl w:val="5156DC8E"/>
    <w:lvl w:ilvl="0" w:tplc="0F4654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49634A"/>
    <w:multiLevelType w:val="hybridMultilevel"/>
    <w:tmpl w:val="659A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74CD7"/>
    <w:multiLevelType w:val="hybridMultilevel"/>
    <w:tmpl w:val="48600E2A"/>
    <w:lvl w:ilvl="0" w:tplc="4E7E8F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425C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D260808"/>
    <w:multiLevelType w:val="multilevel"/>
    <w:tmpl w:val="8DEAAF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571A87"/>
    <w:multiLevelType w:val="hybridMultilevel"/>
    <w:tmpl w:val="120C97C2"/>
    <w:lvl w:ilvl="0" w:tplc="6CC2C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D359E"/>
    <w:multiLevelType w:val="hybridMultilevel"/>
    <w:tmpl w:val="F90C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A0233"/>
    <w:multiLevelType w:val="hybridMultilevel"/>
    <w:tmpl w:val="0262B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07240"/>
    <w:multiLevelType w:val="hybridMultilevel"/>
    <w:tmpl w:val="C090F35C"/>
    <w:lvl w:ilvl="0" w:tplc="0D1EAB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BF0B65"/>
    <w:multiLevelType w:val="hybridMultilevel"/>
    <w:tmpl w:val="A93E3642"/>
    <w:lvl w:ilvl="0" w:tplc="1EA03C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417D32"/>
    <w:multiLevelType w:val="hybridMultilevel"/>
    <w:tmpl w:val="BFE2B236"/>
    <w:lvl w:ilvl="0" w:tplc="DA9E79A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2034E"/>
    <w:multiLevelType w:val="hybridMultilevel"/>
    <w:tmpl w:val="E0CA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C1130"/>
    <w:multiLevelType w:val="hybridMultilevel"/>
    <w:tmpl w:val="1646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56349"/>
    <w:multiLevelType w:val="hybridMultilevel"/>
    <w:tmpl w:val="61FC5432"/>
    <w:lvl w:ilvl="0" w:tplc="BC00C4C6">
      <w:start w:val="1"/>
      <w:numFmt w:val="lowerLetter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2">
    <w:nsid w:val="7F7F7ACD"/>
    <w:multiLevelType w:val="hybridMultilevel"/>
    <w:tmpl w:val="CF94086E"/>
    <w:lvl w:ilvl="0" w:tplc="14648A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37"/>
  </w:num>
  <w:num w:numId="4">
    <w:abstractNumId w:val="9"/>
  </w:num>
  <w:num w:numId="5">
    <w:abstractNumId w:val="3"/>
  </w:num>
  <w:num w:numId="6">
    <w:abstractNumId w:val="11"/>
  </w:num>
  <w:num w:numId="7">
    <w:abstractNumId w:val="30"/>
  </w:num>
  <w:num w:numId="8">
    <w:abstractNumId w:val="5"/>
  </w:num>
  <w:num w:numId="9">
    <w:abstractNumId w:val="22"/>
  </w:num>
  <w:num w:numId="10">
    <w:abstractNumId w:val="40"/>
  </w:num>
  <w:num w:numId="11">
    <w:abstractNumId w:val="39"/>
  </w:num>
  <w:num w:numId="12">
    <w:abstractNumId w:val="4"/>
  </w:num>
  <w:num w:numId="13">
    <w:abstractNumId w:val="2"/>
  </w:num>
  <w:num w:numId="14">
    <w:abstractNumId w:val="16"/>
  </w:num>
  <w:num w:numId="15">
    <w:abstractNumId w:val="26"/>
  </w:num>
  <w:num w:numId="16">
    <w:abstractNumId w:val="36"/>
  </w:num>
  <w:num w:numId="17">
    <w:abstractNumId w:val="28"/>
  </w:num>
  <w:num w:numId="18">
    <w:abstractNumId w:val="24"/>
  </w:num>
  <w:num w:numId="19">
    <w:abstractNumId w:val="25"/>
  </w:num>
  <w:num w:numId="20">
    <w:abstractNumId w:val="41"/>
  </w:num>
  <w:num w:numId="21">
    <w:abstractNumId w:val="21"/>
  </w:num>
  <w:num w:numId="22">
    <w:abstractNumId w:val="27"/>
  </w:num>
  <w:num w:numId="23">
    <w:abstractNumId w:val="42"/>
  </w:num>
  <w:num w:numId="24">
    <w:abstractNumId w:val="14"/>
  </w:num>
  <w:num w:numId="25">
    <w:abstractNumId w:val="7"/>
  </w:num>
  <w:num w:numId="26">
    <w:abstractNumId w:val="6"/>
  </w:num>
  <w:num w:numId="27">
    <w:abstractNumId w:val="19"/>
  </w:num>
  <w:num w:numId="28">
    <w:abstractNumId w:val="13"/>
  </w:num>
  <w:num w:numId="29">
    <w:abstractNumId w:val="33"/>
  </w:num>
  <w:num w:numId="30">
    <w:abstractNumId w:val="0"/>
  </w:num>
  <w:num w:numId="31">
    <w:abstractNumId w:val="35"/>
  </w:num>
  <w:num w:numId="32">
    <w:abstractNumId w:val="10"/>
  </w:num>
  <w:num w:numId="33">
    <w:abstractNumId w:val="18"/>
  </w:num>
  <w:num w:numId="34">
    <w:abstractNumId w:val="17"/>
  </w:num>
  <w:num w:numId="35">
    <w:abstractNumId w:val="34"/>
  </w:num>
  <w:num w:numId="36">
    <w:abstractNumId w:val="32"/>
  </w:num>
  <w:num w:numId="37">
    <w:abstractNumId w:val="1"/>
  </w:num>
  <w:num w:numId="38">
    <w:abstractNumId w:val="38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2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TE0NjExMjA2NjMxMTBQ0lEKTi0uzszPAykwMq4FAP/hw4YtAAAA"/>
  </w:docVars>
  <w:rsids>
    <w:rsidRoot w:val="00361C13"/>
    <w:rsid w:val="000049D5"/>
    <w:rsid w:val="00004A13"/>
    <w:rsid w:val="000103D3"/>
    <w:rsid w:val="000126B6"/>
    <w:rsid w:val="00012AC7"/>
    <w:rsid w:val="0001346C"/>
    <w:rsid w:val="00013D72"/>
    <w:rsid w:val="0001723B"/>
    <w:rsid w:val="00020765"/>
    <w:rsid w:val="000215F9"/>
    <w:rsid w:val="0002205C"/>
    <w:rsid w:val="00024A77"/>
    <w:rsid w:val="00024C28"/>
    <w:rsid w:val="00026002"/>
    <w:rsid w:val="0002669D"/>
    <w:rsid w:val="00027502"/>
    <w:rsid w:val="00030838"/>
    <w:rsid w:val="0003239C"/>
    <w:rsid w:val="00032700"/>
    <w:rsid w:val="000327C9"/>
    <w:rsid w:val="000329ED"/>
    <w:rsid w:val="0003338B"/>
    <w:rsid w:val="00033EE7"/>
    <w:rsid w:val="0003512E"/>
    <w:rsid w:val="00035B2C"/>
    <w:rsid w:val="00036EB0"/>
    <w:rsid w:val="000373C3"/>
    <w:rsid w:val="0003787B"/>
    <w:rsid w:val="00037B9F"/>
    <w:rsid w:val="00041175"/>
    <w:rsid w:val="00041179"/>
    <w:rsid w:val="00042B5C"/>
    <w:rsid w:val="00043ADD"/>
    <w:rsid w:val="00044BF6"/>
    <w:rsid w:val="00046642"/>
    <w:rsid w:val="00046B1D"/>
    <w:rsid w:val="00046EED"/>
    <w:rsid w:val="00050854"/>
    <w:rsid w:val="00050E67"/>
    <w:rsid w:val="000529E6"/>
    <w:rsid w:val="00052D30"/>
    <w:rsid w:val="00053142"/>
    <w:rsid w:val="000534DF"/>
    <w:rsid w:val="000644BC"/>
    <w:rsid w:val="000647A3"/>
    <w:rsid w:val="000655B8"/>
    <w:rsid w:val="00066FDD"/>
    <w:rsid w:val="00067178"/>
    <w:rsid w:val="000720E3"/>
    <w:rsid w:val="00072A49"/>
    <w:rsid w:val="0007519D"/>
    <w:rsid w:val="000807E8"/>
    <w:rsid w:val="000812CA"/>
    <w:rsid w:val="000825F7"/>
    <w:rsid w:val="00082F63"/>
    <w:rsid w:val="00084121"/>
    <w:rsid w:val="000867B5"/>
    <w:rsid w:val="00086832"/>
    <w:rsid w:val="000924F5"/>
    <w:rsid w:val="0009250C"/>
    <w:rsid w:val="00094500"/>
    <w:rsid w:val="00095D1F"/>
    <w:rsid w:val="000A03FC"/>
    <w:rsid w:val="000A0557"/>
    <w:rsid w:val="000A37B5"/>
    <w:rsid w:val="000A4361"/>
    <w:rsid w:val="000A6484"/>
    <w:rsid w:val="000A7025"/>
    <w:rsid w:val="000B2192"/>
    <w:rsid w:val="000B21F4"/>
    <w:rsid w:val="000B4227"/>
    <w:rsid w:val="000B49C2"/>
    <w:rsid w:val="000B573F"/>
    <w:rsid w:val="000B63DE"/>
    <w:rsid w:val="000B6EA5"/>
    <w:rsid w:val="000B7633"/>
    <w:rsid w:val="000C0182"/>
    <w:rsid w:val="000C1A81"/>
    <w:rsid w:val="000C1E29"/>
    <w:rsid w:val="000C1F98"/>
    <w:rsid w:val="000C31BD"/>
    <w:rsid w:val="000C575A"/>
    <w:rsid w:val="000C5DD1"/>
    <w:rsid w:val="000C6BF3"/>
    <w:rsid w:val="000D09BD"/>
    <w:rsid w:val="000D139E"/>
    <w:rsid w:val="000D1510"/>
    <w:rsid w:val="000D16D2"/>
    <w:rsid w:val="000D2AA9"/>
    <w:rsid w:val="000D4786"/>
    <w:rsid w:val="000D5343"/>
    <w:rsid w:val="000D6204"/>
    <w:rsid w:val="000D6E67"/>
    <w:rsid w:val="000E1783"/>
    <w:rsid w:val="000E1F6F"/>
    <w:rsid w:val="000E3913"/>
    <w:rsid w:val="000E51F1"/>
    <w:rsid w:val="000E7137"/>
    <w:rsid w:val="000F227F"/>
    <w:rsid w:val="000F7067"/>
    <w:rsid w:val="000F731B"/>
    <w:rsid w:val="001030C3"/>
    <w:rsid w:val="0010370F"/>
    <w:rsid w:val="00105DC7"/>
    <w:rsid w:val="0011252A"/>
    <w:rsid w:val="00117125"/>
    <w:rsid w:val="00117D49"/>
    <w:rsid w:val="001202AC"/>
    <w:rsid w:val="00120AC8"/>
    <w:rsid w:val="00120CD9"/>
    <w:rsid w:val="001223A2"/>
    <w:rsid w:val="001313FC"/>
    <w:rsid w:val="00131F70"/>
    <w:rsid w:val="001324FD"/>
    <w:rsid w:val="00133006"/>
    <w:rsid w:val="00137965"/>
    <w:rsid w:val="00142B3B"/>
    <w:rsid w:val="00143EB1"/>
    <w:rsid w:val="00144BD2"/>
    <w:rsid w:val="00151D9D"/>
    <w:rsid w:val="00151EB4"/>
    <w:rsid w:val="00153F71"/>
    <w:rsid w:val="0015456D"/>
    <w:rsid w:val="001552CA"/>
    <w:rsid w:val="00157FD2"/>
    <w:rsid w:val="00160562"/>
    <w:rsid w:val="00162B18"/>
    <w:rsid w:val="0016419D"/>
    <w:rsid w:val="001641CC"/>
    <w:rsid w:val="00166378"/>
    <w:rsid w:val="001672F2"/>
    <w:rsid w:val="001676DC"/>
    <w:rsid w:val="001677C7"/>
    <w:rsid w:val="00172000"/>
    <w:rsid w:val="00173522"/>
    <w:rsid w:val="00173594"/>
    <w:rsid w:val="0017449E"/>
    <w:rsid w:val="00175A14"/>
    <w:rsid w:val="00177CEB"/>
    <w:rsid w:val="001823B8"/>
    <w:rsid w:val="001937D3"/>
    <w:rsid w:val="00194072"/>
    <w:rsid w:val="00194616"/>
    <w:rsid w:val="00194DEC"/>
    <w:rsid w:val="001957B4"/>
    <w:rsid w:val="00195FDA"/>
    <w:rsid w:val="00196096"/>
    <w:rsid w:val="001966B0"/>
    <w:rsid w:val="00197381"/>
    <w:rsid w:val="001A2572"/>
    <w:rsid w:val="001A2879"/>
    <w:rsid w:val="001A5AA6"/>
    <w:rsid w:val="001A6410"/>
    <w:rsid w:val="001B0056"/>
    <w:rsid w:val="001B08DA"/>
    <w:rsid w:val="001B1888"/>
    <w:rsid w:val="001B1CC0"/>
    <w:rsid w:val="001B2620"/>
    <w:rsid w:val="001B317C"/>
    <w:rsid w:val="001B3F54"/>
    <w:rsid w:val="001B45FE"/>
    <w:rsid w:val="001B5D57"/>
    <w:rsid w:val="001B5DDD"/>
    <w:rsid w:val="001B7669"/>
    <w:rsid w:val="001B7D0D"/>
    <w:rsid w:val="001B7DAF"/>
    <w:rsid w:val="001C07EE"/>
    <w:rsid w:val="001C2274"/>
    <w:rsid w:val="001C4A11"/>
    <w:rsid w:val="001C51A5"/>
    <w:rsid w:val="001D31CD"/>
    <w:rsid w:val="001D377D"/>
    <w:rsid w:val="001D3C7E"/>
    <w:rsid w:val="001D4750"/>
    <w:rsid w:val="001D5EA7"/>
    <w:rsid w:val="001D6132"/>
    <w:rsid w:val="001D70D1"/>
    <w:rsid w:val="001E15BC"/>
    <w:rsid w:val="001E1B9D"/>
    <w:rsid w:val="001E30A9"/>
    <w:rsid w:val="001E7015"/>
    <w:rsid w:val="001F157F"/>
    <w:rsid w:val="001F1CAF"/>
    <w:rsid w:val="001F25F4"/>
    <w:rsid w:val="001F2D21"/>
    <w:rsid w:val="001F3024"/>
    <w:rsid w:val="001F4029"/>
    <w:rsid w:val="001F589A"/>
    <w:rsid w:val="001F71FF"/>
    <w:rsid w:val="002010FD"/>
    <w:rsid w:val="0020111A"/>
    <w:rsid w:val="00201178"/>
    <w:rsid w:val="0020343C"/>
    <w:rsid w:val="00203C53"/>
    <w:rsid w:val="00205282"/>
    <w:rsid w:val="002058EA"/>
    <w:rsid w:val="0021054B"/>
    <w:rsid w:val="00212813"/>
    <w:rsid w:val="00212B72"/>
    <w:rsid w:val="002135EA"/>
    <w:rsid w:val="0021587D"/>
    <w:rsid w:val="0021675E"/>
    <w:rsid w:val="002171B8"/>
    <w:rsid w:val="002178EA"/>
    <w:rsid w:val="00217CA7"/>
    <w:rsid w:val="00221A7B"/>
    <w:rsid w:val="00222C82"/>
    <w:rsid w:val="00225785"/>
    <w:rsid w:val="00225C53"/>
    <w:rsid w:val="00227F16"/>
    <w:rsid w:val="00230624"/>
    <w:rsid w:val="0023099B"/>
    <w:rsid w:val="00232C68"/>
    <w:rsid w:val="00234817"/>
    <w:rsid w:val="0023625A"/>
    <w:rsid w:val="0023681B"/>
    <w:rsid w:val="00242813"/>
    <w:rsid w:val="002448A3"/>
    <w:rsid w:val="00246D0D"/>
    <w:rsid w:val="002534A7"/>
    <w:rsid w:val="00254D34"/>
    <w:rsid w:val="00256494"/>
    <w:rsid w:val="00256661"/>
    <w:rsid w:val="00256752"/>
    <w:rsid w:val="00256C0D"/>
    <w:rsid w:val="00256FAF"/>
    <w:rsid w:val="0025780A"/>
    <w:rsid w:val="00257BA8"/>
    <w:rsid w:val="00257F01"/>
    <w:rsid w:val="00260365"/>
    <w:rsid w:val="002607A7"/>
    <w:rsid w:val="00260807"/>
    <w:rsid w:val="00263DE5"/>
    <w:rsid w:val="002654E5"/>
    <w:rsid w:val="002655A6"/>
    <w:rsid w:val="00265A1D"/>
    <w:rsid w:val="00266686"/>
    <w:rsid w:val="00266863"/>
    <w:rsid w:val="00267892"/>
    <w:rsid w:val="00270416"/>
    <w:rsid w:val="00271521"/>
    <w:rsid w:val="00271A92"/>
    <w:rsid w:val="00272084"/>
    <w:rsid w:val="00272B72"/>
    <w:rsid w:val="00272F6E"/>
    <w:rsid w:val="00274ED3"/>
    <w:rsid w:val="00276C8D"/>
    <w:rsid w:val="00277823"/>
    <w:rsid w:val="00280B5C"/>
    <w:rsid w:val="00284375"/>
    <w:rsid w:val="00287A7B"/>
    <w:rsid w:val="00287D03"/>
    <w:rsid w:val="00290346"/>
    <w:rsid w:val="00290610"/>
    <w:rsid w:val="00290A10"/>
    <w:rsid w:val="00292102"/>
    <w:rsid w:val="00292B84"/>
    <w:rsid w:val="00293E95"/>
    <w:rsid w:val="00295A14"/>
    <w:rsid w:val="002960B1"/>
    <w:rsid w:val="002A012C"/>
    <w:rsid w:val="002A0739"/>
    <w:rsid w:val="002A0C24"/>
    <w:rsid w:val="002A2EE6"/>
    <w:rsid w:val="002A3B02"/>
    <w:rsid w:val="002A48A7"/>
    <w:rsid w:val="002A5B14"/>
    <w:rsid w:val="002A77DE"/>
    <w:rsid w:val="002A7A0A"/>
    <w:rsid w:val="002B191B"/>
    <w:rsid w:val="002B1CF7"/>
    <w:rsid w:val="002B2D68"/>
    <w:rsid w:val="002B38EB"/>
    <w:rsid w:val="002B3E71"/>
    <w:rsid w:val="002B7863"/>
    <w:rsid w:val="002C30B8"/>
    <w:rsid w:val="002C6473"/>
    <w:rsid w:val="002C7532"/>
    <w:rsid w:val="002C75E2"/>
    <w:rsid w:val="002D1C98"/>
    <w:rsid w:val="002D227D"/>
    <w:rsid w:val="002D25EE"/>
    <w:rsid w:val="002D2D38"/>
    <w:rsid w:val="002D3612"/>
    <w:rsid w:val="002D4CB0"/>
    <w:rsid w:val="002D5093"/>
    <w:rsid w:val="002E099C"/>
    <w:rsid w:val="002E100A"/>
    <w:rsid w:val="002E1763"/>
    <w:rsid w:val="002E25C1"/>
    <w:rsid w:val="002E2B1B"/>
    <w:rsid w:val="002E377F"/>
    <w:rsid w:val="002E7973"/>
    <w:rsid w:val="002F0493"/>
    <w:rsid w:val="002F0920"/>
    <w:rsid w:val="002F321D"/>
    <w:rsid w:val="002F4247"/>
    <w:rsid w:val="002F74AB"/>
    <w:rsid w:val="00300E28"/>
    <w:rsid w:val="003028CE"/>
    <w:rsid w:val="003040BA"/>
    <w:rsid w:val="003064F1"/>
    <w:rsid w:val="00306DFE"/>
    <w:rsid w:val="0031088F"/>
    <w:rsid w:val="003138EE"/>
    <w:rsid w:val="00314710"/>
    <w:rsid w:val="003153EF"/>
    <w:rsid w:val="00315CE8"/>
    <w:rsid w:val="003179E0"/>
    <w:rsid w:val="00317FD1"/>
    <w:rsid w:val="0032091A"/>
    <w:rsid w:val="0032259C"/>
    <w:rsid w:val="003249CA"/>
    <w:rsid w:val="00327A15"/>
    <w:rsid w:val="00330D1A"/>
    <w:rsid w:val="00332E25"/>
    <w:rsid w:val="00333FDD"/>
    <w:rsid w:val="003404D0"/>
    <w:rsid w:val="00342465"/>
    <w:rsid w:val="00345893"/>
    <w:rsid w:val="0034719D"/>
    <w:rsid w:val="0036129E"/>
    <w:rsid w:val="00361C13"/>
    <w:rsid w:val="00363BD8"/>
    <w:rsid w:val="00363C85"/>
    <w:rsid w:val="00364CEE"/>
    <w:rsid w:val="00366217"/>
    <w:rsid w:val="00367067"/>
    <w:rsid w:val="00367D69"/>
    <w:rsid w:val="00367E4D"/>
    <w:rsid w:val="00370DA6"/>
    <w:rsid w:val="00370EE0"/>
    <w:rsid w:val="00373C5C"/>
    <w:rsid w:val="00381FA1"/>
    <w:rsid w:val="00382993"/>
    <w:rsid w:val="00382C1E"/>
    <w:rsid w:val="00383F57"/>
    <w:rsid w:val="00384CE3"/>
    <w:rsid w:val="003855A2"/>
    <w:rsid w:val="003859F2"/>
    <w:rsid w:val="00385A6F"/>
    <w:rsid w:val="00385B0E"/>
    <w:rsid w:val="0038699D"/>
    <w:rsid w:val="00390683"/>
    <w:rsid w:val="003922B5"/>
    <w:rsid w:val="00392AE2"/>
    <w:rsid w:val="003933CB"/>
    <w:rsid w:val="00395FC9"/>
    <w:rsid w:val="00396057"/>
    <w:rsid w:val="003A4630"/>
    <w:rsid w:val="003A4823"/>
    <w:rsid w:val="003A66CC"/>
    <w:rsid w:val="003A6DB8"/>
    <w:rsid w:val="003A6DC1"/>
    <w:rsid w:val="003B069C"/>
    <w:rsid w:val="003B3E34"/>
    <w:rsid w:val="003C151D"/>
    <w:rsid w:val="003C2FF9"/>
    <w:rsid w:val="003C311A"/>
    <w:rsid w:val="003C355E"/>
    <w:rsid w:val="003D134A"/>
    <w:rsid w:val="003D1A2B"/>
    <w:rsid w:val="003D2D63"/>
    <w:rsid w:val="003D2E03"/>
    <w:rsid w:val="003D484E"/>
    <w:rsid w:val="003D7352"/>
    <w:rsid w:val="003D7A13"/>
    <w:rsid w:val="003E2AB3"/>
    <w:rsid w:val="003E2CE6"/>
    <w:rsid w:val="003E5A95"/>
    <w:rsid w:val="003E5D70"/>
    <w:rsid w:val="003E749A"/>
    <w:rsid w:val="003E7AEB"/>
    <w:rsid w:val="003F104B"/>
    <w:rsid w:val="003F1186"/>
    <w:rsid w:val="003F473F"/>
    <w:rsid w:val="003F5D14"/>
    <w:rsid w:val="003F67D0"/>
    <w:rsid w:val="00403F19"/>
    <w:rsid w:val="00404195"/>
    <w:rsid w:val="00405F1F"/>
    <w:rsid w:val="004076B0"/>
    <w:rsid w:val="0040785B"/>
    <w:rsid w:val="00410080"/>
    <w:rsid w:val="0041117D"/>
    <w:rsid w:val="00414078"/>
    <w:rsid w:val="00415347"/>
    <w:rsid w:val="00422460"/>
    <w:rsid w:val="00422EBB"/>
    <w:rsid w:val="00422F7C"/>
    <w:rsid w:val="0042367C"/>
    <w:rsid w:val="00423897"/>
    <w:rsid w:val="0042535A"/>
    <w:rsid w:val="004254DB"/>
    <w:rsid w:val="00430283"/>
    <w:rsid w:val="00430C23"/>
    <w:rsid w:val="00430DDA"/>
    <w:rsid w:val="004324B7"/>
    <w:rsid w:val="00437416"/>
    <w:rsid w:val="0044007E"/>
    <w:rsid w:val="00440A3E"/>
    <w:rsid w:val="00442796"/>
    <w:rsid w:val="004427EA"/>
    <w:rsid w:val="004444AB"/>
    <w:rsid w:val="00444F2C"/>
    <w:rsid w:val="00445B3D"/>
    <w:rsid w:val="00445ED0"/>
    <w:rsid w:val="00446DC1"/>
    <w:rsid w:val="004503FE"/>
    <w:rsid w:val="00451020"/>
    <w:rsid w:val="00451B3F"/>
    <w:rsid w:val="00452E5E"/>
    <w:rsid w:val="004541F5"/>
    <w:rsid w:val="0045474F"/>
    <w:rsid w:val="004614F7"/>
    <w:rsid w:val="00463407"/>
    <w:rsid w:val="00465705"/>
    <w:rsid w:val="004657E1"/>
    <w:rsid w:val="00465BD3"/>
    <w:rsid w:val="00466CAC"/>
    <w:rsid w:val="004675CF"/>
    <w:rsid w:val="00471C7E"/>
    <w:rsid w:val="00471F5C"/>
    <w:rsid w:val="00472086"/>
    <w:rsid w:val="004725C1"/>
    <w:rsid w:val="00472A12"/>
    <w:rsid w:val="004738D2"/>
    <w:rsid w:val="00474755"/>
    <w:rsid w:val="004752A8"/>
    <w:rsid w:val="004754F9"/>
    <w:rsid w:val="00475859"/>
    <w:rsid w:val="00475A67"/>
    <w:rsid w:val="00475B63"/>
    <w:rsid w:val="00475FEC"/>
    <w:rsid w:val="00476BDE"/>
    <w:rsid w:val="004801CD"/>
    <w:rsid w:val="004812E9"/>
    <w:rsid w:val="00484060"/>
    <w:rsid w:val="0048548D"/>
    <w:rsid w:val="00486E8B"/>
    <w:rsid w:val="00493AFE"/>
    <w:rsid w:val="004959EC"/>
    <w:rsid w:val="00495D15"/>
    <w:rsid w:val="0049753E"/>
    <w:rsid w:val="00497A4C"/>
    <w:rsid w:val="004A10B2"/>
    <w:rsid w:val="004A1E8F"/>
    <w:rsid w:val="004A229D"/>
    <w:rsid w:val="004A4079"/>
    <w:rsid w:val="004B19C2"/>
    <w:rsid w:val="004B2266"/>
    <w:rsid w:val="004B2A20"/>
    <w:rsid w:val="004B5802"/>
    <w:rsid w:val="004B647A"/>
    <w:rsid w:val="004B660B"/>
    <w:rsid w:val="004B6B95"/>
    <w:rsid w:val="004C1C85"/>
    <w:rsid w:val="004C5A77"/>
    <w:rsid w:val="004C60A2"/>
    <w:rsid w:val="004C7B7F"/>
    <w:rsid w:val="004D2956"/>
    <w:rsid w:val="004D2C85"/>
    <w:rsid w:val="004D2E91"/>
    <w:rsid w:val="004D4BFA"/>
    <w:rsid w:val="004D4F75"/>
    <w:rsid w:val="004D71B8"/>
    <w:rsid w:val="004D7351"/>
    <w:rsid w:val="004E0B9B"/>
    <w:rsid w:val="004E20D7"/>
    <w:rsid w:val="004E2656"/>
    <w:rsid w:val="004E2CAB"/>
    <w:rsid w:val="004E5165"/>
    <w:rsid w:val="004E60AD"/>
    <w:rsid w:val="004E70BD"/>
    <w:rsid w:val="004E7311"/>
    <w:rsid w:val="004F22F4"/>
    <w:rsid w:val="004F2424"/>
    <w:rsid w:val="004F2CDD"/>
    <w:rsid w:val="004F356E"/>
    <w:rsid w:val="004F3D63"/>
    <w:rsid w:val="004F40D1"/>
    <w:rsid w:val="004F49C0"/>
    <w:rsid w:val="004F50F2"/>
    <w:rsid w:val="004F541B"/>
    <w:rsid w:val="004F5A28"/>
    <w:rsid w:val="004F6873"/>
    <w:rsid w:val="004F6D74"/>
    <w:rsid w:val="004F7562"/>
    <w:rsid w:val="00501005"/>
    <w:rsid w:val="00505AA0"/>
    <w:rsid w:val="00507613"/>
    <w:rsid w:val="0050761C"/>
    <w:rsid w:val="00512DEC"/>
    <w:rsid w:val="00514843"/>
    <w:rsid w:val="00515579"/>
    <w:rsid w:val="0052022E"/>
    <w:rsid w:val="00521F83"/>
    <w:rsid w:val="00522737"/>
    <w:rsid w:val="00523028"/>
    <w:rsid w:val="00523259"/>
    <w:rsid w:val="00523532"/>
    <w:rsid w:val="00524AA7"/>
    <w:rsid w:val="00525739"/>
    <w:rsid w:val="00526CE9"/>
    <w:rsid w:val="00526DE0"/>
    <w:rsid w:val="00527925"/>
    <w:rsid w:val="0053185A"/>
    <w:rsid w:val="00531E52"/>
    <w:rsid w:val="005322E5"/>
    <w:rsid w:val="00534316"/>
    <w:rsid w:val="00534ECE"/>
    <w:rsid w:val="00535078"/>
    <w:rsid w:val="005357DB"/>
    <w:rsid w:val="00535994"/>
    <w:rsid w:val="00540464"/>
    <w:rsid w:val="00540C8F"/>
    <w:rsid w:val="00547E42"/>
    <w:rsid w:val="005507DC"/>
    <w:rsid w:val="0055155E"/>
    <w:rsid w:val="00552090"/>
    <w:rsid w:val="00552204"/>
    <w:rsid w:val="005546D6"/>
    <w:rsid w:val="005557C7"/>
    <w:rsid w:val="00555F43"/>
    <w:rsid w:val="00557006"/>
    <w:rsid w:val="00557D6D"/>
    <w:rsid w:val="005609B2"/>
    <w:rsid w:val="00564D85"/>
    <w:rsid w:val="00564F82"/>
    <w:rsid w:val="00566108"/>
    <w:rsid w:val="00570DD3"/>
    <w:rsid w:val="005740E0"/>
    <w:rsid w:val="00574620"/>
    <w:rsid w:val="0057488E"/>
    <w:rsid w:val="005750D2"/>
    <w:rsid w:val="00580266"/>
    <w:rsid w:val="00580A8B"/>
    <w:rsid w:val="00582C03"/>
    <w:rsid w:val="00583D29"/>
    <w:rsid w:val="00583E6B"/>
    <w:rsid w:val="00586F24"/>
    <w:rsid w:val="005903CF"/>
    <w:rsid w:val="005904B0"/>
    <w:rsid w:val="00591CA0"/>
    <w:rsid w:val="00592092"/>
    <w:rsid w:val="00592DC1"/>
    <w:rsid w:val="00592E58"/>
    <w:rsid w:val="00592EED"/>
    <w:rsid w:val="005966DF"/>
    <w:rsid w:val="00596B0C"/>
    <w:rsid w:val="00596D6C"/>
    <w:rsid w:val="005972B2"/>
    <w:rsid w:val="005A0DB0"/>
    <w:rsid w:val="005A2F04"/>
    <w:rsid w:val="005B27FD"/>
    <w:rsid w:val="005B45AE"/>
    <w:rsid w:val="005B5B3C"/>
    <w:rsid w:val="005B6036"/>
    <w:rsid w:val="005B664B"/>
    <w:rsid w:val="005B710E"/>
    <w:rsid w:val="005B76AB"/>
    <w:rsid w:val="005C0490"/>
    <w:rsid w:val="005C2540"/>
    <w:rsid w:val="005C2B92"/>
    <w:rsid w:val="005C2C02"/>
    <w:rsid w:val="005C3B7C"/>
    <w:rsid w:val="005C3F38"/>
    <w:rsid w:val="005C40E5"/>
    <w:rsid w:val="005C5CF6"/>
    <w:rsid w:val="005D0114"/>
    <w:rsid w:val="005D0E23"/>
    <w:rsid w:val="005D4361"/>
    <w:rsid w:val="005D43E0"/>
    <w:rsid w:val="005D4E68"/>
    <w:rsid w:val="005D6816"/>
    <w:rsid w:val="005D717B"/>
    <w:rsid w:val="005D7844"/>
    <w:rsid w:val="005D7FF1"/>
    <w:rsid w:val="005E0E9F"/>
    <w:rsid w:val="005E76E1"/>
    <w:rsid w:val="005E7A6C"/>
    <w:rsid w:val="005F07A0"/>
    <w:rsid w:val="005F1920"/>
    <w:rsid w:val="005F37D1"/>
    <w:rsid w:val="005F430A"/>
    <w:rsid w:val="005F5471"/>
    <w:rsid w:val="00600D8A"/>
    <w:rsid w:val="00602267"/>
    <w:rsid w:val="00602883"/>
    <w:rsid w:val="00602D49"/>
    <w:rsid w:val="00603091"/>
    <w:rsid w:val="00603B31"/>
    <w:rsid w:val="00603D55"/>
    <w:rsid w:val="00604031"/>
    <w:rsid w:val="0060782E"/>
    <w:rsid w:val="00610006"/>
    <w:rsid w:val="0061052F"/>
    <w:rsid w:val="0061257F"/>
    <w:rsid w:val="00612E48"/>
    <w:rsid w:val="00613527"/>
    <w:rsid w:val="006137BD"/>
    <w:rsid w:val="006154D1"/>
    <w:rsid w:val="006203AD"/>
    <w:rsid w:val="0062138E"/>
    <w:rsid w:val="00621F46"/>
    <w:rsid w:val="00622825"/>
    <w:rsid w:val="00624460"/>
    <w:rsid w:val="00624705"/>
    <w:rsid w:val="00630704"/>
    <w:rsid w:val="00630E0D"/>
    <w:rsid w:val="006311EC"/>
    <w:rsid w:val="00631374"/>
    <w:rsid w:val="00631461"/>
    <w:rsid w:val="006327C7"/>
    <w:rsid w:val="0063602C"/>
    <w:rsid w:val="00636C95"/>
    <w:rsid w:val="0063703F"/>
    <w:rsid w:val="00640249"/>
    <w:rsid w:val="006426DD"/>
    <w:rsid w:val="00642789"/>
    <w:rsid w:val="00642D95"/>
    <w:rsid w:val="0064360B"/>
    <w:rsid w:val="00644B29"/>
    <w:rsid w:val="00644ED7"/>
    <w:rsid w:val="00647746"/>
    <w:rsid w:val="00650607"/>
    <w:rsid w:val="0065299D"/>
    <w:rsid w:val="00653094"/>
    <w:rsid w:val="0065602F"/>
    <w:rsid w:val="00656886"/>
    <w:rsid w:val="00656A62"/>
    <w:rsid w:val="00656C9D"/>
    <w:rsid w:val="00664024"/>
    <w:rsid w:val="00664B6E"/>
    <w:rsid w:val="00664CE4"/>
    <w:rsid w:val="0066500F"/>
    <w:rsid w:val="00665061"/>
    <w:rsid w:val="00665F6F"/>
    <w:rsid w:val="006704EB"/>
    <w:rsid w:val="006715F9"/>
    <w:rsid w:val="00674345"/>
    <w:rsid w:val="00681B58"/>
    <w:rsid w:val="006824CF"/>
    <w:rsid w:val="00682E94"/>
    <w:rsid w:val="00683609"/>
    <w:rsid w:val="00685150"/>
    <w:rsid w:val="006865B1"/>
    <w:rsid w:val="00687334"/>
    <w:rsid w:val="00687C1E"/>
    <w:rsid w:val="00687D8E"/>
    <w:rsid w:val="00690FF6"/>
    <w:rsid w:val="00697F90"/>
    <w:rsid w:val="006A0E4A"/>
    <w:rsid w:val="006A1224"/>
    <w:rsid w:val="006A1E2C"/>
    <w:rsid w:val="006A21B5"/>
    <w:rsid w:val="006A2EA5"/>
    <w:rsid w:val="006A3376"/>
    <w:rsid w:val="006A7CC7"/>
    <w:rsid w:val="006B10CF"/>
    <w:rsid w:val="006B129A"/>
    <w:rsid w:val="006B1D43"/>
    <w:rsid w:val="006B2DDC"/>
    <w:rsid w:val="006B45A7"/>
    <w:rsid w:val="006B4702"/>
    <w:rsid w:val="006B52E7"/>
    <w:rsid w:val="006B57A2"/>
    <w:rsid w:val="006B5F90"/>
    <w:rsid w:val="006C0B7E"/>
    <w:rsid w:val="006C239A"/>
    <w:rsid w:val="006C5039"/>
    <w:rsid w:val="006C6B41"/>
    <w:rsid w:val="006C7403"/>
    <w:rsid w:val="006D0100"/>
    <w:rsid w:val="006D2A2B"/>
    <w:rsid w:val="006E048F"/>
    <w:rsid w:val="006E10FC"/>
    <w:rsid w:val="006E13E8"/>
    <w:rsid w:val="006E1A7C"/>
    <w:rsid w:val="006E28DC"/>
    <w:rsid w:val="006E396B"/>
    <w:rsid w:val="006E4B65"/>
    <w:rsid w:val="006F30B5"/>
    <w:rsid w:val="006F3AB6"/>
    <w:rsid w:val="006F3D74"/>
    <w:rsid w:val="006F41F1"/>
    <w:rsid w:val="006F5BEE"/>
    <w:rsid w:val="006F7770"/>
    <w:rsid w:val="007008E1"/>
    <w:rsid w:val="00700AF1"/>
    <w:rsid w:val="00701E1D"/>
    <w:rsid w:val="0070271B"/>
    <w:rsid w:val="007033DD"/>
    <w:rsid w:val="007036A4"/>
    <w:rsid w:val="00703BCC"/>
    <w:rsid w:val="0070449E"/>
    <w:rsid w:val="007063F2"/>
    <w:rsid w:val="0071487A"/>
    <w:rsid w:val="00714EA3"/>
    <w:rsid w:val="0071681C"/>
    <w:rsid w:val="007169D4"/>
    <w:rsid w:val="00722A77"/>
    <w:rsid w:val="00722B76"/>
    <w:rsid w:val="0072316B"/>
    <w:rsid w:val="00723E14"/>
    <w:rsid w:val="00725C5F"/>
    <w:rsid w:val="00726C0D"/>
    <w:rsid w:val="00727796"/>
    <w:rsid w:val="00727FE0"/>
    <w:rsid w:val="00731A1D"/>
    <w:rsid w:val="00733485"/>
    <w:rsid w:val="007348C2"/>
    <w:rsid w:val="007364E5"/>
    <w:rsid w:val="0073657F"/>
    <w:rsid w:val="00736CA8"/>
    <w:rsid w:val="007374A9"/>
    <w:rsid w:val="007414B0"/>
    <w:rsid w:val="00742049"/>
    <w:rsid w:val="00744237"/>
    <w:rsid w:val="00745E3A"/>
    <w:rsid w:val="00750030"/>
    <w:rsid w:val="007503C7"/>
    <w:rsid w:val="00752999"/>
    <w:rsid w:val="00755E01"/>
    <w:rsid w:val="00757C14"/>
    <w:rsid w:val="007619AE"/>
    <w:rsid w:val="00763589"/>
    <w:rsid w:val="00770390"/>
    <w:rsid w:val="00770672"/>
    <w:rsid w:val="00770E13"/>
    <w:rsid w:val="00770ECA"/>
    <w:rsid w:val="00771945"/>
    <w:rsid w:val="00771E52"/>
    <w:rsid w:val="007760C4"/>
    <w:rsid w:val="00776D46"/>
    <w:rsid w:val="0077763A"/>
    <w:rsid w:val="00780310"/>
    <w:rsid w:val="0078271A"/>
    <w:rsid w:val="007829D9"/>
    <w:rsid w:val="00783457"/>
    <w:rsid w:val="007845EE"/>
    <w:rsid w:val="007906D9"/>
    <w:rsid w:val="0079096F"/>
    <w:rsid w:val="007915B0"/>
    <w:rsid w:val="0079192B"/>
    <w:rsid w:val="0079234A"/>
    <w:rsid w:val="00793426"/>
    <w:rsid w:val="00796041"/>
    <w:rsid w:val="00797569"/>
    <w:rsid w:val="007A00A0"/>
    <w:rsid w:val="007A1572"/>
    <w:rsid w:val="007A4855"/>
    <w:rsid w:val="007A5B2C"/>
    <w:rsid w:val="007A7635"/>
    <w:rsid w:val="007B0650"/>
    <w:rsid w:val="007B0FC6"/>
    <w:rsid w:val="007B145C"/>
    <w:rsid w:val="007B1806"/>
    <w:rsid w:val="007B1DA4"/>
    <w:rsid w:val="007B260F"/>
    <w:rsid w:val="007B39BC"/>
    <w:rsid w:val="007B3B06"/>
    <w:rsid w:val="007B784E"/>
    <w:rsid w:val="007C1092"/>
    <w:rsid w:val="007C11A8"/>
    <w:rsid w:val="007C13BB"/>
    <w:rsid w:val="007C3535"/>
    <w:rsid w:val="007C3B32"/>
    <w:rsid w:val="007C5B3A"/>
    <w:rsid w:val="007C5F54"/>
    <w:rsid w:val="007D3157"/>
    <w:rsid w:val="007D5CF7"/>
    <w:rsid w:val="007D6601"/>
    <w:rsid w:val="007E043A"/>
    <w:rsid w:val="007E1A56"/>
    <w:rsid w:val="007E20BB"/>
    <w:rsid w:val="007E27AA"/>
    <w:rsid w:val="007E28B1"/>
    <w:rsid w:val="007E2DB4"/>
    <w:rsid w:val="007E3A1D"/>
    <w:rsid w:val="007E5372"/>
    <w:rsid w:val="007E5B0D"/>
    <w:rsid w:val="007E66E9"/>
    <w:rsid w:val="007E7951"/>
    <w:rsid w:val="007E7A06"/>
    <w:rsid w:val="007F04C4"/>
    <w:rsid w:val="007F0BE5"/>
    <w:rsid w:val="007F17F3"/>
    <w:rsid w:val="007F2441"/>
    <w:rsid w:val="007F2B93"/>
    <w:rsid w:val="007F35F7"/>
    <w:rsid w:val="007F4CE4"/>
    <w:rsid w:val="007F6612"/>
    <w:rsid w:val="007F7A09"/>
    <w:rsid w:val="007F7E82"/>
    <w:rsid w:val="00800E68"/>
    <w:rsid w:val="00801715"/>
    <w:rsid w:val="008019A5"/>
    <w:rsid w:val="00801AE3"/>
    <w:rsid w:val="008023CA"/>
    <w:rsid w:val="00803DBB"/>
    <w:rsid w:val="00805703"/>
    <w:rsid w:val="00806EF1"/>
    <w:rsid w:val="00810FB9"/>
    <w:rsid w:val="00811F1C"/>
    <w:rsid w:val="00812861"/>
    <w:rsid w:val="00812D07"/>
    <w:rsid w:val="008143D1"/>
    <w:rsid w:val="00814A98"/>
    <w:rsid w:val="00817AEB"/>
    <w:rsid w:val="00820A23"/>
    <w:rsid w:val="008215A5"/>
    <w:rsid w:val="00822BA9"/>
    <w:rsid w:val="00823B10"/>
    <w:rsid w:val="0082562F"/>
    <w:rsid w:val="00825E34"/>
    <w:rsid w:val="00827F67"/>
    <w:rsid w:val="00830348"/>
    <w:rsid w:val="00833F50"/>
    <w:rsid w:val="00836E77"/>
    <w:rsid w:val="00837A25"/>
    <w:rsid w:val="00840449"/>
    <w:rsid w:val="00844BAC"/>
    <w:rsid w:val="00844F07"/>
    <w:rsid w:val="0084555B"/>
    <w:rsid w:val="00846BD5"/>
    <w:rsid w:val="00847330"/>
    <w:rsid w:val="008516B3"/>
    <w:rsid w:val="0085304F"/>
    <w:rsid w:val="008533CE"/>
    <w:rsid w:val="008540F5"/>
    <w:rsid w:val="00854346"/>
    <w:rsid w:val="00855739"/>
    <w:rsid w:val="00857031"/>
    <w:rsid w:val="00860672"/>
    <w:rsid w:val="00861669"/>
    <w:rsid w:val="008621CC"/>
    <w:rsid w:val="008640E8"/>
    <w:rsid w:val="008646B2"/>
    <w:rsid w:val="00867FE4"/>
    <w:rsid w:val="00873001"/>
    <w:rsid w:val="008732D5"/>
    <w:rsid w:val="00876C83"/>
    <w:rsid w:val="00877937"/>
    <w:rsid w:val="008824DF"/>
    <w:rsid w:val="00883826"/>
    <w:rsid w:val="00886062"/>
    <w:rsid w:val="0088693A"/>
    <w:rsid w:val="00887119"/>
    <w:rsid w:val="00891576"/>
    <w:rsid w:val="008915E2"/>
    <w:rsid w:val="00891BB3"/>
    <w:rsid w:val="008936FC"/>
    <w:rsid w:val="0089534F"/>
    <w:rsid w:val="008A14AF"/>
    <w:rsid w:val="008A6015"/>
    <w:rsid w:val="008B16A7"/>
    <w:rsid w:val="008B231E"/>
    <w:rsid w:val="008B3398"/>
    <w:rsid w:val="008B5AC5"/>
    <w:rsid w:val="008B5C44"/>
    <w:rsid w:val="008B7235"/>
    <w:rsid w:val="008C08BA"/>
    <w:rsid w:val="008C3F3F"/>
    <w:rsid w:val="008C4F4F"/>
    <w:rsid w:val="008C77D8"/>
    <w:rsid w:val="008D41B1"/>
    <w:rsid w:val="008D4757"/>
    <w:rsid w:val="008D620C"/>
    <w:rsid w:val="008D6292"/>
    <w:rsid w:val="008E0E1B"/>
    <w:rsid w:val="008E17F3"/>
    <w:rsid w:val="008E2ABA"/>
    <w:rsid w:val="008E39EF"/>
    <w:rsid w:val="008E4D1F"/>
    <w:rsid w:val="008E5FC0"/>
    <w:rsid w:val="008E6932"/>
    <w:rsid w:val="008E7289"/>
    <w:rsid w:val="008F04C1"/>
    <w:rsid w:val="008F10C8"/>
    <w:rsid w:val="008F126D"/>
    <w:rsid w:val="008F176C"/>
    <w:rsid w:val="008F2537"/>
    <w:rsid w:val="008F2B0A"/>
    <w:rsid w:val="008F368F"/>
    <w:rsid w:val="008F38A8"/>
    <w:rsid w:val="008F44A6"/>
    <w:rsid w:val="008F5A3F"/>
    <w:rsid w:val="008F6341"/>
    <w:rsid w:val="008F6DC1"/>
    <w:rsid w:val="00901550"/>
    <w:rsid w:val="00901E61"/>
    <w:rsid w:val="00902D29"/>
    <w:rsid w:val="00902D9F"/>
    <w:rsid w:val="00903B30"/>
    <w:rsid w:val="0090434C"/>
    <w:rsid w:val="0090484A"/>
    <w:rsid w:val="009051A4"/>
    <w:rsid w:val="00906BC5"/>
    <w:rsid w:val="009121CA"/>
    <w:rsid w:val="009135DD"/>
    <w:rsid w:val="009138B4"/>
    <w:rsid w:val="009139A7"/>
    <w:rsid w:val="0091405E"/>
    <w:rsid w:val="00915AC4"/>
    <w:rsid w:val="00921733"/>
    <w:rsid w:val="009229E3"/>
    <w:rsid w:val="00923A11"/>
    <w:rsid w:val="00924629"/>
    <w:rsid w:val="00925103"/>
    <w:rsid w:val="00925CBC"/>
    <w:rsid w:val="009264F0"/>
    <w:rsid w:val="009272BA"/>
    <w:rsid w:val="00930D72"/>
    <w:rsid w:val="00931280"/>
    <w:rsid w:val="009317A1"/>
    <w:rsid w:val="00933BA4"/>
    <w:rsid w:val="00937EBD"/>
    <w:rsid w:val="00940452"/>
    <w:rsid w:val="00941F43"/>
    <w:rsid w:val="00942389"/>
    <w:rsid w:val="00942ECC"/>
    <w:rsid w:val="0094313B"/>
    <w:rsid w:val="009442D1"/>
    <w:rsid w:val="0094467B"/>
    <w:rsid w:val="009451C0"/>
    <w:rsid w:val="00946143"/>
    <w:rsid w:val="0095031B"/>
    <w:rsid w:val="00950577"/>
    <w:rsid w:val="00950F85"/>
    <w:rsid w:val="00953428"/>
    <w:rsid w:val="0095346A"/>
    <w:rsid w:val="00954AB7"/>
    <w:rsid w:val="00954C46"/>
    <w:rsid w:val="00955E89"/>
    <w:rsid w:val="00957B4B"/>
    <w:rsid w:val="00960EC8"/>
    <w:rsid w:val="009617E9"/>
    <w:rsid w:val="00962329"/>
    <w:rsid w:val="00962B4F"/>
    <w:rsid w:val="00963BB1"/>
    <w:rsid w:val="009665FC"/>
    <w:rsid w:val="00966BA4"/>
    <w:rsid w:val="00967E0D"/>
    <w:rsid w:val="009714EB"/>
    <w:rsid w:val="00977131"/>
    <w:rsid w:val="009808BD"/>
    <w:rsid w:val="00981943"/>
    <w:rsid w:val="00985ABA"/>
    <w:rsid w:val="009902CB"/>
    <w:rsid w:val="0099067A"/>
    <w:rsid w:val="009935CA"/>
    <w:rsid w:val="0099416B"/>
    <w:rsid w:val="00995547"/>
    <w:rsid w:val="00995BF3"/>
    <w:rsid w:val="00996A7A"/>
    <w:rsid w:val="009A272B"/>
    <w:rsid w:val="009A4CA0"/>
    <w:rsid w:val="009B021A"/>
    <w:rsid w:val="009B09AC"/>
    <w:rsid w:val="009B1BEB"/>
    <w:rsid w:val="009B2B13"/>
    <w:rsid w:val="009B2D63"/>
    <w:rsid w:val="009B4FCE"/>
    <w:rsid w:val="009B576A"/>
    <w:rsid w:val="009B5B5F"/>
    <w:rsid w:val="009B7534"/>
    <w:rsid w:val="009C058C"/>
    <w:rsid w:val="009C1BF2"/>
    <w:rsid w:val="009C1D99"/>
    <w:rsid w:val="009C375E"/>
    <w:rsid w:val="009C666A"/>
    <w:rsid w:val="009D0F28"/>
    <w:rsid w:val="009D33BF"/>
    <w:rsid w:val="009D6A6C"/>
    <w:rsid w:val="009E0DE6"/>
    <w:rsid w:val="009E3BE9"/>
    <w:rsid w:val="009E6A0D"/>
    <w:rsid w:val="009F222A"/>
    <w:rsid w:val="009F2404"/>
    <w:rsid w:val="009F6977"/>
    <w:rsid w:val="00A01D65"/>
    <w:rsid w:val="00A058E0"/>
    <w:rsid w:val="00A101A3"/>
    <w:rsid w:val="00A1061D"/>
    <w:rsid w:val="00A12044"/>
    <w:rsid w:val="00A12412"/>
    <w:rsid w:val="00A166F8"/>
    <w:rsid w:val="00A205C4"/>
    <w:rsid w:val="00A20C27"/>
    <w:rsid w:val="00A21D85"/>
    <w:rsid w:val="00A226D1"/>
    <w:rsid w:val="00A22C98"/>
    <w:rsid w:val="00A22F1A"/>
    <w:rsid w:val="00A2541C"/>
    <w:rsid w:val="00A26E06"/>
    <w:rsid w:val="00A27444"/>
    <w:rsid w:val="00A27D7A"/>
    <w:rsid w:val="00A302D4"/>
    <w:rsid w:val="00A352E2"/>
    <w:rsid w:val="00A35C9C"/>
    <w:rsid w:val="00A37295"/>
    <w:rsid w:val="00A42F9F"/>
    <w:rsid w:val="00A43CF2"/>
    <w:rsid w:val="00A47B1E"/>
    <w:rsid w:val="00A50561"/>
    <w:rsid w:val="00A50F55"/>
    <w:rsid w:val="00A51559"/>
    <w:rsid w:val="00A52FDD"/>
    <w:rsid w:val="00A57BAE"/>
    <w:rsid w:val="00A617F3"/>
    <w:rsid w:val="00A62357"/>
    <w:rsid w:val="00A6529C"/>
    <w:rsid w:val="00A669BB"/>
    <w:rsid w:val="00A6743D"/>
    <w:rsid w:val="00A67C70"/>
    <w:rsid w:val="00A702F3"/>
    <w:rsid w:val="00A714E8"/>
    <w:rsid w:val="00A720F6"/>
    <w:rsid w:val="00A73D9C"/>
    <w:rsid w:val="00A74BE9"/>
    <w:rsid w:val="00A7504D"/>
    <w:rsid w:val="00A75447"/>
    <w:rsid w:val="00A76107"/>
    <w:rsid w:val="00A800F5"/>
    <w:rsid w:val="00A80498"/>
    <w:rsid w:val="00A85852"/>
    <w:rsid w:val="00A85BE4"/>
    <w:rsid w:val="00A8775C"/>
    <w:rsid w:val="00A87F4D"/>
    <w:rsid w:val="00A91346"/>
    <w:rsid w:val="00A914C8"/>
    <w:rsid w:val="00A9233A"/>
    <w:rsid w:val="00A93361"/>
    <w:rsid w:val="00A93815"/>
    <w:rsid w:val="00A9452C"/>
    <w:rsid w:val="00A94A8A"/>
    <w:rsid w:val="00A954F6"/>
    <w:rsid w:val="00A96A88"/>
    <w:rsid w:val="00A96CB8"/>
    <w:rsid w:val="00AA1A42"/>
    <w:rsid w:val="00AA2EB2"/>
    <w:rsid w:val="00AA3264"/>
    <w:rsid w:val="00AA3507"/>
    <w:rsid w:val="00AA3B2C"/>
    <w:rsid w:val="00AA40A9"/>
    <w:rsid w:val="00AA6FBB"/>
    <w:rsid w:val="00AA777E"/>
    <w:rsid w:val="00AB0014"/>
    <w:rsid w:val="00AB2F7B"/>
    <w:rsid w:val="00AB3187"/>
    <w:rsid w:val="00AB4DDC"/>
    <w:rsid w:val="00AB4EC2"/>
    <w:rsid w:val="00AB5901"/>
    <w:rsid w:val="00AB7BEB"/>
    <w:rsid w:val="00AC0598"/>
    <w:rsid w:val="00AC3BA4"/>
    <w:rsid w:val="00AD0179"/>
    <w:rsid w:val="00AD03DC"/>
    <w:rsid w:val="00AD33AB"/>
    <w:rsid w:val="00AE379B"/>
    <w:rsid w:val="00AE5E76"/>
    <w:rsid w:val="00AE5F80"/>
    <w:rsid w:val="00AE696F"/>
    <w:rsid w:val="00AF0764"/>
    <w:rsid w:val="00AF19EC"/>
    <w:rsid w:val="00AF5FD0"/>
    <w:rsid w:val="00AF6BEE"/>
    <w:rsid w:val="00B01D8F"/>
    <w:rsid w:val="00B03BF7"/>
    <w:rsid w:val="00B049DF"/>
    <w:rsid w:val="00B054A5"/>
    <w:rsid w:val="00B06124"/>
    <w:rsid w:val="00B13F62"/>
    <w:rsid w:val="00B14089"/>
    <w:rsid w:val="00B16F1B"/>
    <w:rsid w:val="00B20409"/>
    <w:rsid w:val="00B20B88"/>
    <w:rsid w:val="00B25CB6"/>
    <w:rsid w:val="00B2774A"/>
    <w:rsid w:val="00B30C64"/>
    <w:rsid w:val="00B32226"/>
    <w:rsid w:val="00B34240"/>
    <w:rsid w:val="00B3557C"/>
    <w:rsid w:val="00B35784"/>
    <w:rsid w:val="00B36657"/>
    <w:rsid w:val="00B36801"/>
    <w:rsid w:val="00B3726A"/>
    <w:rsid w:val="00B37E36"/>
    <w:rsid w:val="00B405D1"/>
    <w:rsid w:val="00B40D50"/>
    <w:rsid w:val="00B42EB8"/>
    <w:rsid w:val="00B43D09"/>
    <w:rsid w:val="00B43D51"/>
    <w:rsid w:val="00B442A5"/>
    <w:rsid w:val="00B469DB"/>
    <w:rsid w:val="00B47020"/>
    <w:rsid w:val="00B52416"/>
    <w:rsid w:val="00B52BF4"/>
    <w:rsid w:val="00B5465C"/>
    <w:rsid w:val="00B54BFA"/>
    <w:rsid w:val="00B54EA7"/>
    <w:rsid w:val="00B605F8"/>
    <w:rsid w:val="00B61DFD"/>
    <w:rsid w:val="00B6208F"/>
    <w:rsid w:val="00B647EE"/>
    <w:rsid w:val="00B6521C"/>
    <w:rsid w:val="00B70D92"/>
    <w:rsid w:val="00B7244F"/>
    <w:rsid w:val="00B7782F"/>
    <w:rsid w:val="00B802D0"/>
    <w:rsid w:val="00B80406"/>
    <w:rsid w:val="00B83166"/>
    <w:rsid w:val="00B8678F"/>
    <w:rsid w:val="00B86BF1"/>
    <w:rsid w:val="00B96049"/>
    <w:rsid w:val="00BA006F"/>
    <w:rsid w:val="00BA020F"/>
    <w:rsid w:val="00BA42DB"/>
    <w:rsid w:val="00BA430F"/>
    <w:rsid w:val="00BA55D9"/>
    <w:rsid w:val="00BA7FDE"/>
    <w:rsid w:val="00BB4E80"/>
    <w:rsid w:val="00BB521B"/>
    <w:rsid w:val="00BB79E5"/>
    <w:rsid w:val="00BB7E1E"/>
    <w:rsid w:val="00BC4FA4"/>
    <w:rsid w:val="00BC5DCB"/>
    <w:rsid w:val="00BC600E"/>
    <w:rsid w:val="00BC68A9"/>
    <w:rsid w:val="00BC6AAE"/>
    <w:rsid w:val="00BC6C08"/>
    <w:rsid w:val="00BC6CC2"/>
    <w:rsid w:val="00BC794A"/>
    <w:rsid w:val="00BD0F2E"/>
    <w:rsid w:val="00BD2027"/>
    <w:rsid w:val="00BD258E"/>
    <w:rsid w:val="00BD3E49"/>
    <w:rsid w:val="00BD6893"/>
    <w:rsid w:val="00BD79DE"/>
    <w:rsid w:val="00BD7C24"/>
    <w:rsid w:val="00BE1038"/>
    <w:rsid w:val="00BE424F"/>
    <w:rsid w:val="00BE68BE"/>
    <w:rsid w:val="00BE76EC"/>
    <w:rsid w:val="00BF15A3"/>
    <w:rsid w:val="00BF21AE"/>
    <w:rsid w:val="00BF29F8"/>
    <w:rsid w:val="00BF40ED"/>
    <w:rsid w:val="00BF650D"/>
    <w:rsid w:val="00BF6B7C"/>
    <w:rsid w:val="00BF7281"/>
    <w:rsid w:val="00C011DD"/>
    <w:rsid w:val="00C0280A"/>
    <w:rsid w:val="00C02B6D"/>
    <w:rsid w:val="00C041E4"/>
    <w:rsid w:val="00C049EE"/>
    <w:rsid w:val="00C04C5A"/>
    <w:rsid w:val="00C112AC"/>
    <w:rsid w:val="00C11376"/>
    <w:rsid w:val="00C11694"/>
    <w:rsid w:val="00C12BB8"/>
    <w:rsid w:val="00C13380"/>
    <w:rsid w:val="00C13427"/>
    <w:rsid w:val="00C179B1"/>
    <w:rsid w:val="00C17AE0"/>
    <w:rsid w:val="00C21110"/>
    <w:rsid w:val="00C222FF"/>
    <w:rsid w:val="00C2300D"/>
    <w:rsid w:val="00C25EF6"/>
    <w:rsid w:val="00C26CCF"/>
    <w:rsid w:val="00C2714E"/>
    <w:rsid w:val="00C27655"/>
    <w:rsid w:val="00C343FC"/>
    <w:rsid w:val="00C35848"/>
    <w:rsid w:val="00C36493"/>
    <w:rsid w:val="00C402F0"/>
    <w:rsid w:val="00C43EA6"/>
    <w:rsid w:val="00C46118"/>
    <w:rsid w:val="00C477AF"/>
    <w:rsid w:val="00C478C4"/>
    <w:rsid w:val="00C50631"/>
    <w:rsid w:val="00C55805"/>
    <w:rsid w:val="00C604F7"/>
    <w:rsid w:val="00C61B67"/>
    <w:rsid w:val="00C659F2"/>
    <w:rsid w:val="00C666A6"/>
    <w:rsid w:val="00C666AF"/>
    <w:rsid w:val="00C675B9"/>
    <w:rsid w:val="00C70C17"/>
    <w:rsid w:val="00C72EAB"/>
    <w:rsid w:val="00C74504"/>
    <w:rsid w:val="00C76E57"/>
    <w:rsid w:val="00C80A40"/>
    <w:rsid w:val="00C84611"/>
    <w:rsid w:val="00C852BA"/>
    <w:rsid w:val="00C853F4"/>
    <w:rsid w:val="00C860FC"/>
    <w:rsid w:val="00C8667F"/>
    <w:rsid w:val="00C86793"/>
    <w:rsid w:val="00C90B2E"/>
    <w:rsid w:val="00C91226"/>
    <w:rsid w:val="00C934AB"/>
    <w:rsid w:val="00C94FC6"/>
    <w:rsid w:val="00C957D2"/>
    <w:rsid w:val="00C977C7"/>
    <w:rsid w:val="00CA11E5"/>
    <w:rsid w:val="00CA7C11"/>
    <w:rsid w:val="00CB27C4"/>
    <w:rsid w:val="00CB2DB7"/>
    <w:rsid w:val="00CB527E"/>
    <w:rsid w:val="00CB619B"/>
    <w:rsid w:val="00CB693C"/>
    <w:rsid w:val="00CB76F6"/>
    <w:rsid w:val="00CC0C9B"/>
    <w:rsid w:val="00CC26A2"/>
    <w:rsid w:val="00CC2B26"/>
    <w:rsid w:val="00CC3E98"/>
    <w:rsid w:val="00CC454B"/>
    <w:rsid w:val="00CC5D52"/>
    <w:rsid w:val="00CD105D"/>
    <w:rsid w:val="00CD2236"/>
    <w:rsid w:val="00CD37FE"/>
    <w:rsid w:val="00CD3F86"/>
    <w:rsid w:val="00CD58B0"/>
    <w:rsid w:val="00CD642F"/>
    <w:rsid w:val="00CD65DB"/>
    <w:rsid w:val="00CD68B0"/>
    <w:rsid w:val="00CD6FA6"/>
    <w:rsid w:val="00CE2215"/>
    <w:rsid w:val="00CF413F"/>
    <w:rsid w:val="00CF6824"/>
    <w:rsid w:val="00CF721A"/>
    <w:rsid w:val="00CF7478"/>
    <w:rsid w:val="00CF75FC"/>
    <w:rsid w:val="00D01D44"/>
    <w:rsid w:val="00D028FF"/>
    <w:rsid w:val="00D034E0"/>
    <w:rsid w:val="00D044A3"/>
    <w:rsid w:val="00D054E1"/>
    <w:rsid w:val="00D07CCD"/>
    <w:rsid w:val="00D10000"/>
    <w:rsid w:val="00D10260"/>
    <w:rsid w:val="00D11940"/>
    <w:rsid w:val="00D12E5A"/>
    <w:rsid w:val="00D13FA9"/>
    <w:rsid w:val="00D157CB"/>
    <w:rsid w:val="00D15E3A"/>
    <w:rsid w:val="00D169D5"/>
    <w:rsid w:val="00D22319"/>
    <w:rsid w:val="00D2242B"/>
    <w:rsid w:val="00D23664"/>
    <w:rsid w:val="00D27AE5"/>
    <w:rsid w:val="00D315D5"/>
    <w:rsid w:val="00D34D34"/>
    <w:rsid w:val="00D354E8"/>
    <w:rsid w:val="00D37C28"/>
    <w:rsid w:val="00D40154"/>
    <w:rsid w:val="00D4022E"/>
    <w:rsid w:val="00D40638"/>
    <w:rsid w:val="00D42BEB"/>
    <w:rsid w:val="00D42D85"/>
    <w:rsid w:val="00D460D6"/>
    <w:rsid w:val="00D5470C"/>
    <w:rsid w:val="00D552E8"/>
    <w:rsid w:val="00D575C6"/>
    <w:rsid w:val="00D57E97"/>
    <w:rsid w:val="00D601D2"/>
    <w:rsid w:val="00D611F4"/>
    <w:rsid w:val="00D64985"/>
    <w:rsid w:val="00D65580"/>
    <w:rsid w:val="00D655D7"/>
    <w:rsid w:val="00D67F72"/>
    <w:rsid w:val="00D72A48"/>
    <w:rsid w:val="00D73D9E"/>
    <w:rsid w:val="00D74857"/>
    <w:rsid w:val="00D76D82"/>
    <w:rsid w:val="00D80155"/>
    <w:rsid w:val="00D8025E"/>
    <w:rsid w:val="00D8242F"/>
    <w:rsid w:val="00D82FE9"/>
    <w:rsid w:val="00D85E41"/>
    <w:rsid w:val="00D869CA"/>
    <w:rsid w:val="00D901D7"/>
    <w:rsid w:val="00D90695"/>
    <w:rsid w:val="00D92420"/>
    <w:rsid w:val="00D949BE"/>
    <w:rsid w:val="00DA060F"/>
    <w:rsid w:val="00DA4941"/>
    <w:rsid w:val="00DA7C69"/>
    <w:rsid w:val="00DB130A"/>
    <w:rsid w:val="00DB3A78"/>
    <w:rsid w:val="00DB4A96"/>
    <w:rsid w:val="00DB6A9D"/>
    <w:rsid w:val="00DC1A9C"/>
    <w:rsid w:val="00DC201A"/>
    <w:rsid w:val="00DC2EF6"/>
    <w:rsid w:val="00DC48FA"/>
    <w:rsid w:val="00DC4FB1"/>
    <w:rsid w:val="00DC7B2C"/>
    <w:rsid w:val="00DD0209"/>
    <w:rsid w:val="00DD1A74"/>
    <w:rsid w:val="00DD5130"/>
    <w:rsid w:val="00DD5B85"/>
    <w:rsid w:val="00DD7E29"/>
    <w:rsid w:val="00DE02F9"/>
    <w:rsid w:val="00DE05BE"/>
    <w:rsid w:val="00DE077C"/>
    <w:rsid w:val="00DE16FC"/>
    <w:rsid w:val="00DE2D2A"/>
    <w:rsid w:val="00DE2D7A"/>
    <w:rsid w:val="00DE4541"/>
    <w:rsid w:val="00DE56CD"/>
    <w:rsid w:val="00DF0B6E"/>
    <w:rsid w:val="00DF37ED"/>
    <w:rsid w:val="00DF39FC"/>
    <w:rsid w:val="00DF3F09"/>
    <w:rsid w:val="00DF42CB"/>
    <w:rsid w:val="00DF60A5"/>
    <w:rsid w:val="00DF75B0"/>
    <w:rsid w:val="00DF7BA2"/>
    <w:rsid w:val="00DF7CBB"/>
    <w:rsid w:val="00E008A1"/>
    <w:rsid w:val="00E031D4"/>
    <w:rsid w:val="00E03260"/>
    <w:rsid w:val="00E03A3E"/>
    <w:rsid w:val="00E0508B"/>
    <w:rsid w:val="00E066ED"/>
    <w:rsid w:val="00E07624"/>
    <w:rsid w:val="00E10D1A"/>
    <w:rsid w:val="00E17A11"/>
    <w:rsid w:val="00E20625"/>
    <w:rsid w:val="00E20EA7"/>
    <w:rsid w:val="00E21FFE"/>
    <w:rsid w:val="00E23C6B"/>
    <w:rsid w:val="00E24497"/>
    <w:rsid w:val="00E25634"/>
    <w:rsid w:val="00E328F6"/>
    <w:rsid w:val="00E3456E"/>
    <w:rsid w:val="00E34DDB"/>
    <w:rsid w:val="00E4111D"/>
    <w:rsid w:val="00E41EA8"/>
    <w:rsid w:val="00E425DC"/>
    <w:rsid w:val="00E43272"/>
    <w:rsid w:val="00E46829"/>
    <w:rsid w:val="00E50FC1"/>
    <w:rsid w:val="00E51848"/>
    <w:rsid w:val="00E559E6"/>
    <w:rsid w:val="00E56B71"/>
    <w:rsid w:val="00E5781C"/>
    <w:rsid w:val="00E601C8"/>
    <w:rsid w:val="00E61BE4"/>
    <w:rsid w:val="00E66A11"/>
    <w:rsid w:val="00E67149"/>
    <w:rsid w:val="00E7240E"/>
    <w:rsid w:val="00E72B5A"/>
    <w:rsid w:val="00E739DA"/>
    <w:rsid w:val="00E74A25"/>
    <w:rsid w:val="00E75C39"/>
    <w:rsid w:val="00E765FC"/>
    <w:rsid w:val="00E802CA"/>
    <w:rsid w:val="00E8170B"/>
    <w:rsid w:val="00E82417"/>
    <w:rsid w:val="00E84EC3"/>
    <w:rsid w:val="00E85F86"/>
    <w:rsid w:val="00E86FF2"/>
    <w:rsid w:val="00E872EE"/>
    <w:rsid w:val="00E920AC"/>
    <w:rsid w:val="00E93D55"/>
    <w:rsid w:val="00E9491E"/>
    <w:rsid w:val="00E94E2A"/>
    <w:rsid w:val="00E95899"/>
    <w:rsid w:val="00E95B08"/>
    <w:rsid w:val="00E9647F"/>
    <w:rsid w:val="00E96F9E"/>
    <w:rsid w:val="00E96FC3"/>
    <w:rsid w:val="00EA45E1"/>
    <w:rsid w:val="00EA6138"/>
    <w:rsid w:val="00EA69F5"/>
    <w:rsid w:val="00EA7B83"/>
    <w:rsid w:val="00EB110B"/>
    <w:rsid w:val="00EB297C"/>
    <w:rsid w:val="00EB555F"/>
    <w:rsid w:val="00EB5949"/>
    <w:rsid w:val="00EB6391"/>
    <w:rsid w:val="00EB7F5E"/>
    <w:rsid w:val="00EC02BD"/>
    <w:rsid w:val="00EC083C"/>
    <w:rsid w:val="00EC1748"/>
    <w:rsid w:val="00EC18B0"/>
    <w:rsid w:val="00EC6619"/>
    <w:rsid w:val="00ED5460"/>
    <w:rsid w:val="00ED7EDF"/>
    <w:rsid w:val="00EE1304"/>
    <w:rsid w:val="00EE2445"/>
    <w:rsid w:val="00EE2A41"/>
    <w:rsid w:val="00EE59A2"/>
    <w:rsid w:val="00EE6ACC"/>
    <w:rsid w:val="00EE7B6D"/>
    <w:rsid w:val="00EF0DFD"/>
    <w:rsid w:val="00EF442F"/>
    <w:rsid w:val="00EF7530"/>
    <w:rsid w:val="00F00A65"/>
    <w:rsid w:val="00F0279A"/>
    <w:rsid w:val="00F05B1E"/>
    <w:rsid w:val="00F06FE1"/>
    <w:rsid w:val="00F12089"/>
    <w:rsid w:val="00F127FD"/>
    <w:rsid w:val="00F12CD2"/>
    <w:rsid w:val="00F13B02"/>
    <w:rsid w:val="00F16ED0"/>
    <w:rsid w:val="00F17D90"/>
    <w:rsid w:val="00F20B47"/>
    <w:rsid w:val="00F21274"/>
    <w:rsid w:val="00F21AA0"/>
    <w:rsid w:val="00F22E78"/>
    <w:rsid w:val="00F23D78"/>
    <w:rsid w:val="00F243DE"/>
    <w:rsid w:val="00F2453E"/>
    <w:rsid w:val="00F25490"/>
    <w:rsid w:val="00F2622F"/>
    <w:rsid w:val="00F26335"/>
    <w:rsid w:val="00F33138"/>
    <w:rsid w:val="00F335F6"/>
    <w:rsid w:val="00F33C2C"/>
    <w:rsid w:val="00F341F6"/>
    <w:rsid w:val="00F357C4"/>
    <w:rsid w:val="00F36C7B"/>
    <w:rsid w:val="00F371F1"/>
    <w:rsid w:val="00F409EE"/>
    <w:rsid w:val="00F41D7E"/>
    <w:rsid w:val="00F43DC3"/>
    <w:rsid w:val="00F44B92"/>
    <w:rsid w:val="00F477BD"/>
    <w:rsid w:val="00F478A1"/>
    <w:rsid w:val="00F51768"/>
    <w:rsid w:val="00F517F4"/>
    <w:rsid w:val="00F567D5"/>
    <w:rsid w:val="00F6159F"/>
    <w:rsid w:val="00F615FB"/>
    <w:rsid w:val="00F61DA3"/>
    <w:rsid w:val="00F621F1"/>
    <w:rsid w:val="00F62A43"/>
    <w:rsid w:val="00F63AB0"/>
    <w:rsid w:val="00F66538"/>
    <w:rsid w:val="00F678B3"/>
    <w:rsid w:val="00F67F00"/>
    <w:rsid w:val="00F7058F"/>
    <w:rsid w:val="00F7614F"/>
    <w:rsid w:val="00F77D23"/>
    <w:rsid w:val="00F82606"/>
    <w:rsid w:val="00F828EE"/>
    <w:rsid w:val="00F82BE2"/>
    <w:rsid w:val="00F82F99"/>
    <w:rsid w:val="00F86721"/>
    <w:rsid w:val="00F86EC0"/>
    <w:rsid w:val="00F8717C"/>
    <w:rsid w:val="00F903F0"/>
    <w:rsid w:val="00F913AB"/>
    <w:rsid w:val="00F960F0"/>
    <w:rsid w:val="00FA114D"/>
    <w:rsid w:val="00FA3AD4"/>
    <w:rsid w:val="00FA49AD"/>
    <w:rsid w:val="00FB07C5"/>
    <w:rsid w:val="00FB70C6"/>
    <w:rsid w:val="00FB7156"/>
    <w:rsid w:val="00FC1E85"/>
    <w:rsid w:val="00FC25FC"/>
    <w:rsid w:val="00FC3162"/>
    <w:rsid w:val="00FC614D"/>
    <w:rsid w:val="00FD1EE3"/>
    <w:rsid w:val="00FD3B14"/>
    <w:rsid w:val="00FD6035"/>
    <w:rsid w:val="00FD6820"/>
    <w:rsid w:val="00FD7375"/>
    <w:rsid w:val="00FE002C"/>
    <w:rsid w:val="00FE0386"/>
    <w:rsid w:val="00FE1098"/>
    <w:rsid w:val="00FE1BBC"/>
    <w:rsid w:val="00FE3A46"/>
    <w:rsid w:val="00FE3C14"/>
    <w:rsid w:val="00FE7236"/>
    <w:rsid w:val="00FE729E"/>
    <w:rsid w:val="00FE77ED"/>
    <w:rsid w:val="00FE7848"/>
    <w:rsid w:val="00FF170A"/>
    <w:rsid w:val="00FF607B"/>
    <w:rsid w:val="00FF68C1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0E"/>
    <w:rPr>
      <w:sz w:val="22"/>
    </w:rPr>
  </w:style>
  <w:style w:type="paragraph" w:styleId="Heading1">
    <w:name w:val="heading 1"/>
    <w:basedOn w:val="Normal"/>
    <w:next w:val="Normal"/>
    <w:qFormat/>
    <w:rsid w:val="00004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04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04A13"/>
    <w:pPr>
      <w:keepNext/>
      <w:jc w:val="center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rsid w:val="00004A13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004A13"/>
    <w:pPr>
      <w:keepNext/>
      <w:autoSpaceDE w:val="0"/>
      <w:autoSpaceDN w:val="0"/>
      <w:adjustRightInd w:val="0"/>
      <w:jc w:val="right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004A13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004A13"/>
    <w:pPr>
      <w:keepNext/>
      <w:outlineLvl w:val="6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4A13"/>
    <w:pPr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rsid w:val="00004A13"/>
    <w:pPr>
      <w:widowControl w:val="0"/>
    </w:pPr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uiPriority w:val="39"/>
    <w:rsid w:val="00004A13"/>
    <w:rPr>
      <w:rFonts w:cs="Arial"/>
    </w:rPr>
  </w:style>
  <w:style w:type="paragraph" w:styleId="TOC2">
    <w:name w:val="toc 2"/>
    <w:basedOn w:val="Normal"/>
    <w:next w:val="Normal"/>
    <w:autoRedefine/>
    <w:uiPriority w:val="39"/>
    <w:rsid w:val="00AA3507"/>
    <w:pPr>
      <w:tabs>
        <w:tab w:val="right" w:leader="dot" w:pos="9403"/>
      </w:tabs>
      <w:bidi/>
      <w:ind w:left="220"/>
    </w:pPr>
    <w:rPr>
      <w:rFonts w:ascii="Simplified Arabic" w:hAnsi="Simplified Arabic" w:cs="Simplified Arabic"/>
      <w:b/>
      <w:bCs/>
      <w:smallCap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AA3507"/>
    <w:pPr>
      <w:tabs>
        <w:tab w:val="right" w:leader="dot" w:pos="9403"/>
      </w:tabs>
      <w:bidi/>
      <w:ind w:left="440"/>
    </w:pPr>
    <w:rPr>
      <w:rFonts w:ascii="Simplified Arabic" w:hAnsi="Simplified Arabic" w:cs="Simplified Arabic"/>
      <w:b/>
      <w:bCs/>
      <w:noProof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004A13"/>
    <w:pPr>
      <w:ind w:left="660"/>
    </w:pPr>
  </w:style>
  <w:style w:type="paragraph" w:styleId="TOC5">
    <w:name w:val="toc 5"/>
    <w:basedOn w:val="Normal"/>
    <w:next w:val="Normal"/>
    <w:autoRedefine/>
    <w:semiHidden/>
    <w:rsid w:val="00004A13"/>
    <w:pPr>
      <w:ind w:left="880"/>
    </w:pPr>
  </w:style>
  <w:style w:type="paragraph" w:styleId="TOC6">
    <w:name w:val="toc 6"/>
    <w:basedOn w:val="Normal"/>
    <w:next w:val="Normal"/>
    <w:autoRedefine/>
    <w:semiHidden/>
    <w:rsid w:val="00004A13"/>
    <w:pPr>
      <w:ind w:left="1100"/>
    </w:pPr>
  </w:style>
  <w:style w:type="paragraph" w:styleId="TOC7">
    <w:name w:val="toc 7"/>
    <w:basedOn w:val="Normal"/>
    <w:next w:val="Normal"/>
    <w:autoRedefine/>
    <w:semiHidden/>
    <w:rsid w:val="00004A13"/>
    <w:pPr>
      <w:ind w:left="1320"/>
    </w:pPr>
  </w:style>
  <w:style w:type="paragraph" w:styleId="TOC8">
    <w:name w:val="toc 8"/>
    <w:basedOn w:val="Normal"/>
    <w:next w:val="Normal"/>
    <w:autoRedefine/>
    <w:semiHidden/>
    <w:rsid w:val="00004A13"/>
    <w:pPr>
      <w:ind w:left="1540"/>
    </w:pPr>
  </w:style>
  <w:style w:type="paragraph" w:styleId="TOC9">
    <w:name w:val="toc 9"/>
    <w:basedOn w:val="Normal"/>
    <w:next w:val="Normal"/>
    <w:autoRedefine/>
    <w:semiHidden/>
    <w:rsid w:val="00004A13"/>
    <w:pPr>
      <w:ind w:left="1760"/>
    </w:pPr>
  </w:style>
  <w:style w:type="character" w:styleId="Hyperlink">
    <w:name w:val="Hyperlink"/>
    <w:basedOn w:val="DefaultParagraphFont"/>
    <w:uiPriority w:val="99"/>
    <w:rsid w:val="00004A13"/>
    <w:rPr>
      <w:color w:val="0000FF"/>
      <w:u w:val="single"/>
    </w:rPr>
  </w:style>
  <w:style w:type="paragraph" w:styleId="Caption">
    <w:name w:val="caption"/>
    <w:basedOn w:val="Normal"/>
    <w:next w:val="Normal"/>
    <w:autoRedefine/>
    <w:uiPriority w:val="99"/>
    <w:qFormat/>
    <w:rsid w:val="000720E3"/>
    <w:pPr>
      <w:jc w:val="center"/>
    </w:pPr>
    <w:rPr>
      <w:b/>
      <w:smallCaps/>
      <w:sz w:val="40"/>
      <w:szCs w:val="40"/>
      <w:lang w:val="en-GB"/>
    </w:rPr>
  </w:style>
  <w:style w:type="paragraph" w:styleId="TableofFigures">
    <w:name w:val="table of figures"/>
    <w:basedOn w:val="Normal"/>
    <w:next w:val="Normal"/>
    <w:semiHidden/>
    <w:rsid w:val="00004A13"/>
    <w:pPr>
      <w:ind w:left="440" w:hanging="440"/>
    </w:pPr>
  </w:style>
  <w:style w:type="paragraph" w:styleId="Footer">
    <w:name w:val="footer"/>
    <w:basedOn w:val="Normal"/>
    <w:link w:val="FooterChar"/>
    <w:uiPriority w:val="99"/>
    <w:rsid w:val="00004A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A13"/>
  </w:style>
  <w:style w:type="paragraph" w:customStyle="1" w:styleId="xl25">
    <w:name w:val="xl25"/>
    <w:basedOn w:val="Normal"/>
    <w:rsid w:val="00004A13"/>
    <w:pPr>
      <w:spacing w:before="100" w:beforeAutospacing="1" w:after="100" w:afterAutospacing="1"/>
      <w:jc w:val="right"/>
      <w:textAlignment w:val="top"/>
    </w:pPr>
    <w:rPr>
      <w:szCs w:val="22"/>
    </w:rPr>
  </w:style>
  <w:style w:type="paragraph" w:customStyle="1" w:styleId="xl26">
    <w:name w:val="xl26"/>
    <w:basedOn w:val="Normal"/>
    <w:rsid w:val="00004A13"/>
    <w:pPr>
      <w:spacing w:before="100" w:beforeAutospacing="1" w:after="100" w:afterAutospacing="1"/>
      <w:textAlignment w:val="top"/>
    </w:pPr>
    <w:rPr>
      <w:szCs w:val="22"/>
    </w:rPr>
  </w:style>
  <w:style w:type="paragraph" w:customStyle="1" w:styleId="xl27">
    <w:name w:val="xl27"/>
    <w:basedOn w:val="Normal"/>
    <w:rsid w:val="00004A13"/>
    <w:pPr>
      <w:spacing w:before="100" w:beforeAutospacing="1" w:after="100" w:afterAutospacing="1"/>
      <w:jc w:val="right"/>
    </w:pPr>
    <w:rPr>
      <w:szCs w:val="22"/>
    </w:rPr>
  </w:style>
  <w:style w:type="paragraph" w:customStyle="1" w:styleId="xl28">
    <w:name w:val="xl28"/>
    <w:basedOn w:val="Normal"/>
    <w:rsid w:val="00004A13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"/>
    <w:rsid w:val="00004A13"/>
    <w:pPr>
      <w:pBdr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rsid w:val="00004A13"/>
    <w:pPr>
      <w:autoSpaceDE w:val="0"/>
      <w:autoSpaceDN w:val="0"/>
      <w:adjustRightInd w:val="0"/>
      <w:jc w:val="center"/>
    </w:pPr>
    <w:rPr>
      <w:rFonts w:ascii="Arial" w:hAnsi="Arial" w:cs="Arial"/>
      <w:sz w:val="20"/>
    </w:rPr>
  </w:style>
  <w:style w:type="paragraph" w:styleId="PlainText">
    <w:name w:val="Plain Text"/>
    <w:basedOn w:val="Normal"/>
    <w:rsid w:val="00004A13"/>
    <w:rPr>
      <w:rFonts w:ascii="Courier New" w:hAnsi="Courier New"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004A1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004A13"/>
    <w:rPr>
      <w:color w:val="800080"/>
      <w:u w:val="single"/>
    </w:rPr>
  </w:style>
  <w:style w:type="character" w:customStyle="1" w:styleId="2H">
    <w:name w:val="2H"/>
    <w:rsid w:val="004E5165"/>
    <w:rPr>
      <w:b/>
      <w:sz w:val="24"/>
    </w:rPr>
  </w:style>
  <w:style w:type="paragraph" w:styleId="FootnoteText">
    <w:name w:val="footnote text"/>
    <w:basedOn w:val="Normal"/>
    <w:link w:val="FootnoteTextChar"/>
    <w:rsid w:val="00F960F0"/>
    <w:pPr>
      <w:widowControl w:val="0"/>
    </w:pPr>
    <w:rPr>
      <w:sz w:val="20"/>
    </w:rPr>
  </w:style>
  <w:style w:type="character" w:customStyle="1" w:styleId="1H">
    <w:name w:val="1H"/>
    <w:rsid w:val="00DC4FB1"/>
    <w:rPr>
      <w:b/>
      <w:sz w:val="28"/>
    </w:rPr>
  </w:style>
  <w:style w:type="paragraph" w:styleId="BalloonText">
    <w:name w:val="Balloon Text"/>
    <w:basedOn w:val="Normal"/>
    <w:semiHidden/>
    <w:rsid w:val="006203AD"/>
    <w:rPr>
      <w:rFonts w:ascii="Tahoma" w:hAnsi="Tahoma" w:cs="Tahoma"/>
      <w:sz w:val="16"/>
      <w:szCs w:val="16"/>
    </w:rPr>
  </w:style>
  <w:style w:type="paragraph" w:customStyle="1" w:styleId="TL">
    <w:name w:val="TL"/>
    <w:rsid w:val="00276C8D"/>
    <w:pPr>
      <w:widowControl w:val="0"/>
      <w:tabs>
        <w:tab w:val="left" w:pos="-1440"/>
        <w:tab w:val="left" w:pos="-720"/>
        <w:tab w:val="left" w:pos="0"/>
        <w:tab w:val="left" w:pos="199"/>
        <w:tab w:val="left" w:pos="399"/>
        <w:tab w:val="left" w:pos="600"/>
        <w:tab w:val="left" w:pos="720"/>
        <w:tab w:val="left" w:pos="799"/>
        <w:tab w:val="left" w:pos="999"/>
        <w:tab w:val="left" w:pos="1200"/>
        <w:tab w:val="left" w:pos="1399"/>
        <w:tab w:val="left" w:pos="1440"/>
        <w:tab w:val="left" w:pos="1599"/>
        <w:tab w:val="left" w:pos="1800"/>
        <w:tab w:val="left" w:pos="1999"/>
        <w:tab w:val="left" w:pos="2160"/>
        <w:tab w:val="left" w:pos="2199"/>
        <w:tab w:val="left" w:pos="2400"/>
        <w:tab w:val="left" w:pos="2880"/>
      </w:tabs>
    </w:pPr>
    <w:rPr>
      <w:sz w:val="24"/>
    </w:rPr>
  </w:style>
  <w:style w:type="character" w:customStyle="1" w:styleId="BT">
    <w:name w:val="BT"/>
    <w:rsid w:val="00276C8D"/>
    <w:rPr>
      <w:rFonts w:ascii="Univers" w:hAnsi="Univers"/>
      <w:sz w:val="21"/>
    </w:rPr>
  </w:style>
  <w:style w:type="table" w:styleId="TableGrid">
    <w:name w:val="Table Grid"/>
    <w:basedOn w:val="TableNormal"/>
    <w:uiPriority w:val="59"/>
    <w:rsid w:val="001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E5A95"/>
    <w:rPr>
      <w:sz w:val="16"/>
      <w:szCs w:val="16"/>
    </w:rPr>
  </w:style>
  <w:style w:type="paragraph" w:styleId="CommentText">
    <w:name w:val="annotation text"/>
    <w:basedOn w:val="Normal"/>
    <w:semiHidden/>
    <w:rsid w:val="003E5A95"/>
    <w:rPr>
      <w:sz w:val="20"/>
    </w:rPr>
  </w:style>
  <w:style w:type="paragraph" w:styleId="CommentSubject">
    <w:name w:val="annotation subject"/>
    <w:basedOn w:val="CommentText"/>
    <w:next w:val="CommentText"/>
    <w:semiHidden/>
    <w:rsid w:val="003E5A95"/>
    <w:rPr>
      <w:b/>
      <w:bCs/>
    </w:rPr>
  </w:style>
  <w:style w:type="paragraph" w:styleId="BodyTextIndent2">
    <w:name w:val="Body Text Indent 2"/>
    <w:basedOn w:val="Normal"/>
    <w:rsid w:val="00891BB3"/>
    <w:pPr>
      <w:spacing w:after="120" w:line="480" w:lineRule="auto"/>
      <w:ind w:left="360"/>
    </w:pPr>
  </w:style>
  <w:style w:type="character" w:styleId="FootnoteReference">
    <w:name w:val="footnote reference"/>
    <w:basedOn w:val="DefaultParagraphFont"/>
    <w:semiHidden/>
    <w:rsid w:val="004F356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7614F"/>
    <w:rPr>
      <w:sz w:val="22"/>
    </w:rPr>
  </w:style>
  <w:style w:type="paragraph" w:customStyle="1" w:styleId="DecimalAligned">
    <w:name w:val="Decimal Aligned"/>
    <w:basedOn w:val="Normal"/>
    <w:uiPriority w:val="40"/>
    <w:qFormat/>
    <w:rsid w:val="00C90B2E"/>
    <w:pPr>
      <w:tabs>
        <w:tab w:val="decimal" w:pos="360"/>
      </w:tabs>
      <w:spacing w:after="200" w:line="276" w:lineRule="auto"/>
    </w:pPr>
    <w:rPr>
      <w:rFonts w:ascii="Calibri" w:hAnsi="Calibri" w:cs="Arial"/>
      <w:szCs w:val="22"/>
    </w:rPr>
  </w:style>
  <w:style w:type="character" w:customStyle="1" w:styleId="FootnoteTextChar">
    <w:name w:val="Footnote Text Char"/>
    <w:basedOn w:val="DefaultParagraphFont"/>
    <w:link w:val="FootnoteText"/>
    <w:rsid w:val="00C90B2E"/>
  </w:style>
  <w:style w:type="character" w:styleId="SubtleEmphasis">
    <w:name w:val="Subtle Emphasis"/>
    <w:basedOn w:val="DefaultParagraphFont"/>
    <w:uiPriority w:val="19"/>
    <w:qFormat/>
    <w:rsid w:val="00C90B2E"/>
    <w:rPr>
      <w:rFonts w:eastAsia="Times New Roman" w:cs="Arial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C90B2E"/>
    <w:rPr>
      <w:rFonts w:ascii="Calibri" w:hAnsi="Calibri" w:cs="Arial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3Deffects2">
    <w:name w:val="Table 3D effects 2"/>
    <w:basedOn w:val="TableNormal"/>
    <w:rsid w:val="00C90B2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90B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90B2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90B2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90B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63146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31461"/>
    <w:rPr>
      <w:rFonts w:ascii="Calibri" w:eastAsia="Times New Roman" w:hAnsi="Calibri" w:cs="Arial"/>
      <w:sz w:val="22"/>
      <w:szCs w:val="22"/>
      <w:lang w:val="en-US" w:eastAsia="en-US" w:bidi="ar-SA"/>
    </w:rPr>
  </w:style>
  <w:style w:type="character" w:styleId="Emphasis">
    <w:name w:val="Emphasis"/>
    <w:basedOn w:val="DefaultParagraphFont"/>
    <w:qFormat/>
    <w:rsid w:val="000720E3"/>
    <w:rPr>
      <w:i/>
      <w:iCs/>
    </w:rPr>
  </w:style>
  <w:style w:type="character" w:styleId="BookTitle">
    <w:name w:val="Book Title"/>
    <w:basedOn w:val="DefaultParagraphFont"/>
    <w:uiPriority w:val="33"/>
    <w:qFormat/>
    <w:rsid w:val="007A1572"/>
    <w:rPr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7A5B2C"/>
    <w:rPr>
      <w:sz w:val="22"/>
    </w:rPr>
  </w:style>
  <w:style w:type="paragraph" w:styleId="ListParagraph">
    <w:name w:val="List Paragraph"/>
    <w:aliases w:val="Use Case List Paragraph Char,Use Case List Paragraph,Bulletted,lp1,lp11,lp1CxSpLast,YC Bulet,Primus H 3,Bullet List,FooterText,numbered,Paragraphe de liste1,Bulletr List Paragraph,列出段落,列出段落1,List Paragraph2,List Paragraph21,Listeafsnit1"/>
    <w:basedOn w:val="Normal"/>
    <w:link w:val="ListParagraphChar"/>
    <w:uiPriority w:val="34"/>
    <w:qFormat/>
    <w:rsid w:val="00DC48FA"/>
    <w:pPr>
      <w:ind w:left="720"/>
      <w:contextualSpacing/>
    </w:pPr>
    <w:rPr>
      <w:lang/>
    </w:rPr>
  </w:style>
  <w:style w:type="table" w:customStyle="1" w:styleId="GridTable6Colorful-Accent11">
    <w:name w:val="Grid Table 6 Colorful - Accent 11"/>
    <w:basedOn w:val="TableNormal"/>
    <w:uiPriority w:val="51"/>
    <w:rsid w:val="00A8775C"/>
    <w:rPr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EndnoteText">
    <w:name w:val="endnote text"/>
    <w:basedOn w:val="Normal"/>
    <w:link w:val="EndnoteTextChar"/>
    <w:semiHidden/>
    <w:unhideWhenUsed/>
    <w:rsid w:val="00F127FD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27FD"/>
  </w:style>
  <w:style w:type="character" w:styleId="EndnoteReference">
    <w:name w:val="endnote reference"/>
    <w:basedOn w:val="DefaultParagraphFont"/>
    <w:semiHidden/>
    <w:unhideWhenUsed/>
    <w:rsid w:val="00F127FD"/>
    <w:rPr>
      <w:vertAlign w:val="superscript"/>
    </w:rPr>
  </w:style>
  <w:style w:type="character" w:customStyle="1" w:styleId="T">
    <w:name w:val="T"/>
    <w:rsid w:val="00DD5130"/>
    <w:rPr>
      <w:rFonts w:ascii="Univers" w:hAnsi="Univers"/>
      <w:sz w:val="20"/>
    </w:rPr>
  </w:style>
  <w:style w:type="character" w:customStyle="1" w:styleId="ListParagraphChar">
    <w:name w:val="List Paragraph Char"/>
    <w:aliases w:val="Use Case List Paragraph Char Char,Use Case List Paragraph Char1,Bulletted Char,lp1 Char,lp11 Char,lp1CxSpLast Char,YC Bulet Char,Primus H 3 Char,Bullet List Char,FooterText Char,numbered Char,Paragraphe de liste1 Char,列出段落 Char"/>
    <w:link w:val="ListParagraph"/>
    <w:uiPriority w:val="34"/>
    <w:qFormat/>
    <w:locked/>
    <w:rsid w:val="007B784E"/>
    <w:rPr>
      <w:sz w:val="22"/>
    </w:rPr>
  </w:style>
  <w:style w:type="paragraph" w:styleId="NormalWeb">
    <w:name w:val="Normal (Web)"/>
    <w:basedOn w:val="Normal"/>
    <w:uiPriority w:val="99"/>
    <w:unhideWhenUsed/>
    <w:rsid w:val="007374A9"/>
    <w:pPr>
      <w:spacing w:before="100" w:beforeAutospacing="1" w:after="100" w:afterAutospacing="1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725C1"/>
    <w:pPr>
      <w:keepLines/>
      <w:spacing w:after="0" w:line="259" w:lineRule="auto"/>
      <w:outlineLvl w:val="9"/>
    </w:pPr>
    <w:rPr>
      <w:rFonts w:ascii="Cambria" w:hAnsi="Cambria" w:cs="Times New Roman"/>
      <w:b w:val="0"/>
      <w:bCs w:val="0"/>
      <w:color w:val="365F91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2.4403934347952742E-2"/>
          <c:y val="5.5526488111558803E-2"/>
          <c:w val="0.97559605440709363"/>
          <c:h val="0.77824785415336672"/>
        </c:manualLayout>
      </c:layout>
      <c:bubbleChart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solidFill>
              <a:srgbClr val="FF0000"/>
            </a:solidFill>
            <a:ln w="13717">
              <a:noFill/>
            </a:ln>
          </c:spPr>
          <c:dLbls>
            <c:spPr>
              <a:noFill/>
              <a:ln w="1371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56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ctr"/>
            <c:showVal val="1"/>
          </c:dLbls>
          <c:xVal>
            <c:strRef>
              <c:f>Sheet1!$A$2:$A$17</c:f>
              <c:strCache>
                <c:ptCount val="16"/>
                <c:pt idx="0">
                  <c:v>جنين</c:v>
                </c:pt>
                <c:pt idx="1">
                  <c:v>طوباس والاغوار الشمالية</c:v>
                </c:pt>
                <c:pt idx="2">
                  <c:v>طولكرم</c:v>
                </c:pt>
                <c:pt idx="3">
                  <c:v>نابلس</c:v>
                </c:pt>
                <c:pt idx="4">
                  <c:v>قلقيلية</c:v>
                </c:pt>
                <c:pt idx="5">
                  <c:v>سلفيت</c:v>
                </c:pt>
                <c:pt idx="6">
                  <c:v>رام الله والبيرة</c:v>
                </c:pt>
                <c:pt idx="7">
                  <c:v>أريحا والأغوار</c:v>
                </c:pt>
                <c:pt idx="8">
                  <c:v>القدس</c:v>
                </c:pt>
                <c:pt idx="9">
                  <c:v>بيت لحم</c:v>
                </c:pt>
                <c:pt idx="10">
                  <c:v>الخليل</c:v>
                </c:pt>
                <c:pt idx="11">
                  <c:v>شمال غزة</c:v>
                </c:pt>
                <c:pt idx="12">
                  <c:v>غزة</c:v>
                </c:pt>
                <c:pt idx="13">
                  <c:v>دير البلح</c:v>
                </c:pt>
                <c:pt idx="14">
                  <c:v>خانيونس</c:v>
                </c:pt>
                <c:pt idx="15">
                  <c:v>رفح</c:v>
                </c:pt>
              </c:strCache>
            </c:strRef>
          </c:xVal>
          <c:yVal>
            <c:numRef>
              <c:f>Sheet1!$B$2:$B$17</c:f>
              <c:numCache>
                <c:formatCode>###0%</c:formatCode>
                <c:ptCount val="16"/>
                <c:pt idx="0">
                  <c:v>0.48383855745373339</c:v>
                </c:pt>
                <c:pt idx="1">
                  <c:v>0.49177491044026117</c:v>
                </c:pt>
                <c:pt idx="2">
                  <c:v>0.4703376760939138</c:v>
                </c:pt>
                <c:pt idx="3">
                  <c:v>0.49505285841972257</c:v>
                </c:pt>
                <c:pt idx="4">
                  <c:v>0.40398317887830432</c:v>
                </c:pt>
                <c:pt idx="5">
                  <c:v>0.42634671920267964</c:v>
                </c:pt>
                <c:pt idx="6">
                  <c:v>0.64244553501516843</c:v>
                </c:pt>
                <c:pt idx="7">
                  <c:v>0.43724160849706595</c:v>
                </c:pt>
                <c:pt idx="8">
                  <c:v>0.84796368696992319</c:v>
                </c:pt>
                <c:pt idx="9">
                  <c:v>0.44523872640717455</c:v>
                </c:pt>
                <c:pt idx="10">
                  <c:v>0.38882856606168492</c:v>
                </c:pt>
                <c:pt idx="11">
                  <c:v>0.53927060360313916</c:v>
                </c:pt>
                <c:pt idx="12">
                  <c:v>0.47599391665412422</c:v>
                </c:pt>
                <c:pt idx="13">
                  <c:v>0.41376103782147522</c:v>
                </c:pt>
                <c:pt idx="14">
                  <c:v>0.45362167848323243</c:v>
                </c:pt>
                <c:pt idx="15">
                  <c:v>0.55072371572808465</c:v>
                </c:pt>
              </c:numCache>
            </c:numRef>
          </c:yVal>
          <c:bubbleSize>
            <c:numRef>
              <c:f>Sheet1!$C$2:$C$17</c:f>
              <c:numCache>
                <c:formatCode>0</c:formatCode>
                <c:ptCount val="16"/>
                <c:pt idx="0">
                  <c:v>24.191927872686676</c:v>
                </c:pt>
                <c:pt idx="1">
                  <c:v>24.588745522013046</c:v>
                </c:pt>
                <c:pt idx="2">
                  <c:v>23.516883804695691</c:v>
                </c:pt>
                <c:pt idx="3">
                  <c:v>24.752642920986119</c:v>
                </c:pt>
                <c:pt idx="4">
                  <c:v>20.199158943915211</c:v>
                </c:pt>
                <c:pt idx="5">
                  <c:v>21.31733596013397</c:v>
                </c:pt>
                <c:pt idx="6">
                  <c:v>32.122276750758409</c:v>
                </c:pt>
                <c:pt idx="7">
                  <c:v>21.862080424853296</c:v>
                </c:pt>
                <c:pt idx="8">
                  <c:v>42.398184348496159</c:v>
                </c:pt>
                <c:pt idx="9">
                  <c:v>22.261936320358732</c:v>
                </c:pt>
                <c:pt idx="10">
                  <c:v>19.441428303084226</c:v>
                </c:pt>
                <c:pt idx="11">
                  <c:v>26.963530180156933</c:v>
                </c:pt>
                <c:pt idx="12">
                  <c:v>23.799695832706202</c:v>
                </c:pt>
                <c:pt idx="13">
                  <c:v>20.688051891073762</c:v>
                </c:pt>
                <c:pt idx="14">
                  <c:v>22.681083924161623</c:v>
                </c:pt>
                <c:pt idx="15">
                  <c:v>27.536185786404239</c:v>
                </c:pt>
              </c:numCache>
            </c:numRef>
          </c:bubbleSize>
          <c:bubble3D val="1"/>
        </c:ser>
        <c:bubbleScale val="100"/>
        <c:axId val="177054848"/>
        <c:axId val="177056384"/>
      </c:bubbleChart>
      <c:valAx>
        <c:axId val="177054848"/>
        <c:scaling>
          <c:orientation val="minMax"/>
        </c:scaling>
        <c:delete val="1"/>
        <c:axPos val="b"/>
        <c:tickLblPos val="none"/>
        <c:crossAx val="177056384"/>
        <c:crosses val="autoZero"/>
        <c:crossBetween val="midCat"/>
      </c:valAx>
      <c:valAx>
        <c:axId val="177056384"/>
        <c:scaling>
          <c:orientation val="minMax"/>
        </c:scaling>
        <c:delete val="1"/>
        <c:axPos val="l"/>
        <c:numFmt formatCode="###0%" sourceLinked="1"/>
        <c:tickLblPos val="none"/>
        <c:crossAx val="177054848"/>
        <c:crosses val="autoZero"/>
        <c:crossBetween val="midCat"/>
      </c:valAx>
      <c:spPr>
        <a:noFill/>
        <a:ln w="1371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/>
      </a:pPr>
      <a:endParaRPr lang="ar-S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7.1607177036650801E-2"/>
          <c:y val="0.12893055998058037"/>
          <c:w val="0.90534169136234333"/>
          <c:h val="0.5865638038019808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نسبة الاسر في فلسطين والذي شارك أطفالهم في أي أنشطة تعليمية خلال فترة الاغلاقات (آذار- أيار، 2020) حسب المحافظة</c:v>
                </c:pt>
              </c:strCache>
            </c:strRef>
          </c:tx>
          <c:spPr>
            <a:noFill/>
            <a:ln>
              <a:noFill/>
            </a:ln>
            <a:effectLst>
              <a:innerShdw blurRad="114300">
                <a:schemeClr val="accent1"/>
              </a:innerShdw>
            </a:effectLst>
          </c:spPr>
          <c:cat>
            <c:strRef>
              <c:f>Sheet1!$A$2:$A$17</c:f>
              <c:strCache>
                <c:ptCount val="16"/>
                <c:pt idx="0">
                  <c:v>جنين</c:v>
                </c:pt>
                <c:pt idx="1">
                  <c:v>طوباس والاغوار الشمالية</c:v>
                </c:pt>
                <c:pt idx="2">
                  <c:v>طولكرم</c:v>
                </c:pt>
                <c:pt idx="3">
                  <c:v>نابلس</c:v>
                </c:pt>
                <c:pt idx="4">
                  <c:v>قلقيلية</c:v>
                </c:pt>
                <c:pt idx="5">
                  <c:v>سلفيت</c:v>
                </c:pt>
                <c:pt idx="6">
                  <c:v>رام الله والبيرة</c:v>
                </c:pt>
                <c:pt idx="7">
                  <c:v>أريحا والأغوار</c:v>
                </c:pt>
                <c:pt idx="8">
                  <c:v>القدس</c:v>
                </c:pt>
                <c:pt idx="9">
                  <c:v>بيت لحم</c:v>
                </c:pt>
                <c:pt idx="10">
                  <c:v>الخليل</c:v>
                </c:pt>
                <c:pt idx="11">
                  <c:v>شمال غزة</c:v>
                </c:pt>
                <c:pt idx="12">
                  <c:v>غزة</c:v>
                </c:pt>
                <c:pt idx="13">
                  <c:v>دير البلح</c:v>
                </c:pt>
                <c:pt idx="14">
                  <c:v>خانيونس</c:v>
                </c:pt>
                <c:pt idx="15">
                  <c:v>رفح</c:v>
                </c:pt>
              </c:strCache>
            </c:strRef>
          </c:cat>
          <c:val>
            <c:numRef>
              <c:f>Sheet1!$B$2:$B$17</c:f>
              <c:numCache>
                <c:formatCode>###0%</c:formatCode>
                <c:ptCount val="16"/>
                <c:pt idx="0">
                  <c:v>0.48383855745373339</c:v>
                </c:pt>
                <c:pt idx="1">
                  <c:v>0.49177491044026117</c:v>
                </c:pt>
                <c:pt idx="2">
                  <c:v>0.4703376760939138</c:v>
                </c:pt>
                <c:pt idx="3">
                  <c:v>0.49505285841972257</c:v>
                </c:pt>
                <c:pt idx="4">
                  <c:v>0.40398317887830432</c:v>
                </c:pt>
                <c:pt idx="5">
                  <c:v>0.42634671920267964</c:v>
                </c:pt>
                <c:pt idx="6">
                  <c:v>0.64244553501516843</c:v>
                </c:pt>
                <c:pt idx="7">
                  <c:v>0.43724160849706595</c:v>
                </c:pt>
                <c:pt idx="8">
                  <c:v>0.84796368696992319</c:v>
                </c:pt>
                <c:pt idx="9">
                  <c:v>0.44523872640717455</c:v>
                </c:pt>
                <c:pt idx="10">
                  <c:v>0.38882856606168492</c:v>
                </c:pt>
                <c:pt idx="11">
                  <c:v>0.53927060360313916</c:v>
                </c:pt>
                <c:pt idx="12">
                  <c:v>0.47599391665412422</c:v>
                </c:pt>
                <c:pt idx="13">
                  <c:v>0.41376103782147522</c:v>
                </c:pt>
                <c:pt idx="14">
                  <c:v>0.45362167848323243</c:v>
                </c:pt>
                <c:pt idx="15">
                  <c:v>0.55072371572808465</c:v>
                </c:pt>
              </c:numCache>
            </c:numRef>
          </c:val>
        </c:ser>
        <c:gapWidth val="164"/>
        <c:overlap val="-22"/>
        <c:axId val="179185152"/>
        <c:axId val="179186688"/>
      </c:barChart>
      <c:catAx>
        <c:axId val="179185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46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ar-SA"/>
          </a:p>
        </c:txPr>
        <c:crossAx val="179186688"/>
        <c:crosses val="autoZero"/>
        <c:auto val="1"/>
        <c:lblAlgn val="ctr"/>
        <c:lblOffset val="100"/>
      </c:catAx>
      <c:valAx>
        <c:axId val="179186688"/>
        <c:scaling>
          <c:orientation val="minMax"/>
        </c:scaling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##0%" sourceLinked="1"/>
        <c:majorTickMark val="none"/>
        <c:tickLblPos val="nextTo"/>
        <c:spPr>
          <a:ln w="952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ar-SA"/>
          </a:p>
        </c:txPr>
        <c:crossAx val="179185152"/>
        <c:crosses val="autoZero"/>
        <c:crossBetween val="between"/>
      </c:valAx>
      <c:spPr>
        <a:noFill/>
        <a:ln w="25395">
          <a:noFill/>
        </a:ln>
      </c:spPr>
    </c:plotArea>
    <c:plotVisOnly val="1"/>
    <c:dispBlanksAs val="gap"/>
  </c:chart>
  <c:spPr>
    <a:solidFill>
      <a:schemeClr val="tx2">
        <a:lumMod val="20000"/>
        <a:lumOff val="80000"/>
      </a:schemeClr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Simplified Arabic" panose="02020603050405020304" pitchFamily="18" charset="-78"/>
          <a:cs typeface="Simplified Arabic" panose="02020603050405020304" pitchFamily="18" charset="-78"/>
        </a:defRPr>
      </a:pPr>
      <a:endParaRPr lang="ar-S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 rot="0" spcFirstLastPara="1" vertOverflow="ellipsis" vert="horz" wrap="square" anchor="ctr" anchorCtr="1"/>
          <a:lstStyle/>
          <a:p>
            <a:pPr>
              <a:defRPr sz="1202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r>
              <a:rPr lang="ar-SA" b="1"/>
              <a:t>أهم ثلاث </a:t>
            </a:r>
            <a:r>
              <a:rPr lang="ar-SA" sz="1202" b="1" i="0" u="none" strike="noStrike" cap="small" baseline="0">
                <a:effectLst/>
              </a:rPr>
              <a:t>أولويات المواطنين للحد من أثر كوفيد - 19 حسب المنطقة</a:t>
            </a:r>
            <a:endParaRPr lang="en-US" b="1"/>
          </a:p>
        </c:rich>
      </c:tx>
      <c:spPr>
        <a:noFill/>
        <a:ln w="25446">
          <a:noFill/>
        </a:ln>
      </c:spPr>
    </c:title>
    <c:plotArea>
      <c:layout>
        <c:manualLayout>
          <c:layoutTarget val="inner"/>
          <c:xMode val="edge"/>
          <c:yMode val="edge"/>
          <c:x val="2.3661799556608822E-2"/>
          <c:y val="0.17898795613109431"/>
          <c:w val="0.97633817355564367"/>
          <c:h val="0.54430853495456311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فلسطين</c:v>
                </c:pt>
              </c:strCache>
            </c:strRef>
          </c:tx>
          <c:spPr>
            <a:solidFill>
              <a:srgbClr val="4F81BD"/>
            </a:solidFill>
            <a:ln w="25446">
              <a:noFill/>
            </a:ln>
          </c:spPr>
          <c:dLbls>
            <c:spPr>
              <a:noFill/>
              <a:ln w="25446">
                <a:noFill/>
              </a:ln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2" b="0" i="0" u="none" strike="noStrike" kern="1200" baseline="0">
                    <a:solidFill>
                      <a:schemeClr val="bg1"/>
                    </a:solidFill>
                    <a:latin typeface="Simplified Arabic" panose="02020603050405020304" pitchFamily="18" charset="-78"/>
                    <a:ea typeface="+mn-ea"/>
                    <a:cs typeface="Simplified Arabic" panose="02020603050405020304" pitchFamily="18" charset="-78"/>
                  </a:defRPr>
                </a:pPr>
                <a:endParaRPr lang="ar-SA"/>
              </a:p>
            </c:txPr>
            <c:dLblPos val="ctr"/>
            <c:showVal val="1"/>
          </c:dLbls>
          <c:cat>
            <c:strRef>
              <c:f>Sheet1!$A$2:$A$4</c:f>
              <c:strCache>
                <c:ptCount val="3"/>
                <c:pt idx="0">
                  <c:v>توفير مساعدات نقدية للأسرة</c:v>
                </c:pt>
                <c:pt idx="1">
                  <c:v>توفير فرص عمل/ تشغيل</c:v>
                </c:pt>
                <c:pt idx="2">
                  <c:v>توفير كوبونات طعام/ طرود غذائية/قسائم شرائية</c:v>
                </c:pt>
              </c:strCache>
            </c:strRef>
          </c:cat>
          <c:val>
            <c:numRef>
              <c:f>Sheet1!$B$2:$B$4</c:f>
              <c:numCache>
                <c:formatCode>0</c:formatCode>
                <c:ptCount val="3"/>
                <c:pt idx="0">
                  <c:v>28.5</c:v>
                </c:pt>
                <c:pt idx="1">
                  <c:v>20.6</c:v>
                </c:pt>
                <c:pt idx="2">
                  <c:v>18.8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 w="25446">
                <a:noFill/>
              </a:ln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2" b="0" i="0" u="none" strike="noStrike" kern="1200" baseline="0">
                    <a:solidFill>
                      <a:schemeClr val="bg1"/>
                    </a:solidFill>
                    <a:latin typeface="Simplified Arabic" panose="02020603050405020304" pitchFamily="18" charset="-78"/>
                    <a:ea typeface="+mn-ea"/>
                    <a:cs typeface="Simplified Arabic" panose="02020603050405020304" pitchFamily="18" charset="-78"/>
                  </a:defRPr>
                </a:pPr>
                <a:endParaRPr lang="ar-SA"/>
              </a:p>
            </c:txPr>
            <c:dLblPos val="ctr"/>
            <c:showVal val="1"/>
          </c:dLbls>
          <c:cat>
            <c:strRef>
              <c:f>Sheet1!$A$2:$A$4</c:f>
              <c:strCache>
                <c:ptCount val="3"/>
                <c:pt idx="0">
                  <c:v>توفير مساعدات نقدية للأسرة</c:v>
                </c:pt>
                <c:pt idx="1">
                  <c:v>توفير فرص عمل/ تشغيل</c:v>
                </c:pt>
                <c:pt idx="2">
                  <c:v>توفير كوبونات طعام/ طرود غذائية/قسائم شرائية</c:v>
                </c:pt>
              </c:strCache>
            </c:strRef>
          </c:cat>
          <c:val>
            <c:numRef>
              <c:f>Sheet1!$C$2:$C$4</c:f>
              <c:numCache>
                <c:formatCode>0</c:formatCode>
                <c:ptCount val="3"/>
                <c:pt idx="0">
                  <c:v>31</c:v>
                </c:pt>
                <c:pt idx="1">
                  <c:v>7.5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rgbClr val="9BBB59"/>
            </a:solidFill>
            <a:ln w="25446">
              <a:noFill/>
            </a:ln>
          </c:spPr>
          <c:dLbls>
            <c:spPr>
              <a:noFill/>
              <a:ln w="25446">
                <a:noFill/>
              </a:ln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2" b="0" i="0" u="none" strike="noStrike" kern="1200" baseline="0">
                    <a:solidFill>
                      <a:schemeClr val="bg1"/>
                    </a:solidFill>
                    <a:latin typeface="Simplified Arabic" panose="02020603050405020304" pitchFamily="18" charset="-78"/>
                    <a:ea typeface="+mn-ea"/>
                    <a:cs typeface="Simplified Arabic" panose="02020603050405020304" pitchFamily="18" charset="-78"/>
                  </a:defRPr>
                </a:pPr>
                <a:endParaRPr lang="ar-SA"/>
              </a:p>
            </c:txPr>
            <c:dLblPos val="ctr"/>
            <c:showVal val="1"/>
          </c:dLbls>
          <c:cat>
            <c:strRef>
              <c:f>Sheet1!$A$2:$A$4</c:f>
              <c:strCache>
                <c:ptCount val="3"/>
                <c:pt idx="0">
                  <c:v>توفير مساعدات نقدية للأسرة</c:v>
                </c:pt>
                <c:pt idx="1">
                  <c:v>توفير فرص عمل/ تشغيل</c:v>
                </c:pt>
                <c:pt idx="2">
                  <c:v>توفير كوبونات طعام/ طرود غذائية/قسائم شرائية</c:v>
                </c:pt>
              </c:strCache>
            </c:strRef>
          </c:cat>
          <c:val>
            <c:numRef>
              <c:f>Sheet1!$D$2:$D$4</c:f>
              <c:numCache>
                <c:formatCode>0</c:formatCode>
                <c:ptCount val="3"/>
                <c:pt idx="0">
                  <c:v>25.3</c:v>
                </c:pt>
                <c:pt idx="1">
                  <c:v>37.700000000000003</c:v>
                </c:pt>
                <c:pt idx="2">
                  <c:v>14.6</c:v>
                </c:pt>
              </c:numCache>
            </c:numRef>
          </c:val>
        </c:ser>
        <c:dLbls>
          <c:showVal val="1"/>
        </c:dLbls>
        <c:axId val="179041024"/>
        <c:axId val="179042560"/>
      </c:barChart>
      <c:catAx>
        <c:axId val="179041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4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implified Arabic" panose="02020603050405020304" pitchFamily="18" charset="-78"/>
                <a:ea typeface="+mn-ea"/>
                <a:cs typeface="Simplified Arabic" panose="02020603050405020304" pitchFamily="18" charset="-78"/>
              </a:defRPr>
            </a:pPr>
            <a:endParaRPr lang="ar-SA"/>
          </a:p>
        </c:txPr>
        <c:crossAx val="179042560"/>
        <c:crosses val="autoZero"/>
        <c:auto val="1"/>
        <c:lblAlgn val="ctr"/>
        <c:lblOffset val="100"/>
      </c:catAx>
      <c:valAx>
        <c:axId val="179042560"/>
        <c:scaling>
          <c:orientation val="minMax"/>
        </c:scaling>
        <c:delete val="1"/>
        <c:axPos val="l"/>
        <c:numFmt formatCode="0" sourceLinked="1"/>
        <c:tickLblPos val="none"/>
        <c:crossAx val="179041024"/>
        <c:crosses val="autoZero"/>
        <c:crossBetween val="between"/>
      </c:valAx>
      <c:spPr>
        <a:noFill/>
        <a:ln w="25446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5.1424575217571475E-2"/>
          <c:y val="0.88525724253120397"/>
          <c:w val="0.99647465119491641"/>
          <c:h val="1"/>
        </c:manualLayout>
      </c:layout>
      <c:spPr>
        <a:noFill/>
        <a:ln w="25446">
          <a:noFill/>
        </a:ln>
      </c:spPr>
      <c:txPr>
        <a:bodyPr rot="0" spcFirstLastPara="1" vertOverflow="ellipsis" vert="horz" wrap="square" anchor="ctr" anchorCtr="1"/>
        <a:lstStyle/>
        <a:p>
          <a:pPr rtl="1">
            <a:defRPr sz="1052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implified Arabic" panose="02020603050405020304" pitchFamily="18" charset="-78"/>
              <a:ea typeface="+mn-ea"/>
              <a:cs typeface="Simplified Arabic" panose="02020603050405020304" pitchFamily="18" charset="-78"/>
            </a:defRPr>
          </a:pPr>
          <a:endParaRPr lang="ar-SA"/>
        </a:p>
      </c:txPr>
    </c:legend>
    <c:plotVisOnly val="1"/>
    <c:dispBlanksAs val="gap"/>
  </c:chart>
  <c:spPr>
    <a:solidFill>
      <a:schemeClr val="accent1">
        <a:lumMod val="20000"/>
        <a:lumOff val="80000"/>
      </a:schemeClr>
    </a:solidFill>
    <a:ln w="954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2">
          <a:latin typeface="Simplified Arabic" panose="02020603050405020304" pitchFamily="18" charset="-78"/>
          <a:cs typeface="Simplified Arabic" panose="02020603050405020304" pitchFamily="18" charset="-78"/>
        </a:defRPr>
      </a:pPr>
      <a:endParaRPr lang="ar-SA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74A4-6A56-4A22-8B87-C59711EA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Findings Report</vt:lpstr>
    </vt:vector>
  </TitlesOfParts>
  <Company>UNICEF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Findings Report</dc:title>
  <dc:creator>maen salhab</dc:creator>
  <cp:lastModifiedBy>adwikat</cp:lastModifiedBy>
  <cp:revision>2</cp:revision>
  <cp:lastPrinted>2020-09-30T07:20:00Z</cp:lastPrinted>
  <dcterms:created xsi:type="dcterms:W3CDTF">2020-10-04T08:50:00Z</dcterms:created>
  <dcterms:modified xsi:type="dcterms:W3CDTF">2020-10-04T08:50:00Z</dcterms:modified>
</cp:coreProperties>
</file>