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F" w:rsidRDefault="00C25B3F" w:rsidP="009B3951">
      <w:pPr>
        <w:pStyle w:val="Title"/>
        <w:ind w:left="-2"/>
        <w:rPr>
          <w:rFonts w:ascii="Simplified Arabic" w:hAnsi="Simplified Arabic" w:cs="Simplified Arabic" w:hint="cs"/>
          <w:sz w:val="28"/>
          <w:szCs w:val="28"/>
          <w:rtl/>
        </w:rPr>
      </w:pPr>
    </w:p>
    <w:p w:rsidR="009B3951" w:rsidRDefault="009B3951" w:rsidP="00C25B3F">
      <w:pPr>
        <w:pStyle w:val="Title"/>
        <w:ind w:left="-2"/>
        <w:rPr>
          <w:rFonts w:ascii="Simplified Arabic" w:hAnsi="Simplified Arabic" w:cs="Simplified Arabic"/>
          <w:sz w:val="28"/>
          <w:szCs w:val="28"/>
          <w:rtl/>
        </w:rPr>
      </w:pPr>
    </w:p>
    <w:p w:rsidR="00C25B3F" w:rsidRDefault="00C25B3F" w:rsidP="00C25B3F">
      <w:pPr>
        <w:pStyle w:val="Title"/>
        <w:ind w:left="-2"/>
        <w:rPr>
          <w:rFonts w:ascii="Simplified Arabic" w:hAnsi="Simplified Arabic" w:cs="Simplified Arabic"/>
          <w:sz w:val="32"/>
          <w:szCs w:val="32"/>
          <w:rtl/>
        </w:rPr>
      </w:pPr>
      <w:r w:rsidRPr="00C25B3F">
        <w:rPr>
          <w:rFonts w:ascii="Simplified Arabic" w:hAnsi="Simplified Arabic" w:cs="Simplified Arabic" w:hint="cs"/>
          <w:sz w:val="32"/>
          <w:szCs w:val="32"/>
          <w:rtl/>
        </w:rPr>
        <w:t xml:space="preserve">الإحصاء </w:t>
      </w:r>
      <w:r w:rsidRPr="00C25B3F">
        <w:rPr>
          <w:rFonts w:ascii="Simplified Arabic" w:hAnsi="Simplified Arabic" w:cs="Simplified Arabic"/>
          <w:sz w:val="32"/>
          <w:szCs w:val="32"/>
          <w:rtl/>
        </w:rPr>
        <w:t>الفلسطيني</w:t>
      </w:r>
      <w:r w:rsidRPr="00C25B3F">
        <w:rPr>
          <w:rFonts w:ascii="Simplified Arabic" w:hAnsi="Simplified Arabic" w:cs="Simplified Arabic" w:hint="cs"/>
          <w:sz w:val="32"/>
          <w:szCs w:val="32"/>
          <w:rtl/>
        </w:rPr>
        <w:t xml:space="preserve"> وبالتعاون مع وزارة التربية والتعليم العالي</w:t>
      </w:r>
      <w:r w:rsidRPr="00C25B3F">
        <w:rPr>
          <w:rFonts w:ascii="Simplified Arabic" w:hAnsi="Simplified Arabic" w:cs="Simplified Arabic"/>
          <w:sz w:val="32"/>
          <w:szCs w:val="32"/>
          <w:rtl/>
        </w:rPr>
        <w:t xml:space="preserve"> يصدر</w:t>
      </w:r>
      <w:r w:rsidRPr="00C25B3F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C25B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B3F">
        <w:rPr>
          <w:rFonts w:ascii="Simplified Arabic" w:hAnsi="Simplified Arabic" w:cs="Simplified Arabic" w:hint="cs"/>
          <w:sz w:val="32"/>
          <w:szCs w:val="32"/>
          <w:rtl/>
        </w:rPr>
        <w:t>بيانا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C25B3F">
        <w:rPr>
          <w:rFonts w:ascii="Simplified Arabic" w:hAnsi="Simplified Arabic" w:cs="Simplified Arabic" w:hint="cs"/>
          <w:sz w:val="32"/>
          <w:szCs w:val="32"/>
          <w:rtl/>
        </w:rPr>
        <w:t xml:space="preserve"> صحفياً </w:t>
      </w:r>
      <w:r w:rsidRPr="00C25B3F">
        <w:rPr>
          <w:rFonts w:ascii="Simplified Arabic" w:hAnsi="Simplified Arabic" w:cs="Simplified Arabic"/>
          <w:sz w:val="32"/>
          <w:szCs w:val="32"/>
          <w:rtl/>
        </w:rPr>
        <w:t>حول</w:t>
      </w:r>
    </w:p>
    <w:p w:rsidR="00C25B3F" w:rsidRPr="00C25B3F" w:rsidRDefault="00C25B3F" w:rsidP="00C25B3F">
      <w:pPr>
        <w:pStyle w:val="Title"/>
        <w:ind w:left="-2"/>
        <w:rPr>
          <w:rFonts w:ascii="Simplified Arabic" w:hAnsi="Simplified Arabic" w:cs="Simplified Arabic"/>
          <w:sz w:val="32"/>
          <w:szCs w:val="32"/>
          <w:rtl/>
        </w:rPr>
      </w:pPr>
      <w:r w:rsidRPr="00C25B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F5A45">
        <w:rPr>
          <w:rFonts w:ascii="Simplified Arabic" w:hAnsi="Simplified Arabic" w:cs="Simplified Arabic" w:hint="cs"/>
          <w:sz w:val="32"/>
          <w:szCs w:val="32"/>
          <w:rtl/>
        </w:rPr>
        <w:t xml:space="preserve">نتائج </w:t>
      </w:r>
      <w:r w:rsidRPr="00C25B3F">
        <w:rPr>
          <w:rFonts w:ascii="Simplified Arabic" w:hAnsi="Simplified Arabic" w:cs="Simplified Arabic"/>
          <w:sz w:val="32"/>
          <w:szCs w:val="32"/>
          <w:rtl/>
        </w:rPr>
        <w:t>مسح البيئة للقطاع التعليمي</w:t>
      </w:r>
      <w:r w:rsidRPr="00C25B3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C25B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B3F">
        <w:rPr>
          <w:rFonts w:ascii="Simplified Arabic" w:hAnsi="Simplified Arabic" w:cs="Simplified Arabic"/>
          <w:sz w:val="32"/>
          <w:szCs w:val="32"/>
        </w:rPr>
        <w:t>2016</w:t>
      </w:r>
    </w:p>
    <w:p w:rsidR="00C25B3F" w:rsidRDefault="00C25B3F" w:rsidP="00C25B3F">
      <w:pPr>
        <w:jc w:val="lowKashida"/>
        <w:rPr>
          <w:rFonts w:cs="Simplified Arabic"/>
          <w:color w:val="000000"/>
          <w:sz w:val="6"/>
          <w:szCs w:val="6"/>
          <w:rtl/>
        </w:rPr>
      </w:pPr>
    </w:p>
    <w:p w:rsidR="00C25B3F" w:rsidRDefault="00C25B3F" w:rsidP="00C25B3F">
      <w:pPr>
        <w:jc w:val="lowKashida"/>
        <w:rPr>
          <w:rFonts w:cs="Simplified Arabic"/>
          <w:color w:val="000000"/>
          <w:sz w:val="6"/>
          <w:szCs w:val="6"/>
          <w:rtl/>
        </w:rPr>
      </w:pPr>
    </w:p>
    <w:p w:rsidR="00C25B3F" w:rsidRDefault="00C25B3F" w:rsidP="00C25B3F">
      <w:pPr>
        <w:jc w:val="lowKashida"/>
        <w:rPr>
          <w:rFonts w:cs="Simplified Arabic"/>
          <w:color w:val="000000"/>
          <w:sz w:val="16"/>
          <w:szCs w:val="16"/>
          <w:rtl/>
        </w:rPr>
      </w:pPr>
    </w:p>
    <w:p w:rsidR="00C25B3F" w:rsidRDefault="00C25B3F" w:rsidP="00C25B3F">
      <w:pPr>
        <w:jc w:val="lowKashida"/>
        <w:rPr>
          <w:rFonts w:cs="Simplified Arabic"/>
          <w:color w:val="000000"/>
          <w:sz w:val="6"/>
          <w:szCs w:val="6"/>
          <w:rtl/>
        </w:rPr>
      </w:pPr>
    </w:p>
    <w:p w:rsidR="00C25B3F" w:rsidRPr="00C25B3F" w:rsidRDefault="00C25B3F" w:rsidP="00C25B3F">
      <w:pPr>
        <w:jc w:val="lowKashida"/>
        <w:rPr>
          <w:rFonts w:cs="Simplified Arabic"/>
          <w:color w:val="000000"/>
          <w:sz w:val="25"/>
          <w:szCs w:val="25"/>
        </w:rPr>
      </w:pPr>
      <w:r w:rsidRPr="00C25B3F">
        <w:rPr>
          <w:rFonts w:cs="Simplified Arabic" w:hint="cs"/>
          <w:b/>
          <w:bCs/>
          <w:sz w:val="25"/>
          <w:szCs w:val="25"/>
          <w:rtl/>
        </w:rPr>
        <w:t>أكثر من 40% من المدارس في فلسطين تتعرض للضجيج غالباً وأحياناً</w:t>
      </w:r>
    </w:p>
    <w:p w:rsidR="00C25B3F" w:rsidRDefault="00C25B3F" w:rsidP="00C25B3F">
      <w:pPr>
        <w:ind w:left="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تشير نتائج المسح للعام 2016 إلى أن 41.3% من المدارس، و58.7% من مؤسسات التعليم العالي، و27.6% من رياض الأطفال في فلسطين غالباً وأحياناً ما تتعرض للضجيج, في حين أن 36.5% من المدارس، و41.3% من مؤسسات التعليم العالي، و22.5% من رياض الأطفال في فلسطين غالباً وأحيانا ما تتعرض للروائح.</w:t>
      </w:r>
    </w:p>
    <w:p w:rsidR="00C25B3F" w:rsidRP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center"/>
        <w:rPr>
          <w:rFonts w:cs="Simplified Arabic"/>
          <w:b/>
          <w:bCs/>
          <w:sz w:val="25"/>
          <w:szCs w:val="25"/>
          <w:rtl/>
        </w:rPr>
      </w:pPr>
      <w:r w:rsidRPr="00C25B3F">
        <w:rPr>
          <w:rFonts w:cs="Simplified Arabic" w:hint="cs"/>
          <w:b/>
          <w:bCs/>
          <w:sz w:val="25"/>
          <w:szCs w:val="25"/>
          <w:rtl/>
        </w:rPr>
        <w:t>نسبة المؤسسات التعليمية في فلسطين المتعرضة لمؤثرات الضجيج والروائح غالباً وأحياناً حسب القطاع</w:t>
      </w:r>
      <w:r w:rsidRPr="00C25B3F">
        <w:rPr>
          <w:rFonts w:cs="Simplified Arabic"/>
          <w:b/>
          <w:bCs/>
          <w:sz w:val="25"/>
          <w:szCs w:val="25"/>
          <w:rtl/>
        </w:rPr>
        <w:t xml:space="preserve">، </w:t>
      </w:r>
      <w:r w:rsidRPr="00C25B3F">
        <w:rPr>
          <w:rFonts w:cs="Simplified Arabic" w:hint="cs"/>
          <w:b/>
          <w:bCs/>
          <w:sz w:val="25"/>
          <w:szCs w:val="25"/>
          <w:rtl/>
        </w:rPr>
        <w:t>2016</w:t>
      </w:r>
    </w:p>
    <w:p w:rsidR="00C25B3F" w:rsidRPr="00C25B3F" w:rsidRDefault="00C25B3F" w:rsidP="00C25B3F">
      <w:pPr>
        <w:ind w:left="1"/>
        <w:jc w:val="center"/>
        <w:rPr>
          <w:rFonts w:cs="Simplified Arabic"/>
          <w:b/>
          <w:bCs/>
          <w:sz w:val="8"/>
          <w:szCs w:val="8"/>
        </w:rPr>
      </w:pPr>
    </w:p>
    <w:tbl>
      <w:tblPr>
        <w:bidiVisual/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7"/>
      </w:tblGrid>
      <w:tr w:rsidR="00C25B3F" w:rsidRPr="004C6FE6" w:rsidTr="002F0FA7">
        <w:trPr>
          <w:trHeight w:val="3405"/>
          <w:jc w:val="center"/>
        </w:trPr>
        <w:tc>
          <w:tcPr>
            <w:tcW w:w="4397" w:type="dxa"/>
          </w:tcPr>
          <w:p w:rsidR="00C25B3F" w:rsidRPr="004C6FE6" w:rsidRDefault="00C25B3F" w:rsidP="002F0F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2457450" cy="243840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C25B3F" w:rsidRPr="00C25B3F" w:rsidRDefault="00C25B3F" w:rsidP="00C25B3F">
      <w:pPr>
        <w:rPr>
          <w:sz w:val="16"/>
          <w:szCs w:val="16"/>
          <w:rtl/>
        </w:rPr>
      </w:pPr>
      <w:bookmarkStart w:id="0" w:name="_Toc93808827"/>
      <w:bookmarkStart w:id="1" w:name="_Toc93809592"/>
      <w:bookmarkStart w:id="2" w:name="_Toc94327362"/>
      <w:bookmarkStart w:id="3" w:name="_Toc108752586"/>
    </w:p>
    <w:bookmarkEnd w:id="0"/>
    <w:bookmarkEnd w:id="1"/>
    <w:bookmarkEnd w:id="2"/>
    <w:bookmarkEnd w:id="3"/>
    <w:p w:rsidR="00C25B3F" w:rsidRPr="00C25B3F" w:rsidRDefault="00C25B3F" w:rsidP="00C25B3F">
      <w:pPr>
        <w:pStyle w:val="Title"/>
        <w:jc w:val="both"/>
        <w:outlineLvl w:val="0"/>
        <w:rPr>
          <w:rFonts w:cs="Simplified Arabic"/>
          <w:color w:val="000000"/>
          <w:sz w:val="25"/>
          <w:szCs w:val="25"/>
          <w:rtl/>
        </w:rPr>
      </w:pPr>
      <w:r w:rsidRPr="00C25B3F">
        <w:rPr>
          <w:rFonts w:cs="Simplified Arabic" w:hint="cs"/>
          <w:sz w:val="25"/>
          <w:szCs w:val="25"/>
          <w:rtl/>
        </w:rPr>
        <w:t xml:space="preserve">حوالي </w:t>
      </w:r>
      <w:r w:rsidRPr="00C25B3F">
        <w:rPr>
          <w:rFonts w:cs="Simplified Arabic"/>
          <w:sz w:val="25"/>
          <w:szCs w:val="25"/>
        </w:rPr>
        <w:t>314</w:t>
      </w:r>
      <w:r w:rsidRPr="00C25B3F">
        <w:rPr>
          <w:rFonts w:cs="Simplified Arabic" w:hint="cs"/>
          <w:sz w:val="25"/>
          <w:szCs w:val="25"/>
          <w:rtl/>
        </w:rPr>
        <w:t xml:space="preserve"> ألف متراً مكعباً من المياه تستهلك شهرياً من قبل المؤسسات التعليمية في فلسطين</w:t>
      </w:r>
    </w:p>
    <w:p w:rsidR="00C25B3F" w:rsidRDefault="00C25B3F" w:rsidP="00C25B3F">
      <w:pPr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بلغ مجموع كمية المياه المستهلكة شهرياً في المؤسسات التعليمية</w:t>
      </w:r>
      <w:r w:rsidRPr="00CB2E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فلسطين </w:t>
      </w:r>
      <w:r>
        <w:rPr>
          <w:rFonts w:cs="Simplified Arabic"/>
        </w:rPr>
        <w:t>313.5</w:t>
      </w:r>
      <w:r>
        <w:rPr>
          <w:rFonts w:cs="Simplified Arabic" w:hint="cs"/>
          <w:rtl/>
        </w:rPr>
        <w:t xml:space="preserve"> آلاف متر مكعب شهرياً، وبلغ المعدل الشهري لكمية المياه المستهلكة في مؤسسات التعليم العالي في فلسطين </w:t>
      </w:r>
      <w:r>
        <w:rPr>
          <w:rFonts w:cs="Simplified Arabic"/>
        </w:rPr>
        <w:t>557</w:t>
      </w:r>
      <w:r>
        <w:rPr>
          <w:rFonts w:cs="Simplified Arabic" w:hint="cs"/>
          <w:rtl/>
        </w:rPr>
        <w:t xml:space="preserve"> متراً مكعباً شهرياً لكل مؤسسة، في حين بلغ 95 متراً مكعباً شهرياً لكل مدرسة، و22 متراً مكعباً شهرياً لكل مؤسسة من مؤسسات رياض الأطفال.</w:t>
      </w:r>
    </w:p>
    <w:p w:rsidR="00C25B3F" w:rsidRPr="00C25B3F" w:rsidRDefault="00C25B3F" w:rsidP="00C25B3F">
      <w:pPr>
        <w:jc w:val="lowKashida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تشير نتائج المسح إلى أن 93.7% من مؤسسات التعليم العالي، و95.9% من المدارس، و95.2% من رياض الأطفال في فلسطين تتزود بالمياه عن طريق شبكة المياه العامة، كما أن 47.6% من مؤسسات التعليم العالي، و33.9% من المدارس، و47.0% من رياض الاطفال تستخدم شراء التنكات للتزود بالمياه، في حين أن 44.4% من مؤسسات التعليم العالي </w:t>
      </w:r>
      <w:bookmarkStart w:id="4" w:name="OLE_LINK1"/>
      <w:r>
        <w:rPr>
          <w:rFonts w:cs="Simplified Arabic" w:hint="cs"/>
          <w:rtl/>
        </w:rPr>
        <w:t>تستخدم آبار خاصة بها للتزود بالمياه</w:t>
      </w:r>
      <w:bookmarkEnd w:id="4"/>
      <w:r>
        <w:rPr>
          <w:rFonts w:cs="Simplified Arabic" w:hint="cs"/>
          <w:rtl/>
        </w:rPr>
        <w:t>.</w:t>
      </w: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C25B3F" w:rsidRDefault="00C25B3F" w:rsidP="00C25B3F">
      <w:pPr>
        <w:ind w:left="1"/>
        <w:jc w:val="both"/>
        <w:rPr>
          <w:rFonts w:cs="Simplified Arabic"/>
          <w:sz w:val="16"/>
          <w:szCs w:val="16"/>
          <w:rtl/>
        </w:rPr>
      </w:pPr>
    </w:p>
    <w:p w:rsidR="009B3951" w:rsidRDefault="009B3951" w:rsidP="009B3951">
      <w:pPr>
        <w:jc w:val="center"/>
        <w:rPr>
          <w:rFonts w:cs="Simplified Arabic"/>
          <w:sz w:val="16"/>
          <w:szCs w:val="16"/>
          <w:rtl/>
        </w:rPr>
      </w:pPr>
    </w:p>
    <w:p w:rsidR="00C25B3F" w:rsidRDefault="00C25B3F" w:rsidP="009B3951">
      <w:pPr>
        <w:jc w:val="center"/>
        <w:rPr>
          <w:rFonts w:cs="Simplified Arabic"/>
          <w:b/>
          <w:bCs/>
          <w:sz w:val="25"/>
          <w:szCs w:val="25"/>
          <w:rtl/>
        </w:rPr>
      </w:pPr>
      <w:r w:rsidRPr="00C25B3F">
        <w:rPr>
          <w:rFonts w:cs="Simplified Arabic" w:hint="cs"/>
          <w:b/>
          <w:bCs/>
          <w:sz w:val="25"/>
          <w:szCs w:val="25"/>
          <w:rtl/>
        </w:rPr>
        <w:t>نسبة</w:t>
      </w:r>
      <w:r w:rsidRPr="00C25B3F">
        <w:rPr>
          <w:rFonts w:cs="Simplified Arabic" w:hint="eastAsia"/>
          <w:b/>
          <w:bCs/>
          <w:sz w:val="25"/>
          <w:szCs w:val="25"/>
          <w:rtl/>
        </w:rPr>
        <w:t xml:space="preserve"> </w:t>
      </w:r>
      <w:r w:rsidRPr="00C25B3F">
        <w:rPr>
          <w:rFonts w:cs="Simplified Arabic" w:hint="cs"/>
          <w:b/>
          <w:bCs/>
          <w:sz w:val="25"/>
          <w:szCs w:val="25"/>
          <w:rtl/>
        </w:rPr>
        <w:t>ا</w:t>
      </w:r>
      <w:r w:rsidRPr="00C25B3F">
        <w:rPr>
          <w:rFonts w:cs="Simplified Arabic"/>
          <w:b/>
          <w:bCs/>
          <w:sz w:val="25"/>
          <w:szCs w:val="25"/>
          <w:rtl/>
        </w:rPr>
        <w:t xml:space="preserve">لمؤسسات التعليمية في </w:t>
      </w:r>
      <w:r w:rsidRPr="00C25B3F">
        <w:rPr>
          <w:rFonts w:cs="Simplified Arabic" w:hint="cs"/>
          <w:b/>
          <w:bCs/>
          <w:sz w:val="25"/>
          <w:szCs w:val="25"/>
          <w:rtl/>
        </w:rPr>
        <w:t>فلسطين</w:t>
      </w:r>
      <w:r w:rsidRPr="00C25B3F">
        <w:rPr>
          <w:rFonts w:cs="Simplified Arabic"/>
          <w:b/>
          <w:bCs/>
          <w:sz w:val="25"/>
          <w:szCs w:val="25"/>
          <w:rtl/>
        </w:rPr>
        <w:t xml:space="preserve"> حسب </w:t>
      </w:r>
      <w:r w:rsidRPr="00C25B3F">
        <w:rPr>
          <w:rFonts w:cs="Simplified Arabic" w:hint="cs"/>
          <w:b/>
          <w:bCs/>
          <w:sz w:val="25"/>
          <w:szCs w:val="25"/>
          <w:rtl/>
        </w:rPr>
        <w:t xml:space="preserve">بعض مصادر الحصول </w:t>
      </w:r>
      <w:r w:rsidRPr="00C25B3F">
        <w:rPr>
          <w:rFonts w:cs="Simplified Arabic"/>
          <w:b/>
          <w:bCs/>
          <w:sz w:val="25"/>
          <w:szCs w:val="25"/>
          <w:rtl/>
        </w:rPr>
        <w:t>على المياه</w:t>
      </w:r>
      <w:r w:rsidRPr="00C25B3F">
        <w:rPr>
          <w:rFonts w:cs="Simplified Arabic" w:hint="cs"/>
          <w:b/>
          <w:bCs/>
          <w:sz w:val="25"/>
          <w:szCs w:val="25"/>
          <w:rtl/>
        </w:rPr>
        <w:t xml:space="preserve"> والقطاع، 2016</w:t>
      </w:r>
    </w:p>
    <w:p w:rsidR="00C25B3F" w:rsidRPr="00C25B3F" w:rsidRDefault="00C25B3F" w:rsidP="00C25B3F">
      <w:pPr>
        <w:tabs>
          <w:tab w:val="left" w:pos="6731"/>
        </w:tabs>
        <w:jc w:val="center"/>
        <w:rPr>
          <w:rFonts w:cs="Simplified Arabic"/>
          <w:b/>
          <w:bCs/>
          <w:sz w:val="8"/>
          <w:szCs w:val="8"/>
          <w:rtl/>
        </w:rPr>
      </w:pPr>
    </w:p>
    <w:p w:rsidR="00C25B3F" w:rsidRDefault="00C25B3F" w:rsidP="00C25B3F">
      <w:pPr>
        <w:tabs>
          <w:tab w:val="left" w:pos="1483"/>
        </w:tabs>
        <w:ind w:left="1"/>
        <w:rPr>
          <w:rFonts w:cs="Simplified Arabic"/>
          <w:sz w:val="2"/>
          <w:szCs w:val="2"/>
          <w:vertAlign w:val="superscript"/>
          <w:rtl/>
        </w:rPr>
      </w:pPr>
      <w:r>
        <w:rPr>
          <w:rFonts w:cs="Simplified Arabic"/>
          <w:sz w:val="2"/>
          <w:szCs w:val="2"/>
          <w:vertAlign w:val="superscript"/>
          <w:rtl/>
        </w:rPr>
        <w:tab/>
      </w:r>
    </w:p>
    <w:tbl>
      <w:tblPr>
        <w:bidiVisual/>
        <w:tblW w:w="0" w:type="auto"/>
        <w:jc w:val="center"/>
        <w:tblInd w:w="250" w:type="dxa"/>
        <w:tblLook w:val="04A0"/>
      </w:tblPr>
      <w:tblGrid>
        <w:gridCol w:w="8080"/>
      </w:tblGrid>
      <w:tr w:rsidR="00C25B3F" w:rsidTr="002F0FA7">
        <w:trPr>
          <w:trHeight w:val="3838"/>
          <w:jc w:val="center"/>
        </w:trPr>
        <w:tc>
          <w:tcPr>
            <w:tcW w:w="8080" w:type="dxa"/>
          </w:tcPr>
          <w:p w:rsidR="00C25B3F" w:rsidRPr="00F03EE8" w:rsidRDefault="00C25B3F" w:rsidP="002F0FA7">
            <w:pPr>
              <w:jc w:val="center"/>
              <w:rPr>
                <w:rFonts w:cs="Simplified Arabic"/>
                <w:sz w:val="16"/>
                <w:szCs w:val="16"/>
                <w:rtl/>
              </w:rPr>
            </w:pPr>
            <w:r>
              <w:rPr>
                <w:rFonts w:cs="Simplified Arabic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000375" cy="2447925"/>
                  <wp:effectExtent l="19050" t="0" r="9525" b="0"/>
                  <wp:docPr id="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C25B3F" w:rsidRPr="00C25B3F" w:rsidRDefault="00C25B3F" w:rsidP="00C25B3F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C25B3F" w:rsidRPr="00C25B3F" w:rsidRDefault="00C25B3F" w:rsidP="00C25B3F">
      <w:pPr>
        <w:jc w:val="both"/>
        <w:rPr>
          <w:rFonts w:cs="Simplified Arabic"/>
          <w:b/>
          <w:bCs/>
          <w:color w:val="000000"/>
          <w:sz w:val="25"/>
          <w:szCs w:val="25"/>
          <w:lang w:eastAsia="en-US"/>
        </w:rPr>
      </w:pPr>
      <w:r w:rsidRPr="00C25B3F">
        <w:rPr>
          <w:rFonts w:cs="Simplified Arabic" w:hint="cs"/>
          <w:b/>
          <w:bCs/>
          <w:sz w:val="25"/>
          <w:szCs w:val="25"/>
          <w:rtl/>
        </w:rPr>
        <w:t>أكثر من نصف المدارس في فلسطين غير متصلة بشبكات الصرف الصحي</w:t>
      </w:r>
    </w:p>
    <w:p w:rsidR="00C25B3F" w:rsidRDefault="00C25B3F" w:rsidP="00C25B3F">
      <w:pPr>
        <w:ind w:left="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تبين النتائج أن 48.1% من المدارس تتخلص من مياهها العادمة عن طريق شبكة الصرف الصحي، مقابل 39.4% عن طريق الحفر الامتصاصية، فيما تتخلص 58.6% من رياض الأطفال من مياهها العادمة عن طريق شبكة الصرف الصحي، في حين أن 90.5% من مؤسسات التعليم العالي في فلسطين تتخلص من مياهها العادمة عن طريق شبكة الصرف الصحي، مقابل 7.9% عن طريق الحفر الامتصاصية.</w:t>
      </w:r>
    </w:p>
    <w:p w:rsidR="00C25B3F" w:rsidRPr="00C25B3F" w:rsidRDefault="00C25B3F" w:rsidP="00C25B3F">
      <w:pPr>
        <w:ind w:left="1"/>
        <w:rPr>
          <w:rFonts w:ascii="Arial" w:hAnsi="Arial" w:cs="Simplified Arabic"/>
          <w:b/>
          <w:bCs/>
          <w:sz w:val="16"/>
          <w:szCs w:val="16"/>
          <w:rtl/>
        </w:rPr>
      </w:pPr>
    </w:p>
    <w:p w:rsidR="00C25B3F" w:rsidRDefault="00C25B3F" w:rsidP="00C25B3F">
      <w:pPr>
        <w:ind w:left="1"/>
        <w:jc w:val="center"/>
        <w:rPr>
          <w:rFonts w:ascii="Arial" w:hAnsi="Arial" w:cs="Simplified Arabic"/>
          <w:b/>
          <w:bCs/>
          <w:sz w:val="25"/>
          <w:szCs w:val="25"/>
          <w:rtl/>
        </w:rPr>
      </w:pPr>
      <w:r w:rsidRPr="00C25B3F">
        <w:rPr>
          <w:rFonts w:ascii="Arial" w:hAnsi="Arial" w:cs="Simplified Arabic" w:hint="cs"/>
          <w:b/>
          <w:bCs/>
          <w:sz w:val="25"/>
          <w:szCs w:val="25"/>
          <w:rtl/>
        </w:rPr>
        <w:t>نسبة ا</w:t>
      </w:r>
      <w:r w:rsidRPr="00C25B3F">
        <w:rPr>
          <w:rFonts w:ascii="Arial" w:hAnsi="Arial" w:cs="Simplified Arabic"/>
          <w:b/>
          <w:bCs/>
          <w:sz w:val="25"/>
          <w:szCs w:val="25"/>
          <w:rtl/>
        </w:rPr>
        <w:t xml:space="preserve">لمؤسسات التعليمية في </w:t>
      </w:r>
      <w:r w:rsidRPr="00C25B3F">
        <w:rPr>
          <w:rFonts w:ascii="Arial" w:hAnsi="Arial" w:cs="Simplified Arabic" w:hint="cs"/>
          <w:b/>
          <w:bCs/>
          <w:sz w:val="25"/>
          <w:szCs w:val="25"/>
          <w:rtl/>
        </w:rPr>
        <w:t>فلسطين</w:t>
      </w:r>
      <w:r w:rsidRPr="00C25B3F">
        <w:rPr>
          <w:rFonts w:cs="Simplified Arabic" w:hint="cs"/>
          <w:sz w:val="25"/>
          <w:szCs w:val="25"/>
          <w:rtl/>
        </w:rPr>
        <w:t xml:space="preserve"> </w:t>
      </w:r>
      <w:r w:rsidRPr="00C25B3F">
        <w:rPr>
          <w:rFonts w:ascii="Arial" w:hAnsi="Arial" w:cs="Simplified Arabic"/>
          <w:b/>
          <w:bCs/>
          <w:sz w:val="25"/>
          <w:szCs w:val="25"/>
          <w:rtl/>
        </w:rPr>
        <w:t xml:space="preserve">حسب </w:t>
      </w:r>
      <w:r w:rsidRPr="00C25B3F">
        <w:rPr>
          <w:rFonts w:ascii="Arial" w:hAnsi="Arial" w:cs="Simplified Arabic" w:hint="cs"/>
          <w:b/>
          <w:bCs/>
          <w:sz w:val="25"/>
          <w:szCs w:val="25"/>
          <w:rtl/>
        </w:rPr>
        <w:t xml:space="preserve">بعض </w:t>
      </w:r>
      <w:r w:rsidRPr="00C25B3F">
        <w:rPr>
          <w:rFonts w:ascii="Arial" w:hAnsi="Arial" w:cs="Simplified Arabic"/>
          <w:b/>
          <w:bCs/>
          <w:sz w:val="25"/>
          <w:szCs w:val="25"/>
          <w:rtl/>
        </w:rPr>
        <w:t>طرق</w:t>
      </w:r>
      <w:r w:rsidRPr="00C25B3F">
        <w:rPr>
          <w:rFonts w:ascii="Arial" w:hAnsi="Arial" w:cs="Simplified Arabic"/>
          <w:b/>
          <w:bCs/>
          <w:sz w:val="25"/>
          <w:szCs w:val="25"/>
        </w:rPr>
        <w:t xml:space="preserve"> </w:t>
      </w:r>
      <w:r w:rsidRPr="00C25B3F">
        <w:rPr>
          <w:rFonts w:ascii="Arial" w:hAnsi="Arial" w:cs="Simplified Arabic" w:hint="eastAsia"/>
          <w:b/>
          <w:bCs/>
          <w:sz w:val="25"/>
          <w:szCs w:val="25"/>
          <w:rtl/>
        </w:rPr>
        <w:t>التخلص</w:t>
      </w:r>
      <w:r w:rsidRPr="00C25B3F">
        <w:rPr>
          <w:rFonts w:ascii="Arial" w:hAnsi="Arial" w:cs="Simplified Arabic"/>
          <w:b/>
          <w:bCs/>
          <w:sz w:val="25"/>
          <w:szCs w:val="25"/>
          <w:rtl/>
        </w:rPr>
        <w:t xml:space="preserve"> من المياه العادمة</w:t>
      </w:r>
      <w:r w:rsidRPr="00C25B3F">
        <w:rPr>
          <w:rFonts w:ascii="Arial" w:hAnsi="Arial" w:cs="Simplified Arabic" w:hint="cs"/>
          <w:b/>
          <w:bCs/>
          <w:sz w:val="25"/>
          <w:szCs w:val="25"/>
          <w:rtl/>
        </w:rPr>
        <w:t xml:space="preserve"> والقطاع</w:t>
      </w:r>
      <w:r w:rsidRPr="00C25B3F">
        <w:rPr>
          <w:rFonts w:cs="Simplified Arabic" w:hint="cs"/>
          <w:b/>
          <w:bCs/>
          <w:sz w:val="25"/>
          <w:szCs w:val="25"/>
          <w:rtl/>
        </w:rPr>
        <w:t>، 2016</w:t>
      </w:r>
    </w:p>
    <w:p w:rsidR="00C25B3F" w:rsidRPr="00C25B3F" w:rsidRDefault="00C25B3F" w:rsidP="00C25B3F">
      <w:pPr>
        <w:ind w:left="1"/>
        <w:jc w:val="center"/>
        <w:rPr>
          <w:rFonts w:ascii="Arial" w:hAnsi="Arial"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jc w:val="center"/>
        <w:tblInd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1"/>
      </w:tblGrid>
      <w:tr w:rsidR="00C25B3F" w:rsidTr="00C25B3F">
        <w:trPr>
          <w:jc w:val="center"/>
        </w:trPr>
        <w:tc>
          <w:tcPr>
            <w:tcW w:w="5004" w:type="dxa"/>
          </w:tcPr>
          <w:p w:rsidR="00C25B3F" w:rsidRPr="00F03EE8" w:rsidRDefault="00C25B3F" w:rsidP="002F0FA7">
            <w:pPr>
              <w:jc w:val="center"/>
              <w:rPr>
                <w:rFonts w:cs="Simplified Arabic"/>
                <w:sz w:val="16"/>
                <w:szCs w:val="16"/>
                <w:rtl/>
              </w:rPr>
            </w:pPr>
            <w:r>
              <w:rPr>
                <w:rFonts w:cs="Simplified Arabic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057525" cy="2552700"/>
                  <wp:effectExtent l="19050" t="0" r="0" b="0"/>
                  <wp:docPr id="3" name="Objec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25B3F" w:rsidRPr="00C25B3F" w:rsidRDefault="00C25B3F" w:rsidP="00C25B3F">
      <w:pPr>
        <w:ind w:left="1"/>
        <w:rPr>
          <w:rFonts w:cs="Simplified Arabic"/>
          <w:b/>
          <w:bCs/>
          <w:sz w:val="16"/>
          <w:szCs w:val="16"/>
        </w:rPr>
      </w:pPr>
    </w:p>
    <w:p w:rsidR="00C25B3F" w:rsidRPr="00C25B3F" w:rsidRDefault="00C25B3F" w:rsidP="00C25B3F">
      <w:pPr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C25B3F">
        <w:rPr>
          <w:rFonts w:cs="Simplified Arabic" w:hint="cs"/>
          <w:b/>
          <w:bCs/>
          <w:sz w:val="25"/>
          <w:szCs w:val="25"/>
          <w:rtl/>
        </w:rPr>
        <w:t>حوالي 87 طن من النفايات الصلبة تنتج يومياً من قبل المؤسسات التعليمية في فلسطي</w:t>
      </w:r>
      <w:r w:rsidRPr="00C25B3F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ن </w:t>
      </w:r>
    </w:p>
    <w:p w:rsidR="00C25B3F" w:rsidRDefault="00C25B3F" w:rsidP="00C25B3F">
      <w:pPr>
        <w:ind w:left="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بلغ مجموع كمية النفايات الناتجة في المؤسسات التعليمية في فلسطين </w:t>
      </w:r>
      <w:r>
        <w:rPr>
          <w:rFonts w:cs="Simplified Arabic"/>
        </w:rPr>
        <w:t>86.9</w:t>
      </w:r>
      <w:r w:rsidRPr="00D20E8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طن/يوم، بواقع 61.1 طن/يوم في الضفة الغربية، و25.8 طن/يوم في قطاع غزة، وبلغ المعدل اليومي لكمية النفايات الناتجة في كل مدرسة في فلسطين 24.0 كيلوغرام/يوم، في حين بلغ ذلك المعدل في كل مؤسسة من مؤسسات التعليم العالي 243.0 كيلوغرام/يوم.</w:t>
      </w:r>
    </w:p>
    <w:p w:rsidR="00B35D1A" w:rsidRDefault="00B35D1A"/>
    <w:sectPr w:rsidR="00B35D1A" w:rsidSect="00C25B3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C0" w:rsidRDefault="001A1CC0" w:rsidP="00C25B3F">
      <w:r>
        <w:separator/>
      </w:r>
    </w:p>
  </w:endnote>
  <w:endnote w:type="continuationSeparator" w:id="0">
    <w:p w:rsidR="001A1CC0" w:rsidRDefault="001A1CC0" w:rsidP="00C2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31" w:rsidRDefault="008531E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C116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31B31" w:rsidRDefault="001A1CC0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31" w:rsidRDefault="008531E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EC116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F5A4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31B31" w:rsidRDefault="001A1CC0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C0" w:rsidRDefault="001A1CC0" w:rsidP="00C25B3F">
      <w:r>
        <w:separator/>
      </w:r>
    </w:p>
  </w:footnote>
  <w:footnote w:type="continuationSeparator" w:id="0">
    <w:p w:rsidR="001A1CC0" w:rsidRDefault="001A1CC0" w:rsidP="00C25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25B3F"/>
    <w:rsid w:val="001A1CC0"/>
    <w:rsid w:val="005A1BF3"/>
    <w:rsid w:val="005E7849"/>
    <w:rsid w:val="008531E2"/>
    <w:rsid w:val="00873655"/>
    <w:rsid w:val="008F5A45"/>
    <w:rsid w:val="00996590"/>
    <w:rsid w:val="009B3951"/>
    <w:rsid w:val="009F17A4"/>
    <w:rsid w:val="00B35D1A"/>
    <w:rsid w:val="00C25B3F"/>
    <w:rsid w:val="00E60AE2"/>
    <w:rsid w:val="00EC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5B3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25B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C25B3F"/>
    <w:pPr>
      <w:jc w:val="lowKashida"/>
    </w:pPr>
    <w:rPr>
      <w:rFonts w:cs="Simplified Arabic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25B3F"/>
    <w:rPr>
      <w:rFonts w:ascii="Times New Roman" w:eastAsia="Times New Roman" w:hAnsi="Times New Roman" w:cs="Simplified Arabic"/>
      <w:sz w:val="24"/>
      <w:szCs w:val="20"/>
    </w:rPr>
  </w:style>
  <w:style w:type="paragraph" w:styleId="Header">
    <w:name w:val="header"/>
    <w:basedOn w:val="Normal"/>
    <w:link w:val="HeaderChar"/>
    <w:uiPriority w:val="99"/>
    <w:rsid w:val="00C25B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B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C25B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B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C25B3F"/>
  </w:style>
  <w:style w:type="character" w:styleId="Hyperlink">
    <w:name w:val="Hyperlink"/>
    <w:basedOn w:val="DefaultParagraphFont"/>
    <w:uiPriority w:val="99"/>
    <w:unhideWhenUsed/>
    <w:rsid w:val="00C25B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8470818026082608"/>
          <c:y val="5.2419354838710776E-2"/>
          <c:w val="0.80353288046976257"/>
          <c:h val="0.7607424778584659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ضجيج</c:v>
                </c:pt>
              </c:strCache>
            </c:strRef>
          </c:tx>
          <c:spPr>
            <a:solidFill>
              <a:schemeClr val="bg1"/>
            </a:solidFill>
            <a:ln w="12111">
              <a:solidFill>
                <a:srgbClr val="000000"/>
              </a:solidFill>
              <a:prstDash val="solid"/>
            </a:ln>
          </c:spPr>
          <c:dLbls>
            <c:dLbl>
              <c:idx val="0"/>
              <c:numFmt formatCode="#,##0.0" sourceLinked="0"/>
              <c:spPr>
                <a:noFill/>
              </c:spPr>
              <c:txPr>
                <a:bodyPr/>
                <a:lstStyle/>
                <a:p>
                  <a:pPr>
                    <a:defRPr baseline="0"/>
                  </a:pPr>
                  <a:endParaRPr lang="ar-SA"/>
                </a:p>
              </c:txPr>
            </c:dLbl>
            <c:dLbl>
              <c:idx val="2"/>
              <c:layout>
                <c:manualLayout>
                  <c:x val="-3.2388663967611371E-2"/>
                  <c:y val="5.420054200542008E-3"/>
                </c:manualLayout>
              </c:layout>
              <c:dLblPos val="outEnd"/>
              <c:showVal val="1"/>
            </c:dLbl>
            <c:numFmt formatCode="#,##0.0" sourceLinked="0"/>
            <c:txPr>
              <a:bodyPr/>
              <a:lstStyle/>
              <a:p>
                <a:pPr>
                  <a:defRPr baseline="0"/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التعليم العالي</c:v>
                </c:pt>
                <c:pt idx="1">
                  <c:v>المدارس</c:v>
                </c:pt>
                <c:pt idx="2">
                  <c:v>رياض الأطفال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58.7</c:v>
                </c:pt>
                <c:pt idx="1">
                  <c:v>41.3</c:v>
                </c:pt>
                <c:pt idx="2">
                  <c:v>27.6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روائح</c:v>
                </c:pt>
              </c:strCache>
            </c:strRef>
          </c:tx>
          <c:dLbls>
            <c:dLbl>
              <c:idx val="0"/>
              <c:layout>
                <c:manualLayout>
                  <c:x val="3.4403891625806454E-2"/>
                  <c:y val="0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2.457420830414744E-2"/>
                  <c:y val="0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2.9489049964976973E-2"/>
                  <c:y val="-2.1546669109753603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numFmt formatCode="#,##0.0" sourceLinked="0"/>
            <c:showVal val="1"/>
          </c:dLbls>
          <c:cat>
            <c:strRef>
              <c:f>Sheet1!$B$1:$D$1</c:f>
              <c:strCache>
                <c:ptCount val="3"/>
                <c:pt idx="0">
                  <c:v>التعليم العالي</c:v>
                </c:pt>
                <c:pt idx="1">
                  <c:v>المدارس</c:v>
                </c:pt>
                <c:pt idx="2">
                  <c:v>رياض الأطفال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41.3</c:v>
                </c:pt>
                <c:pt idx="1">
                  <c:v>36.5</c:v>
                </c:pt>
                <c:pt idx="2">
                  <c:v>22.5</c:v>
                </c:pt>
              </c:numCache>
            </c:numRef>
          </c:val>
        </c:ser>
        <c:dLbls>
          <c:showVal val="1"/>
        </c:dLbls>
        <c:axId val="129537536"/>
        <c:axId val="129539456"/>
      </c:barChart>
      <c:catAx>
        <c:axId val="1295375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5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القطاع</a:t>
                </a:r>
              </a:p>
            </c:rich>
          </c:tx>
          <c:layout>
            <c:manualLayout>
              <c:xMode val="edge"/>
              <c:yMode val="edge"/>
              <c:x val="0.46587055160615048"/>
              <c:y val="0.92555064763246053"/>
            </c:manualLayout>
          </c:layout>
          <c:spPr>
            <a:noFill/>
            <a:ln w="24221">
              <a:noFill/>
            </a:ln>
          </c:spPr>
        </c:title>
        <c:numFmt formatCode="General" sourceLinked="1"/>
        <c:tickLblPos val="nextTo"/>
        <c:spPr>
          <a:ln w="30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9539456"/>
        <c:crosses val="autoZero"/>
        <c:auto val="1"/>
        <c:lblAlgn val="ctr"/>
        <c:lblOffset val="100"/>
        <c:tickLblSkip val="1"/>
        <c:tickMarkSkip val="1"/>
      </c:catAx>
      <c:valAx>
        <c:axId val="129539456"/>
        <c:scaling>
          <c:orientation val="minMax"/>
          <c:max val="60"/>
          <c:min val="0"/>
        </c:scaling>
        <c:axPos val="l"/>
        <c:title>
          <c:tx>
            <c:rich>
              <a:bodyPr/>
              <a:lstStyle/>
              <a:p>
                <a:pPr>
                  <a:defRPr sz="85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  <c:layout>
            <c:manualLayout>
              <c:xMode val="edge"/>
              <c:yMode val="edge"/>
              <c:x val="2.1112138310646392E-3"/>
              <c:y val="0.33155453129334533"/>
            </c:manualLayout>
          </c:layout>
          <c:spPr>
            <a:noFill/>
            <a:ln w="24221">
              <a:noFill/>
            </a:ln>
          </c:spPr>
        </c:title>
        <c:numFmt formatCode="General" sourceLinked="1"/>
        <c:tickLblPos val="nextTo"/>
        <c:spPr>
          <a:ln w="30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9537536"/>
        <c:crosses val="autoZero"/>
        <c:crossBetween val="between"/>
        <c:majorUnit val="10"/>
        <c:minorUnit val="1"/>
      </c:valAx>
      <c:spPr>
        <a:solidFill>
          <a:srgbClr val="FFFFFF"/>
        </a:solidFill>
        <a:ln w="24221">
          <a:noFill/>
        </a:ln>
      </c:spPr>
    </c:plotArea>
    <c:legend>
      <c:legendPos val="t"/>
      <c:layout>
        <c:manualLayout>
          <c:xMode val="edge"/>
          <c:yMode val="edge"/>
          <c:x val="0.60849288575770044"/>
          <c:y val="5.420054200542008E-3"/>
          <c:w val="0.33606851775107155"/>
          <c:h val="7.0454302968226593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85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902116256446989"/>
          <c:y val="0.17525020438019154"/>
          <c:w val="0.83097883743553236"/>
          <c:h val="0.6553164187809856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شبكة مياه عامة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المدارس</c:v>
                </c:pt>
                <c:pt idx="1">
                  <c:v>رياض الأطفال</c:v>
                </c:pt>
                <c:pt idx="2">
                  <c:v>التعليم العالي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95.9</c:v>
                </c:pt>
                <c:pt idx="1">
                  <c:v>95.2</c:v>
                </c:pt>
                <c:pt idx="2" formatCode="0.0">
                  <c:v>93.7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شراء تنكات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Sheet1!$A$2:$A$4</c:f>
              <c:strCache>
                <c:ptCount val="3"/>
                <c:pt idx="0">
                  <c:v>المدارس</c:v>
                </c:pt>
                <c:pt idx="1">
                  <c:v>رياض الأطفال</c:v>
                </c:pt>
                <c:pt idx="2">
                  <c:v>التعليم العالي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 formatCode="General">
                  <c:v>33.9</c:v>
                </c:pt>
                <c:pt idx="1">
                  <c:v>47</c:v>
                </c:pt>
                <c:pt idx="2">
                  <c:v>47.6</c:v>
                </c:pt>
              </c:numCache>
            </c:numRef>
          </c:val>
        </c:ser>
        <c:axId val="129307392"/>
        <c:axId val="129309312"/>
      </c:barChart>
      <c:catAx>
        <c:axId val="129307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4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القطاع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4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9309312"/>
        <c:crosses val="autoZero"/>
        <c:auto val="1"/>
        <c:lblAlgn val="ctr"/>
        <c:lblOffset val="100"/>
      </c:catAx>
      <c:valAx>
        <c:axId val="129309312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sz="84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  <c:layout>
            <c:manualLayout>
              <c:xMode val="edge"/>
              <c:yMode val="edge"/>
              <c:x val="0"/>
              <c:y val="0.393518394946394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84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9307392"/>
        <c:crosses val="autoZero"/>
        <c:crossBetween val="between"/>
        <c:majorUnit val="20"/>
      </c:valAx>
      <c:spPr>
        <a:noFill/>
        <a:ln w="23720">
          <a:noFill/>
        </a:ln>
      </c:spPr>
    </c:plotArea>
    <c:legend>
      <c:legendPos val="t"/>
      <c:layout>
        <c:manualLayout>
          <c:xMode val="edge"/>
          <c:yMode val="edge"/>
          <c:x val="0.32708557811852512"/>
          <c:y val="2.3727034120734871E-2"/>
          <c:w val="0.56393631717088089"/>
          <c:h val="0.10104453045064297"/>
        </c:manualLayout>
      </c:layout>
      <c:spPr>
        <a:ln>
          <a:solidFill>
            <a:srgbClr val="000000"/>
          </a:solidFill>
        </a:ln>
      </c:spPr>
    </c:legend>
    <c:plotVisOnly val="1"/>
    <c:dispBlanksAs val="gap"/>
  </c:chart>
  <c:spPr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20582430806257521"/>
          <c:y val="0.17525020438019179"/>
          <c:w val="0.79417569193742477"/>
          <c:h val="0.6702417238167820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شبكة صرف صحي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التعليم العالي</c:v>
                </c:pt>
                <c:pt idx="1">
                  <c:v>رياض الأطفال</c:v>
                </c:pt>
                <c:pt idx="2">
                  <c:v>المدارس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 formatCode="0.0">
                  <c:v>90.5</c:v>
                </c:pt>
                <c:pt idx="1">
                  <c:v>58.6</c:v>
                </c:pt>
                <c:pt idx="2">
                  <c:v>48.1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حفرة امتصاصية</c:v>
                </c:pt>
              </c:strCache>
            </c:strRef>
          </c:tx>
          <c:dLbls>
            <c:dLbl>
              <c:idx val="1"/>
              <c:layout>
                <c:manualLayout>
                  <c:x val="3.43602717530344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4.743083003952582E-2"/>
                  <c:y val="2.12483399734396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التعليم العالي</c:v>
                </c:pt>
                <c:pt idx="1">
                  <c:v>رياض الأطفال</c:v>
                </c:pt>
                <c:pt idx="2">
                  <c:v>المدارس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 formatCode="0.0">
                  <c:v>7.9</c:v>
                </c:pt>
                <c:pt idx="1">
                  <c:v>37.5</c:v>
                </c:pt>
                <c:pt idx="2">
                  <c:v>39.4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حفرة صماء</c:v>
                </c:pt>
              </c:strCache>
            </c:strRef>
          </c:tx>
          <c:dLbls>
            <c:dLbl>
              <c:idx val="2"/>
              <c:layout>
                <c:manualLayout>
                  <c:x val="1.5037593984962405E-2"/>
                  <c:y val="-5.312084993359892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ar-SA"/>
                </a:p>
              </c:txPr>
              <c:dLblPos val="outEnd"/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التعليم العالي</c:v>
                </c:pt>
                <c:pt idx="1">
                  <c:v>رياض الأطفال</c:v>
                </c:pt>
                <c:pt idx="2">
                  <c:v>المدارس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 formatCode="0.0">
                  <c:v>1.6</c:v>
                </c:pt>
                <c:pt idx="1">
                  <c:v>3.7</c:v>
                </c:pt>
                <c:pt idx="2">
                  <c:v>12.3</c:v>
                </c:pt>
              </c:numCache>
            </c:numRef>
          </c:val>
        </c:ser>
        <c:axId val="129693952"/>
        <c:axId val="129737088"/>
      </c:barChart>
      <c:catAx>
        <c:axId val="129693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4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القطاع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842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9737088"/>
        <c:crosses val="autoZero"/>
        <c:auto val="1"/>
        <c:lblAlgn val="ctr"/>
        <c:lblOffset val="100"/>
      </c:catAx>
      <c:valAx>
        <c:axId val="129737088"/>
        <c:scaling>
          <c:orientation val="minMax"/>
          <c:max val="100"/>
        </c:scaling>
        <c:axPos val="l"/>
        <c:title>
          <c:tx>
            <c:rich>
              <a:bodyPr/>
              <a:lstStyle/>
              <a:p>
                <a:pPr>
                  <a:defRPr sz="84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  <c:layout>
            <c:manualLayout>
              <c:xMode val="edge"/>
              <c:yMode val="edge"/>
              <c:x val="0"/>
              <c:y val="0.45171824452176029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842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9693952"/>
        <c:crosses val="autoZero"/>
        <c:crossBetween val="between"/>
        <c:majorUnit val="20"/>
      </c:valAx>
      <c:spPr>
        <a:noFill/>
        <a:ln w="23750">
          <a:noFill/>
        </a:ln>
      </c:spPr>
    </c:plotArea>
    <c:legend>
      <c:legendPos val="t"/>
      <c:layout>
        <c:manualLayout>
          <c:xMode val="edge"/>
          <c:yMode val="edge"/>
          <c:x val="0.38177856800158089"/>
          <c:y val="8.1059634987487045E-3"/>
          <c:w val="0.58958823695425078"/>
          <c:h val="0.21070825449144484"/>
        </c:manualLayout>
      </c:layout>
      <c:spPr>
        <a:ln>
          <a:solidFill>
            <a:srgbClr val="000000"/>
          </a:solidFill>
        </a:ln>
      </c:sp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6</cp:revision>
  <cp:lastPrinted>2016-09-28T09:39:00Z</cp:lastPrinted>
  <dcterms:created xsi:type="dcterms:W3CDTF">2016-09-28T08:54:00Z</dcterms:created>
  <dcterms:modified xsi:type="dcterms:W3CDTF">2016-09-28T09:44:00Z</dcterms:modified>
</cp:coreProperties>
</file>