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2" w:rsidRDefault="00415652" w:rsidP="0041565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  <w:rtl/>
        </w:rPr>
      </w:pPr>
    </w:p>
    <w:p w:rsidR="0059633D" w:rsidRDefault="00415652" w:rsidP="0041565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  <w:rtl/>
        </w:rPr>
      </w:pPr>
      <w:r w:rsidRPr="00406AF2">
        <w:rPr>
          <w:rFonts w:ascii="Times New Roman" w:hAnsi="Times New Roman" w:cs="Simplified Arabic" w:hint="cs"/>
          <w:b/>
          <w:bCs/>
          <w:sz w:val="32"/>
          <w:szCs w:val="32"/>
          <w:rtl/>
        </w:rPr>
        <w:t xml:space="preserve">الإحصاء الفلسطيني ووزارة النقل والمواصلات يصدران بياناً صحفياً مشتركاً </w:t>
      </w:r>
    </w:p>
    <w:p w:rsidR="00415652" w:rsidRPr="00406AF2" w:rsidRDefault="00415652" w:rsidP="0059633D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32"/>
          <w:szCs w:val="32"/>
        </w:rPr>
      </w:pPr>
      <w:r w:rsidRPr="00406AF2">
        <w:rPr>
          <w:rFonts w:ascii="Times New Roman" w:hAnsi="Times New Roman" w:cs="Simplified Arabic" w:hint="cs"/>
          <w:b/>
          <w:bCs/>
          <w:sz w:val="32"/>
          <w:szCs w:val="32"/>
          <w:rtl/>
        </w:rPr>
        <w:t>حول واقع قطاع النقل والمواصلات في فلسطين</w:t>
      </w:r>
    </w:p>
    <w:p w:rsidR="00415652" w:rsidRDefault="00415652" w:rsidP="00415652">
      <w:pPr>
        <w:bidi/>
        <w:spacing w:after="0" w:line="240" w:lineRule="auto"/>
        <w:jc w:val="center"/>
        <w:rPr>
          <w:rFonts w:ascii="Times New Roman" w:hAnsi="Times New Roman" w:cs="Simplified Arabic"/>
          <w:sz w:val="26"/>
          <w:szCs w:val="26"/>
        </w:rPr>
      </w:pPr>
    </w:p>
    <w:p w:rsidR="00415652" w:rsidRPr="00406AF2" w:rsidRDefault="00415652" w:rsidP="0041565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406AF2">
        <w:rPr>
          <w:rFonts w:ascii="Simplified Arabic" w:hAnsi="Simplified Arabic" w:cs="Simplified Arabic"/>
          <w:b/>
          <w:bCs/>
          <w:sz w:val="30"/>
          <w:szCs w:val="30"/>
          <w:rtl/>
        </w:rPr>
        <w:t>حوالي 11 مليون دولار أمريكي خسائر قطاع النقل والمواصلات المباشرة والأنشطة المتعلقة بالنقل بشكل غير مباشر في الضفة الغربية جراء جائحة كورونا أسبوعياً</w:t>
      </w:r>
    </w:p>
    <w:p w:rsidR="00953085" w:rsidRDefault="00953085" w:rsidP="00B3484F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</w:rPr>
      </w:pPr>
    </w:p>
    <w:p w:rsidR="003248B3" w:rsidRDefault="003248B3" w:rsidP="003248B3">
      <w:pPr>
        <w:bidi/>
        <w:spacing w:after="0" w:line="240" w:lineRule="auto"/>
        <w:jc w:val="both"/>
        <w:rPr>
          <w:rFonts w:ascii="Times New Roman" w:hAnsi="Times New Roman" w:cs="Simplified Arabic"/>
          <w:sz w:val="26"/>
          <w:szCs w:val="26"/>
        </w:rPr>
      </w:pPr>
    </w:p>
    <w:p w:rsidR="00415652" w:rsidRDefault="003248B3" w:rsidP="002F1A9D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على إثر حالة الطوارئ المعلنة منذ تاريخ 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>0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>5/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>0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3/2020 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جراء جائحة كورونا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>، والتي منعت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كلياً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مركبات النقل العام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للركاب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 التنقل بين المحافظات وبين مراكز المدن والبلدات والقرى التابعة لها، 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والتي عادت لتسمح جزئياً </w:t>
      </w:r>
      <w:r w:rsidR="007A55E2"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أو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كلياً بالحركة منذ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منتصف أيار، ما أدى إلى خسائر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قطاع النقل والمواصلات في الضفة الغربية بشكل مباشر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قدر </w:t>
      </w:r>
      <w:r w:rsidRPr="00DD27E4">
        <w:rPr>
          <w:rFonts w:ascii="Simplified Arabic" w:hAnsi="Simplified Arabic" w:cs="Simplified Arabic"/>
          <w:sz w:val="26"/>
          <w:szCs w:val="26"/>
          <w:rtl/>
          <w:lang w:bidi="ar-JO"/>
        </w:rPr>
        <w:t>بحوالي 4 مليون دولار أمريكي أسبوعياً</w:t>
      </w:r>
      <w:r w:rsidRPr="00DD27E4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أما الأنشطة المتعلقة بالنقل بشكل غير مباشر مثل بيع قطع الغيار، تأجير المركبات، صيانة وإصلاح المركبات وغيرها فقد بلغت خسائرها حوالي 7 مليون دولار أمريكي أسبوعياً.</w:t>
      </w:r>
    </w:p>
    <w:p w:rsidR="00415652" w:rsidRP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E6392E" w:rsidRPr="00415652" w:rsidRDefault="007A7194" w:rsidP="00415652">
      <w:p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قطاع النقل</w:t>
      </w:r>
      <w:r w:rsidR="0019625B"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والمواصلات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72F72"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أحد 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روافد الاقتصاد الفلسطيني</w:t>
      </w:r>
    </w:p>
    <w:p w:rsidR="003D6C7F" w:rsidRDefault="007A7194" w:rsidP="00A21FD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94388">
        <w:rPr>
          <w:rFonts w:ascii="Simplified Arabic" w:hAnsi="Simplified Arabic" w:cs="Simplified Arabic" w:hint="cs"/>
          <w:sz w:val="26"/>
          <w:szCs w:val="26"/>
          <w:rtl/>
        </w:rPr>
        <w:t>يشكل ق</w:t>
      </w:r>
      <w:r w:rsidR="000A54BE">
        <w:rPr>
          <w:rFonts w:ascii="Simplified Arabic" w:hAnsi="Simplified Arabic" w:cs="Simplified Arabic" w:hint="cs"/>
          <w:sz w:val="26"/>
          <w:szCs w:val="26"/>
          <w:rtl/>
        </w:rPr>
        <w:t>طاع النقل</w:t>
      </w:r>
      <w:r w:rsidR="0019625B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0A54BE">
        <w:rPr>
          <w:rFonts w:ascii="Simplified Arabic" w:hAnsi="Simplified Arabic" w:cs="Simplified Arabic" w:hint="cs"/>
          <w:sz w:val="26"/>
          <w:szCs w:val="26"/>
          <w:rtl/>
        </w:rPr>
        <w:t xml:space="preserve"> في فلسطين ما نسبته 1.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0A54BE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E94388">
        <w:rPr>
          <w:rFonts w:ascii="Simplified Arabic" w:hAnsi="Simplified Arabic" w:cs="Simplified Arabic" w:hint="cs"/>
          <w:sz w:val="26"/>
          <w:szCs w:val="26"/>
          <w:rtl/>
        </w:rPr>
        <w:t xml:space="preserve">من الناتج المحلي الإجمالي بقيمة مضافة بلغت </w:t>
      </w:r>
      <w:r w:rsidR="00905F2D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A21FD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>مليون دولار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 أمريكي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 xml:space="preserve"> للعام 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 xml:space="preserve"> بمعدل نمو بلغ 1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 xml:space="preserve">% عن العام 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>، وتتشكل القيمة المضافة لقطاع النقل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 xml:space="preserve"> من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 مكونين رئيسيين وهما قطاع النقل 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>داخل المنشآت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 xml:space="preserve"> والذي يشمل النقل البري</w:t>
      </w:r>
      <w:r w:rsidR="00DA52CD">
        <w:rPr>
          <w:rFonts w:ascii="Simplified Arabic" w:hAnsi="Simplified Arabic" w:cs="Simplified Arabic" w:hint="cs"/>
          <w:sz w:val="26"/>
          <w:szCs w:val="26"/>
          <w:rtl/>
        </w:rPr>
        <w:t xml:space="preserve"> للرك</w:t>
      </w:r>
      <w:r w:rsidR="00E94388">
        <w:rPr>
          <w:rFonts w:ascii="Simplified Arabic" w:hAnsi="Simplified Arabic" w:cs="Simplified Arabic" w:hint="cs"/>
          <w:sz w:val="26"/>
          <w:szCs w:val="26"/>
          <w:rtl/>
        </w:rPr>
        <w:t>اب</w:t>
      </w:r>
      <w:r w:rsidR="00DA52CD">
        <w:rPr>
          <w:rFonts w:ascii="Simplified Arabic" w:hAnsi="Simplified Arabic" w:cs="Simplified Arabic" w:hint="cs"/>
          <w:sz w:val="26"/>
          <w:szCs w:val="26"/>
          <w:rtl/>
        </w:rPr>
        <w:t xml:space="preserve"> والبضائع التاب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ع لمنشآت ذات عن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>وان ثابت، والنقل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>خارج المنشآت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DA52CD">
        <w:rPr>
          <w:rFonts w:ascii="Simplified Arabic" w:hAnsi="Simplified Arabic" w:cs="Simplified Arabic" w:hint="cs"/>
          <w:sz w:val="26"/>
          <w:szCs w:val="26"/>
          <w:rtl/>
        </w:rPr>
        <w:t xml:space="preserve"> والذي يشمل النقل البري للركاب والبضائع التابع للأفرا</w:t>
      </w:r>
      <w:r w:rsidR="00DA52CD">
        <w:rPr>
          <w:rFonts w:ascii="Simplified Arabic" w:hAnsi="Simplified Arabic" w:cs="Simplified Arabic" w:hint="eastAsia"/>
          <w:sz w:val="26"/>
          <w:szCs w:val="26"/>
          <w:rtl/>
        </w:rPr>
        <w:t>د</w:t>
      </w:r>
      <w:r w:rsidR="00DA52CD">
        <w:rPr>
          <w:rFonts w:ascii="Simplified Arabic" w:hAnsi="Simplified Arabic" w:cs="Simplified Arabic" w:hint="cs"/>
          <w:sz w:val="26"/>
          <w:szCs w:val="26"/>
          <w:rtl/>
        </w:rPr>
        <w:t xml:space="preserve"> وليس لمنشأة ذات عنوان ثابت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، وتعتبر وحدة النشاط 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الاقتصادي ضمن قطاع النقل 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داخل المنشآت 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هي </w:t>
      </w:r>
      <w:r w:rsidR="005F1A2C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>المنشأة</w:t>
      </w:r>
      <w:r w:rsidR="005F1A2C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 حيث بلغ عدد المنشآت في قطاع النقل 7</w:t>
      </w:r>
      <w:r w:rsidR="00315DC8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 xml:space="preserve"> منشأة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فيما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 تعتبر 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>المركبة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"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 هي وحدة 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النشاط الاقتصادي ضمن قطاع النقل خارج المنشآـت 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حيث بلغ 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>عدد المركبات العام</w:t>
      </w:r>
      <w:r w:rsidR="00C36364">
        <w:rPr>
          <w:rFonts w:ascii="Simplified Arabic" w:hAnsi="Simplified Arabic" w:cs="Simplified Arabic" w:hint="cs"/>
          <w:sz w:val="26"/>
          <w:szCs w:val="26"/>
          <w:rtl/>
        </w:rPr>
        <w:t>لة</w:t>
      </w:r>
      <w:r w:rsidR="00315DC8">
        <w:rPr>
          <w:rFonts w:ascii="Simplified Arabic" w:hAnsi="Simplified Arabic" w:cs="Simplified Arabic"/>
          <w:sz w:val="26"/>
          <w:szCs w:val="26"/>
        </w:rPr>
        <w:t>10</w:t>
      </w:r>
      <w:r w:rsidR="007C3076">
        <w:rPr>
          <w:rFonts w:ascii="Simplified Arabic" w:hAnsi="Simplified Arabic" w:cs="Simplified Arabic"/>
          <w:sz w:val="26"/>
          <w:szCs w:val="26"/>
        </w:rPr>
        <w:t>,</w:t>
      </w:r>
      <w:r w:rsidR="00315DC8">
        <w:rPr>
          <w:rFonts w:ascii="Simplified Arabic" w:hAnsi="Simplified Arabic" w:cs="Simplified Arabic"/>
          <w:sz w:val="26"/>
          <w:szCs w:val="26"/>
        </w:rPr>
        <w:t>979</w:t>
      </w:r>
      <w:r w:rsidR="00C36364">
        <w:rPr>
          <w:rFonts w:ascii="Simplified Arabic" w:hAnsi="Simplified Arabic" w:cs="Simplified Arabic"/>
          <w:sz w:val="26"/>
          <w:szCs w:val="26"/>
        </w:rPr>
        <w:t xml:space="preserve"> </w:t>
      </w:r>
      <w:r w:rsidR="005E2A82">
        <w:rPr>
          <w:rFonts w:ascii="Simplified Arabic" w:hAnsi="Simplified Arabic" w:cs="Simplified Arabic" w:hint="cs"/>
          <w:sz w:val="26"/>
          <w:szCs w:val="26"/>
          <w:rtl/>
        </w:rPr>
        <w:t xml:space="preserve"> مركبة.</w:t>
      </w:r>
    </w:p>
    <w:p w:rsidR="00DA52CD" w:rsidRPr="00415652" w:rsidRDefault="00DA52CD" w:rsidP="00415652">
      <w:pPr>
        <w:bidi/>
        <w:spacing w:after="0" w:line="240" w:lineRule="auto"/>
        <w:rPr>
          <w:rFonts w:ascii="Times New Roman" w:hAnsi="Times New Roman" w:cs="Simplified Arabic"/>
          <w:b/>
          <w:bCs/>
          <w:sz w:val="16"/>
          <w:szCs w:val="16"/>
          <w:rtl/>
        </w:rPr>
      </w:pPr>
    </w:p>
    <w:p w:rsidR="007C3076" w:rsidRPr="00415652" w:rsidRDefault="007C3076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F154C2" w:rsidRPr="00415652">
        <w:rPr>
          <w:rFonts w:ascii="Simplified Arabic" w:hAnsi="Simplified Arabic" w:cs="Simplified Arabic"/>
          <w:b/>
          <w:bCs/>
          <w:sz w:val="26"/>
          <w:szCs w:val="26"/>
        </w:rPr>
        <w:t>51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% نسبة مساهمة قطاع النقل خارج المنشآت من إجمالي القيمة المضافة لقطاع النقل والمواصلات في فلسطين</w:t>
      </w:r>
    </w:p>
    <w:p w:rsidR="00DA52CD" w:rsidRDefault="00DA52CD" w:rsidP="00A21FD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بلغت نسبة مساهمة 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القطاع خارج المنشآت </w:t>
      </w:r>
      <w:r w:rsidR="00F154C2">
        <w:rPr>
          <w:rFonts w:ascii="Simplified Arabic" w:hAnsi="Simplified Arabic" w:cs="Simplified Arabic"/>
          <w:sz w:val="26"/>
          <w:szCs w:val="26"/>
        </w:rPr>
        <w:t>51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>% من مجمل القيمة المضافة لقطاع النقل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 في فلسطين</w:t>
      </w:r>
      <w:r w:rsidR="00C21D1C">
        <w:rPr>
          <w:rFonts w:ascii="Simplified Arabic" w:hAnsi="Simplified Arabic" w:cs="Simplified Arabic" w:hint="cs"/>
          <w:sz w:val="26"/>
          <w:szCs w:val="26"/>
          <w:rtl/>
        </w:rPr>
        <w:t xml:space="preserve"> للعام 2019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، فيما بلغت نسبة مساهمة القطاع داخل المنشآت </w:t>
      </w:r>
      <w:r w:rsidR="00F154C2">
        <w:rPr>
          <w:rFonts w:ascii="Simplified Arabic" w:hAnsi="Simplified Arabic" w:cs="Simplified Arabic"/>
          <w:sz w:val="26"/>
          <w:szCs w:val="26"/>
        </w:rPr>
        <w:t>49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>% للعام نفسه، وه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ذا ما </w:t>
      </w:r>
      <w:r w:rsidR="00F154C2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يشير إلى 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أهمية </w:t>
      </w:r>
      <w:r w:rsidR="00F154C2">
        <w:rPr>
          <w:rFonts w:ascii="Simplified Arabic" w:hAnsi="Simplified Arabic" w:cs="Simplified Arabic" w:hint="cs"/>
          <w:sz w:val="26"/>
          <w:szCs w:val="26"/>
          <w:rtl/>
        </w:rPr>
        <w:t>القطاعين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 وتأثيره</w:t>
      </w:r>
      <w:r w:rsidR="00F154C2">
        <w:rPr>
          <w:rFonts w:ascii="Simplified Arabic" w:hAnsi="Simplified Arabic" w:cs="Simplified Arabic" w:hint="cs"/>
          <w:sz w:val="26"/>
          <w:szCs w:val="26"/>
          <w:rtl/>
        </w:rPr>
        <w:t>ما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36364">
        <w:rPr>
          <w:rFonts w:ascii="Simplified Arabic" w:hAnsi="Simplified Arabic" w:cs="Simplified Arabic" w:hint="cs"/>
          <w:sz w:val="26"/>
          <w:szCs w:val="26"/>
          <w:rtl/>
        </w:rPr>
        <w:t xml:space="preserve">المتقارب 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>على مساهمة قطاع النقل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351AC2">
        <w:rPr>
          <w:rFonts w:ascii="Simplified Arabic" w:hAnsi="Simplified Arabic" w:cs="Simplified Arabic" w:hint="cs"/>
          <w:sz w:val="26"/>
          <w:szCs w:val="26"/>
          <w:rtl/>
        </w:rPr>
        <w:t xml:space="preserve"> بشكل عام</w:t>
      </w:r>
      <w:r w:rsidR="00ED5EF9">
        <w:rPr>
          <w:rFonts w:ascii="Simplified Arabic" w:hAnsi="Simplified Arabic" w:cs="Simplified Arabic" w:hint="cs"/>
          <w:sz w:val="26"/>
          <w:szCs w:val="26"/>
          <w:rtl/>
        </w:rPr>
        <w:t xml:space="preserve"> في الناتج المحلي الإجمالي.</w:t>
      </w: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F223F" w:rsidRPr="00415652" w:rsidRDefault="00DF223F" w:rsidP="0041565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القيمة المضافة لقطاع النقل والمواصلات في فلسطين (2010-</w:t>
      </w:r>
      <w:r w:rsidR="004E2863" w:rsidRPr="00415652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2019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)</w:t>
      </w:r>
    </w:p>
    <w:p w:rsidR="00351AC2" w:rsidRPr="00415652" w:rsidRDefault="00DF223F" w:rsidP="00DF223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415652">
        <w:rPr>
          <w:rFonts w:ascii="Simplified Arabic" w:hAnsi="Simplified Arabic" w:cs="Simplified Arabic" w:hint="cs"/>
          <w:b/>
          <w:bCs/>
          <w:rtl/>
        </w:rPr>
        <w:t>القيمة بالألف دولار أمريكي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456"/>
      </w:tblGrid>
      <w:tr w:rsidR="00351AC2" w:rsidTr="007A55E2">
        <w:trPr>
          <w:jc w:val="center"/>
        </w:trPr>
        <w:tc>
          <w:tcPr>
            <w:tcW w:w="9456" w:type="dxa"/>
          </w:tcPr>
          <w:p w:rsidR="00351AC2" w:rsidRDefault="007A55E2" w:rsidP="00351AC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7A55E2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5486400" cy="2801620"/>
                  <wp:effectExtent l="0" t="0" r="0" b="0"/>
                  <wp:docPr id="4" name="Chart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51AC2" w:rsidRPr="00415652" w:rsidRDefault="00351AC2" w:rsidP="00415652">
      <w:pPr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</w:rPr>
      </w:pPr>
    </w:p>
    <w:p w:rsidR="00351AC2" w:rsidRPr="00415652" w:rsidRDefault="007C3076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النقل خارج المنشآت يشغل حوالي </w:t>
      </w:r>
      <w:r w:rsidR="004E2863" w:rsidRPr="00415652">
        <w:rPr>
          <w:rFonts w:ascii="Simplified Arabic" w:hAnsi="Simplified Arabic" w:cs="Simplified Arabic"/>
          <w:b/>
          <w:bCs/>
          <w:sz w:val="26"/>
          <w:szCs w:val="26"/>
        </w:rPr>
        <w:t>67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% من إجمالي العاملين في قطاع النقل والمواصلات في فلسطين</w:t>
      </w:r>
    </w:p>
    <w:p w:rsidR="00415652" w:rsidRDefault="00351AC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بلغ عدد العاملين</w:t>
      </w:r>
      <w:r w:rsidR="00401E0D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النقل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للعام </w:t>
      </w:r>
      <w:r w:rsidR="004E2863">
        <w:rPr>
          <w:rFonts w:ascii="Simplified Arabic" w:hAnsi="Simplified Arabic" w:cs="Simplified Arabic"/>
          <w:sz w:val="26"/>
          <w:szCs w:val="26"/>
        </w:rPr>
        <w:t>2019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01E0D">
        <w:rPr>
          <w:rFonts w:ascii="Simplified Arabic" w:hAnsi="Simplified Arabic" w:cs="Simplified Arabic" w:hint="cs"/>
          <w:sz w:val="26"/>
          <w:szCs w:val="26"/>
          <w:rtl/>
        </w:rPr>
        <w:t xml:space="preserve">في فلسطين </w:t>
      </w:r>
      <w:r w:rsidR="00372F72">
        <w:rPr>
          <w:rFonts w:ascii="Simplified Arabic" w:hAnsi="Simplified Arabic" w:cs="Simplified Arabic"/>
          <w:sz w:val="26"/>
          <w:szCs w:val="26"/>
        </w:rPr>
        <w:t>1</w:t>
      </w:r>
      <w:r w:rsidR="004E2863">
        <w:rPr>
          <w:rFonts w:ascii="Simplified Arabic" w:hAnsi="Simplified Arabic" w:cs="Simplified Arabic"/>
          <w:sz w:val="26"/>
          <w:szCs w:val="26"/>
        </w:rPr>
        <w:t>7</w:t>
      </w:r>
      <w:r w:rsidR="00372F72">
        <w:rPr>
          <w:rFonts w:ascii="Simplified Arabic" w:hAnsi="Simplified Arabic" w:cs="Simplified Arabic"/>
          <w:sz w:val="26"/>
          <w:szCs w:val="26"/>
        </w:rPr>
        <w:t>,</w:t>
      </w:r>
      <w:r w:rsidR="004E2863">
        <w:rPr>
          <w:rFonts w:ascii="Simplified Arabic" w:hAnsi="Simplified Arabic" w:cs="Simplified Arabic"/>
          <w:sz w:val="26"/>
          <w:szCs w:val="26"/>
        </w:rPr>
        <w:t>413</w:t>
      </w:r>
      <w:r w:rsidR="00401E0D">
        <w:rPr>
          <w:rFonts w:ascii="Simplified Arabic" w:hAnsi="Simplified Arabic" w:cs="Simplified Arabic" w:hint="cs"/>
          <w:sz w:val="26"/>
          <w:szCs w:val="26"/>
          <w:rtl/>
        </w:rPr>
        <w:t xml:space="preserve"> عامل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، منهم </w:t>
      </w:r>
      <w:r w:rsidR="004E2863">
        <w:rPr>
          <w:rFonts w:ascii="Simplified Arabic" w:hAnsi="Simplified Arabic" w:cs="Simplified Arabic"/>
          <w:sz w:val="26"/>
          <w:szCs w:val="26"/>
        </w:rPr>
        <w:t>11</w:t>
      </w:r>
      <w:r w:rsidR="005F1A2C">
        <w:rPr>
          <w:rFonts w:ascii="Simplified Arabic" w:hAnsi="Simplified Arabic" w:cs="Simplified Arabic"/>
          <w:sz w:val="26"/>
          <w:szCs w:val="26"/>
        </w:rPr>
        <w:t>,</w:t>
      </w:r>
      <w:r w:rsidR="004E2863">
        <w:rPr>
          <w:rFonts w:ascii="Simplified Arabic" w:hAnsi="Simplified Arabic" w:cs="Simplified Arabic"/>
          <w:sz w:val="26"/>
          <w:szCs w:val="26"/>
        </w:rPr>
        <w:t>587</w:t>
      </w:r>
      <w:r w:rsidR="006470C1">
        <w:rPr>
          <w:rFonts w:ascii="Simplified Arabic" w:hAnsi="Simplified Arabic" w:cs="Simplified Arabic" w:hint="cs"/>
          <w:sz w:val="26"/>
          <w:szCs w:val="26"/>
          <w:rtl/>
        </w:rPr>
        <w:t xml:space="preserve"> عامل في قطاع النقل </w:t>
      </w:r>
      <w:r w:rsidR="0037000C">
        <w:rPr>
          <w:rFonts w:ascii="Simplified Arabic" w:hAnsi="Simplified Arabic" w:cs="Simplified Arabic" w:hint="cs"/>
          <w:sz w:val="26"/>
          <w:szCs w:val="26"/>
          <w:rtl/>
        </w:rPr>
        <w:t xml:space="preserve">خارج المنشآت 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 xml:space="preserve">بنسبة تشغيل للعاملين بلغت </w:t>
      </w:r>
      <w:r w:rsidR="004E2863">
        <w:rPr>
          <w:rFonts w:ascii="Simplified Arabic" w:hAnsi="Simplified Arabic" w:cs="Simplified Arabic"/>
          <w:sz w:val="26"/>
          <w:szCs w:val="26"/>
        </w:rPr>
        <w:t>67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>% من</w:t>
      </w:r>
      <w:r w:rsidR="007C3076">
        <w:rPr>
          <w:rFonts w:ascii="Simplified Arabic" w:hAnsi="Simplified Arabic" w:cs="Simplified Arabic" w:hint="cs"/>
          <w:sz w:val="26"/>
          <w:szCs w:val="26"/>
          <w:rtl/>
        </w:rPr>
        <w:t xml:space="preserve"> إجمالي 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>العاملين في قطاع النقل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401E0D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5F1A2C">
        <w:rPr>
          <w:rFonts w:ascii="Simplified Arabic" w:hAnsi="Simplified Arabic" w:cs="Simplified Arabic"/>
          <w:sz w:val="26"/>
          <w:szCs w:val="26"/>
        </w:rPr>
        <w:t>5,</w:t>
      </w:r>
      <w:r w:rsidR="004E2863">
        <w:rPr>
          <w:rFonts w:ascii="Simplified Arabic" w:hAnsi="Simplified Arabic" w:cs="Simplified Arabic"/>
          <w:sz w:val="26"/>
          <w:szCs w:val="26"/>
        </w:rPr>
        <w:t>826</w:t>
      </w:r>
      <w:r w:rsidR="00401E0D">
        <w:rPr>
          <w:rFonts w:ascii="Simplified Arabic" w:hAnsi="Simplified Arabic" w:cs="Simplified Arabic" w:hint="cs"/>
          <w:sz w:val="26"/>
          <w:szCs w:val="26"/>
          <w:rtl/>
        </w:rPr>
        <w:t xml:space="preserve"> عامل 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في قطاع النقل داخل المنشآت 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 xml:space="preserve">بنسبة تشغيل للعاملين بلغت </w:t>
      </w:r>
      <w:r w:rsidR="004E2863">
        <w:rPr>
          <w:rFonts w:ascii="Simplified Arabic" w:hAnsi="Simplified Arabic" w:cs="Simplified Arabic"/>
          <w:sz w:val="26"/>
          <w:szCs w:val="26"/>
        </w:rPr>
        <w:t>33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>% من العاملين في قطاع النقل</w:t>
      </w:r>
      <w:r w:rsidR="00372F72">
        <w:rPr>
          <w:rFonts w:ascii="Simplified Arabic" w:hAnsi="Simplified Arabic" w:cs="Simplified Arabic" w:hint="cs"/>
          <w:sz w:val="26"/>
          <w:szCs w:val="26"/>
          <w:rtl/>
        </w:rPr>
        <w:t xml:space="preserve"> والمواصلات</w:t>
      </w:r>
      <w:r w:rsidR="00656C2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15652" w:rsidRP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E2A82" w:rsidRPr="00415652" w:rsidRDefault="008A1746" w:rsidP="0041565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أبرز </w:t>
      </w:r>
      <w:r w:rsidR="00D87E82"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مؤشرات </w:t>
      </w:r>
      <w:r w:rsidR="005E2A82"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قطاع النقل</w:t>
      </w:r>
      <w:r w:rsidR="0037000C"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والمواصلات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فلسطين خلال الفترة (2010-</w:t>
      </w:r>
      <w:r w:rsidR="004E2863" w:rsidRPr="00415652">
        <w:rPr>
          <w:rFonts w:ascii="Simplified Arabic" w:hAnsi="Simplified Arabic" w:cs="Simplified Arabic"/>
          <w:b/>
          <w:bCs/>
          <w:sz w:val="26"/>
          <w:szCs w:val="26"/>
        </w:rPr>
        <w:t>2019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351AC2" w:rsidRPr="00415652" w:rsidRDefault="008A1746" w:rsidP="008A1746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  <w:r w:rsidRPr="00415652">
        <w:rPr>
          <w:rFonts w:ascii="Simplified Arabic" w:hAnsi="Simplified Arabic" w:cs="Simplified Arabic" w:hint="cs"/>
          <w:b/>
          <w:bCs/>
          <w:rtl/>
        </w:rPr>
        <w:t>القيمة بالألف دولار الأمريكي</w:t>
      </w:r>
    </w:p>
    <w:tbl>
      <w:tblPr>
        <w:tblStyle w:val="LightList-Accent1"/>
        <w:bidiVisual/>
        <w:tblW w:w="9306" w:type="dxa"/>
        <w:jc w:val="center"/>
        <w:tblLook w:val="04A0"/>
      </w:tblPr>
      <w:tblGrid>
        <w:gridCol w:w="834"/>
        <w:gridCol w:w="1575"/>
        <w:gridCol w:w="1701"/>
        <w:gridCol w:w="1843"/>
        <w:gridCol w:w="2078"/>
        <w:gridCol w:w="1275"/>
      </w:tblGrid>
      <w:tr w:rsidR="005E2A82" w:rsidRPr="00415652" w:rsidTr="00980886">
        <w:trPr>
          <w:cnfStyle w:val="100000000000"/>
          <w:trHeight w:val="527"/>
          <w:jc w:val="center"/>
        </w:trPr>
        <w:tc>
          <w:tcPr>
            <w:cnfStyle w:val="001000000000"/>
            <w:tcW w:w="834" w:type="dxa"/>
          </w:tcPr>
          <w:p w:rsidR="005E2A82" w:rsidRPr="00415652" w:rsidRDefault="005E2A82" w:rsidP="00980886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415652">
              <w:rPr>
                <w:rFonts w:asciiTheme="majorBidi" w:hAnsiTheme="majorBidi" w:cstheme="majorBidi"/>
                <w:rtl/>
              </w:rPr>
              <w:t>السنة</w:t>
            </w:r>
          </w:p>
        </w:tc>
        <w:tc>
          <w:tcPr>
            <w:tcW w:w="1575" w:type="dxa"/>
            <w:hideMark/>
          </w:tcPr>
          <w:p w:rsidR="005E2A82" w:rsidRPr="00415652" w:rsidRDefault="005E2A82" w:rsidP="00980886">
            <w:pPr>
              <w:bidi/>
              <w:spacing w:after="0" w:line="240" w:lineRule="auto"/>
              <w:cnfStyle w:val="1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  <w:rtl/>
              </w:rPr>
              <w:t>القيمة المضافة</w:t>
            </w:r>
          </w:p>
        </w:tc>
        <w:tc>
          <w:tcPr>
            <w:tcW w:w="1701" w:type="dxa"/>
            <w:hideMark/>
          </w:tcPr>
          <w:p w:rsidR="005E2A82" w:rsidRPr="00415652" w:rsidRDefault="005E2A82" w:rsidP="00980886">
            <w:pPr>
              <w:bidi/>
              <w:spacing w:after="0" w:line="240" w:lineRule="auto"/>
              <w:cnfStyle w:val="100000000000"/>
              <w:rPr>
                <w:rFonts w:asciiTheme="majorBidi" w:hAnsiTheme="majorBidi" w:cstheme="majorBidi"/>
                <w:rtl/>
              </w:rPr>
            </w:pPr>
            <w:r w:rsidRPr="00415652">
              <w:rPr>
                <w:rFonts w:asciiTheme="majorBidi" w:hAnsiTheme="majorBidi" w:cstheme="majorBidi"/>
                <w:rtl/>
              </w:rPr>
              <w:t xml:space="preserve"> الاستهلاك الوسيط</w:t>
            </w:r>
          </w:p>
        </w:tc>
        <w:tc>
          <w:tcPr>
            <w:tcW w:w="1843" w:type="dxa"/>
            <w:hideMark/>
          </w:tcPr>
          <w:p w:rsidR="005E2A82" w:rsidRPr="00415652" w:rsidRDefault="005E2A82" w:rsidP="00980886">
            <w:pPr>
              <w:bidi/>
              <w:spacing w:after="0" w:line="240" w:lineRule="auto"/>
              <w:cnfStyle w:val="1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  <w:rtl/>
              </w:rPr>
              <w:t>الإنتاج</w:t>
            </w:r>
          </w:p>
        </w:tc>
        <w:tc>
          <w:tcPr>
            <w:tcW w:w="2078" w:type="dxa"/>
            <w:hideMark/>
          </w:tcPr>
          <w:p w:rsidR="005E2A82" w:rsidRPr="00415652" w:rsidRDefault="005E2A82" w:rsidP="00980886">
            <w:pPr>
              <w:bidi/>
              <w:spacing w:after="0" w:line="240" w:lineRule="auto"/>
              <w:cnfStyle w:val="1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  <w:rtl/>
              </w:rPr>
              <w:t xml:space="preserve"> تعويضات العاملين</w:t>
            </w:r>
          </w:p>
        </w:tc>
        <w:tc>
          <w:tcPr>
            <w:tcW w:w="1275" w:type="dxa"/>
            <w:hideMark/>
          </w:tcPr>
          <w:p w:rsidR="005E2A82" w:rsidRPr="00415652" w:rsidRDefault="005E2A82" w:rsidP="00980886">
            <w:pPr>
              <w:bidi/>
              <w:spacing w:after="0" w:line="240" w:lineRule="auto"/>
              <w:cnfStyle w:val="1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  <w:rtl/>
              </w:rPr>
              <w:t>عدد العاملين</w:t>
            </w:r>
          </w:p>
        </w:tc>
      </w:tr>
      <w:tr w:rsidR="004E2863" w:rsidRPr="00415652" w:rsidTr="003248B3">
        <w:trPr>
          <w:cnfStyle w:val="000000100000"/>
          <w:trHeight w:val="313"/>
          <w:jc w:val="center"/>
        </w:trPr>
        <w:tc>
          <w:tcPr>
            <w:cnfStyle w:val="001000000000"/>
            <w:tcW w:w="834" w:type="dxa"/>
          </w:tcPr>
          <w:p w:rsidR="004E2863" w:rsidRPr="00415652" w:rsidRDefault="00E37EDF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  <w:rtl/>
              </w:rPr>
              <w:t>*</w:t>
            </w:r>
            <w:r w:rsidR="0099489C" w:rsidRPr="00415652">
              <w:rPr>
                <w:rFonts w:asciiTheme="majorBidi" w:hAnsiTheme="majorBidi" w:cstheme="majorBidi"/>
              </w:rPr>
              <w:t xml:space="preserve"> </w:t>
            </w:r>
            <w:r w:rsidR="004E2863" w:rsidRPr="00415652">
              <w:rPr>
                <w:rFonts w:asciiTheme="majorBidi" w:hAnsiTheme="majorBidi" w:cstheme="majorBidi"/>
              </w:rPr>
              <w:t>2019</w:t>
            </w:r>
            <w:r w:rsidR="0099489C" w:rsidRPr="0041565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75" w:type="dxa"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286,153 </w:t>
            </w:r>
          </w:p>
        </w:tc>
        <w:tc>
          <w:tcPr>
            <w:tcW w:w="1701" w:type="dxa"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203,594 </w:t>
            </w:r>
          </w:p>
        </w:tc>
        <w:tc>
          <w:tcPr>
            <w:tcW w:w="1843" w:type="dxa"/>
          </w:tcPr>
          <w:p w:rsidR="004E2863" w:rsidRPr="00415652" w:rsidRDefault="00E37EDF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489,747</w:t>
            </w:r>
          </w:p>
        </w:tc>
        <w:tc>
          <w:tcPr>
            <w:tcW w:w="2078" w:type="dxa"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77,383 </w:t>
            </w:r>
          </w:p>
        </w:tc>
        <w:tc>
          <w:tcPr>
            <w:tcW w:w="1275" w:type="dxa"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17,413 </w:t>
            </w:r>
          </w:p>
        </w:tc>
      </w:tr>
      <w:tr w:rsidR="004E2863" w:rsidRPr="00415652" w:rsidTr="003248B3">
        <w:trPr>
          <w:trHeight w:val="376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242,566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195,433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437,999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68,069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18,060 </w:t>
            </w:r>
          </w:p>
        </w:tc>
      </w:tr>
      <w:tr w:rsidR="004E2863" w:rsidRPr="00415652" w:rsidTr="00980886">
        <w:trPr>
          <w:cnfStyle w:val="000000100000"/>
          <w:trHeight w:val="330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218,047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194,698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412,745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64,013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17,371 </w:t>
            </w:r>
          </w:p>
        </w:tc>
      </w:tr>
      <w:tr w:rsidR="004E2863" w:rsidRPr="00415652" w:rsidTr="00980886">
        <w:trPr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225,834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213,588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439,422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64,365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18,520 </w:t>
            </w:r>
          </w:p>
        </w:tc>
      </w:tr>
      <w:tr w:rsidR="004E2863" w:rsidRPr="00415652" w:rsidTr="00980886">
        <w:trPr>
          <w:cnfStyle w:val="000000100000"/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207,387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210,599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417,986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47,759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16,776 </w:t>
            </w:r>
          </w:p>
        </w:tc>
      </w:tr>
      <w:tr w:rsidR="004E2863" w:rsidRPr="00415652" w:rsidTr="00980886">
        <w:trPr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202,152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236,315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438,467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56,175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16,588 </w:t>
            </w:r>
          </w:p>
        </w:tc>
      </w:tr>
      <w:tr w:rsidR="004E2863" w:rsidRPr="00415652" w:rsidTr="00980886">
        <w:trPr>
          <w:cnfStyle w:val="000000100000"/>
          <w:trHeight w:val="330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223,351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243,377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466,728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48,823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17,204 </w:t>
            </w:r>
          </w:p>
        </w:tc>
      </w:tr>
      <w:tr w:rsidR="004E2863" w:rsidRPr="00415652" w:rsidTr="00980886">
        <w:trPr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2012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198,372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207,405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405,777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40,524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17,926 </w:t>
            </w:r>
          </w:p>
        </w:tc>
      </w:tr>
      <w:tr w:rsidR="004E2863" w:rsidRPr="00415652" w:rsidTr="00980886">
        <w:trPr>
          <w:cnfStyle w:val="000000100000"/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151,628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190,275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341,903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36,741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1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14,449 </w:t>
            </w:r>
          </w:p>
        </w:tc>
      </w:tr>
      <w:tr w:rsidR="004E2863" w:rsidRPr="00415652" w:rsidTr="00980886">
        <w:trPr>
          <w:trHeight w:val="255"/>
          <w:jc w:val="center"/>
        </w:trPr>
        <w:tc>
          <w:tcPr>
            <w:cnfStyle w:val="001000000000"/>
            <w:tcW w:w="834" w:type="dxa"/>
          </w:tcPr>
          <w:p w:rsidR="004E2863" w:rsidRPr="00415652" w:rsidRDefault="004E2863" w:rsidP="0099489C">
            <w:pPr>
              <w:spacing w:after="0" w:line="240" w:lineRule="auto"/>
              <w:jc w:val="right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15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175,551 </w:t>
            </w:r>
          </w:p>
        </w:tc>
        <w:tc>
          <w:tcPr>
            <w:tcW w:w="1701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163,704 </w:t>
            </w:r>
          </w:p>
        </w:tc>
        <w:tc>
          <w:tcPr>
            <w:tcW w:w="1843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339,255 </w:t>
            </w:r>
          </w:p>
        </w:tc>
        <w:tc>
          <w:tcPr>
            <w:tcW w:w="2078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37,749 </w:t>
            </w:r>
          </w:p>
        </w:tc>
        <w:tc>
          <w:tcPr>
            <w:tcW w:w="1275" w:type="dxa"/>
            <w:hideMark/>
          </w:tcPr>
          <w:p w:rsidR="004E2863" w:rsidRPr="00415652" w:rsidRDefault="004E2863" w:rsidP="004E2863">
            <w:pPr>
              <w:spacing w:after="0" w:line="240" w:lineRule="auto"/>
              <w:jc w:val="right"/>
              <w:cnfStyle w:val="000000000000"/>
              <w:rPr>
                <w:rFonts w:asciiTheme="majorBidi" w:hAnsiTheme="majorBidi" w:cstheme="majorBidi"/>
              </w:rPr>
            </w:pPr>
            <w:r w:rsidRPr="00415652">
              <w:rPr>
                <w:rFonts w:asciiTheme="majorBidi" w:hAnsiTheme="majorBidi" w:cstheme="majorBidi"/>
              </w:rPr>
              <w:t xml:space="preserve">15,137 </w:t>
            </w:r>
          </w:p>
        </w:tc>
      </w:tr>
    </w:tbl>
    <w:p w:rsidR="00E37EDF" w:rsidRPr="007A55E2" w:rsidRDefault="00E37EDF" w:rsidP="007A55E2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AE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   </w:t>
      </w:r>
      <w:r w:rsidRPr="00E37EDF">
        <w:rPr>
          <w:rFonts w:ascii="Simplified Arabic" w:hAnsi="Simplified Arabic" w:cs="Simplified Arabic" w:hint="cs"/>
          <w:sz w:val="20"/>
          <w:szCs w:val="20"/>
          <w:rtl/>
          <w:lang w:bidi="ar-AE"/>
        </w:rPr>
        <w:t>*</w:t>
      </w:r>
      <w:r w:rsidR="0099489C">
        <w:rPr>
          <w:rFonts w:ascii="Simplified Arabic" w:hAnsi="Simplified Arabic" w:cs="Simplified Arabic" w:hint="cs"/>
          <w:sz w:val="20"/>
          <w:szCs w:val="20"/>
          <w:rtl/>
          <w:lang w:bidi="ar-AE"/>
        </w:rPr>
        <w:t xml:space="preserve"> </w:t>
      </w:r>
      <w:r w:rsidRPr="00E37EDF">
        <w:rPr>
          <w:rFonts w:ascii="Simplified Arabic" w:hAnsi="Simplified Arabic" w:cs="Simplified Arabic" w:hint="cs"/>
          <w:sz w:val="20"/>
          <w:szCs w:val="20"/>
          <w:rtl/>
          <w:lang w:bidi="ar-AE"/>
        </w:rPr>
        <w:t>بيانات قطاع النق</w:t>
      </w:r>
      <w:r w:rsidR="007A55E2">
        <w:rPr>
          <w:rFonts w:ascii="Simplified Arabic" w:hAnsi="Simplified Arabic" w:cs="Simplified Arabic" w:hint="cs"/>
          <w:sz w:val="20"/>
          <w:szCs w:val="20"/>
          <w:rtl/>
          <w:lang w:bidi="ar-AE"/>
        </w:rPr>
        <w:t>ل داخل المنشآت 2019 بيانات أولية</w:t>
      </w: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415652" w:rsidRP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D3FE5" w:rsidRPr="00415652" w:rsidRDefault="00D87E8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في القيمة المضافة لقطاع النقل (خارج المنشآت) في العام 2019 بنسبة 4.6%</w:t>
      </w:r>
    </w:p>
    <w:p w:rsidR="00851A6C" w:rsidRDefault="00D87E82" w:rsidP="00A21FD2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بينت نتائج </w:t>
      </w:r>
      <w:r>
        <w:rPr>
          <w:rFonts w:ascii="Simplified Arabic" w:hAnsi="Simplified Arabic" w:cs="Simplified Arabic" w:hint="cs"/>
          <w:sz w:val="26"/>
          <w:szCs w:val="26"/>
          <w:rtl/>
        </w:rPr>
        <w:t>مسح النقل خارج المنشآت 2019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أن القيمة المضافة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 لقطاع 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النقل خارج المنشآت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فلسطين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بلغت </w:t>
      </w:r>
      <w:r w:rsidR="00A21FD2">
        <w:rPr>
          <w:rFonts w:ascii="Simplified Arabic" w:hAnsi="Simplified Arabic" w:cs="Simplified Arabic" w:hint="cs"/>
          <w:sz w:val="26"/>
          <w:szCs w:val="26"/>
          <w:rtl/>
        </w:rPr>
        <w:t>145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منها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131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في الضفة الغربية و</w:t>
      </w:r>
      <w:r w:rsidR="00A21FD2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في قطاع غزة، حيث بلغ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نصيب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مركبات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نقل الركاب 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>العمومية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من القيمة المضافة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01304">
        <w:rPr>
          <w:rFonts w:ascii="Simplified Arabic" w:hAnsi="Simplified Arabic" w:cs="Simplified Arabic" w:hint="cs"/>
          <w:sz w:val="26"/>
          <w:szCs w:val="26"/>
          <w:rtl/>
        </w:rPr>
        <w:t xml:space="preserve">فيما بلغ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نصيب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مركبات النقل البري للبضائع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 3%، 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>أما مركبات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 نقل الركاب الخصوصية فكان نصيبها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من 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>القيمة المضافة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 xml:space="preserve"> 2</w:t>
      </w:r>
      <w:r w:rsidRPr="00D87E82">
        <w:rPr>
          <w:rFonts w:ascii="Simplified Arabic" w:hAnsi="Simplified Arabic" w:cs="Simplified Arabic"/>
          <w:sz w:val="26"/>
          <w:szCs w:val="26"/>
          <w:rtl/>
        </w:rPr>
        <w:t>%</w:t>
      </w:r>
      <w:r w:rsidRPr="00D87E82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A1746" w:rsidRPr="00415652" w:rsidRDefault="008A1746" w:rsidP="008A1746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A54BE" w:rsidRPr="00415652" w:rsidRDefault="007C3076" w:rsidP="00415652">
      <w:pPr>
        <w:tabs>
          <w:tab w:val="left" w:pos="1700"/>
        </w:tabs>
        <w:ind w:left="-1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415652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التوزيع النسبي للقيمة المضافة لقطاع النقل 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خارج المنشآت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في </w:t>
      </w:r>
      <w:r w:rsidRPr="00415652">
        <w:rPr>
          <w:rFonts w:ascii="Simplified Arabic" w:hAnsi="Simplified Arabic" w:cs="Simplified Arabic"/>
          <w:bCs/>
          <w:sz w:val="26"/>
          <w:szCs w:val="26"/>
          <w:rtl/>
          <w:lang w:bidi="ar-JO"/>
        </w:rPr>
        <w:t>فلسطين</w:t>
      </w:r>
      <w:r w:rsidRPr="0041565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حسب نوع النقل</w:t>
      </w:r>
      <w:r w:rsidRPr="00415652">
        <w:rPr>
          <w:rFonts w:ascii="Simplified Arabic" w:hAnsi="Simplified Arabic" w:cs="Simplified Arabic"/>
          <w:b/>
          <w:bCs/>
          <w:sz w:val="26"/>
          <w:szCs w:val="26"/>
          <w:rtl/>
        </w:rPr>
        <w:t>، 2019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151"/>
      </w:tblGrid>
      <w:tr w:rsidR="000A54BE" w:rsidTr="000A54BE">
        <w:trPr>
          <w:jc w:val="center"/>
        </w:trPr>
        <w:tc>
          <w:tcPr>
            <w:tcW w:w="6935" w:type="dxa"/>
          </w:tcPr>
          <w:p w:rsidR="000A54BE" w:rsidRDefault="000A54BE" w:rsidP="000A54BE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0A54BE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5038725" cy="2066925"/>
                  <wp:effectExtent l="0" t="0" r="0" b="0"/>
                  <wp:docPr id="3" name="Objec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51A6C" w:rsidRPr="00415652" w:rsidRDefault="00851A6C" w:rsidP="00851A6C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A54BE" w:rsidRDefault="000A54BE" w:rsidP="00C21D1C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كما أظهرت نتائج </w:t>
      </w:r>
      <w:r w:rsidR="00C21D1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مسح النقل خارج المنشآت 2019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أن عدد المركبات العاملة في هذا القطاع بلغ </w:t>
      </w:r>
      <w:r w:rsidRPr="00372F72">
        <w:rPr>
          <w:rFonts w:ascii="Simplified Arabic" w:hAnsi="Simplified Arabic" w:cs="Simplified Arabic"/>
          <w:sz w:val="26"/>
          <w:szCs w:val="26"/>
          <w:lang w:bidi="ar-JO"/>
        </w:rPr>
        <w:t xml:space="preserve"> 10,979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مركبة</w:t>
      </w:r>
      <w:r w:rsidR="00501304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501304">
        <w:rPr>
          <w:rFonts w:ascii="Simplified Arabic" w:hAnsi="Simplified Arabic" w:cs="Simplified Arabic" w:hint="cs"/>
          <w:sz w:val="26"/>
          <w:szCs w:val="26"/>
          <w:rtl/>
          <w:lang w:bidi="ar-AE"/>
        </w:rPr>
        <w:t>في فلسطين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>،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منها 8,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>367</w:t>
      </w:r>
      <w:r w:rsidRPr="00372F7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مركبة في الضفة الغربية و2,612 مركبة في قطاع غزة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>، و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بلغ عدد العاملين في قطاع النقل</w:t>
      </w:r>
      <w:r w:rsidRPr="00372F72">
        <w:rPr>
          <w:rFonts w:ascii="Simplified Arabic" w:hAnsi="Simplified Arabic" w:cs="Simplified Arabic"/>
          <w:sz w:val="26"/>
          <w:szCs w:val="26"/>
        </w:rPr>
        <w:t xml:space="preserve"> 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خارج المنشآت في فلسطين 11,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>587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عاملاً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>،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منهم 8,873 عاملاً في الضفة الغربية، و2,714 عاملاً في قطاع غزة</w:t>
      </w:r>
      <w:r w:rsidRPr="00372F72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كما بلغت قيمة إجمالي تعويضات العاملين بأجر لقطاع النقل خارج المنشآت في فلسطين 4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1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مليون دولار أمريكي منها 3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مليون دولار أمريكي في الضفة الغربية و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3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مليون دولار أمريكي في قطاع غزة</w:t>
      </w:r>
      <w:r w:rsidRPr="00372F72">
        <w:rPr>
          <w:rFonts w:ascii="Simplified Arabic" w:hAnsi="Simplified Arabic" w:cs="Simplified Arabic"/>
          <w:sz w:val="26"/>
          <w:szCs w:val="26"/>
          <w:lang w:bidi="ar-JO"/>
        </w:rPr>
        <w:t>.</w:t>
      </w:r>
    </w:p>
    <w:p w:rsidR="00A41E97" w:rsidRPr="00A21FD2" w:rsidRDefault="00A41E97" w:rsidP="00A41E97">
      <w:pPr>
        <w:bidi/>
        <w:spacing w:after="0" w:line="240" w:lineRule="auto"/>
        <w:jc w:val="both"/>
        <w:rPr>
          <w:rFonts w:ascii="Simplified Arabic" w:hAnsi="Simplified Arabic" w:cs="Simplified Arabic"/>
          <w:sz w:val="2"/>
          <w:szCs w:val="2"/>
          <w:rtl/>
          <w:lang w:bidi="ar-JO"/>
        </w:rPr>
      </w:pPr>
    </w:p>
    <w:p w:rsidR="00980886" w:rsidRDefault="00980886" w:rsidP="00980886">
      <w:pPr>
        <w:bidi/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  <w:lang w:bidi="ar-JO"/>
        </w:rPr>
      </w:pPr>
    </w:p>
    <w:p w:rsidR="00415652" w:rsidRPr="00415652" w:rsidRDefault="00415652" w:rsidP="00415652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C85499" w:rsidRPr="007A55E2" w:rsidRDefault="000A54BE" w:rsidP="007A55E2">
      <w:pPr>
        <w:tabs>
          <w:tab w:val="left" w:pos="-1"/>
          <w:tab w:val="right" w:pos="282"/>
        </w:tabs>
        <w:bidi/>
        <w:ind w:left="-1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وعند مقارنة النتائج الرئيسية لعام 2019 مع نتائج عام 2018 لأهم المؤشرات الاقتصادية، يلاحظ أن هناك انخفاض في عدد المركبات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3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 وانخفاض عدد العاملين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9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%، ويعزى السبب في ذلك إلى انخفاض عدد المركبات المنتسبة لمكاتب التاكسي ضمن فئة مركبات النقل العمومي في الضفة الغربية حيث انخفض عدد المركبات الإجمالي في الضفة الغربية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4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%، مما أدى إلى انخفاض على مستوى فلسطين في كل من الإنتاج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4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%، وفي الاستهلاك الوسيط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4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%، وفي القيمة المضافة بنسبة </w:t>
      </w:r>
      <w:r w:rsidR="00B71638">
        <w:rPr>
          <w:rFonts w:ascii="Simplified Arabic" w:hAnsi="Simplified Arabic" w:cs="Simplified Arabic" w:hint="cs"/>
          <w:sz w:val="26"/>
          <w:szCs w:val="26"/>
          <w:rtl/>
          <w:lang w:bidi="ar-JO"/>
        </w:rPr>
        <w:t>5</w:t>
      </w:r>
      <w:r w:rsidRPr="00372F72">
        <w:rPr>
          <w:rFonts w:ascii="Simplified Arabic" w:hAnsi="Simplified Arabic" w:cs="Simplified Arabic"/>
          <w:sz w:val="26"/>
          <w:szCs w:val="26"/>
          <w:rtl/>
          <w:lang w:bidi="ar-JO"/>
        </w:rPr>
        <w:t>%.</w:t>
      </w:r>
    </w:p>
    <w:sectPr w:rsidR="00C85499" w:rsidRPr="007A55E2" w:rsidSect="00415652">
      <w:footerReference w:type="default" r:id="rId10"/>
      <w:type w:val="continuous"/>
      <w:pgSz w:w="12240" w:h="15840" w:code="1"/>
      <w:pgMar w:top="1138" w:right="1138" w:bottom="1138" w:left="1138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65" w:rsidRDefault="006E2865" w:rsidP="00520006">
      <w:pPr>
        <w:spacing w:after="0" w:line="240" w:lineRule="auto"/>
      </w:pPr>
      <w:r>
        <w:separator/>
      </w:r>
    </w:p>
  </w:endnote>
  <w:endnote w:type="continuationSeparator" w:id="0">
    <w:p w:rsidR="006E2865" w:rsidRDefault="006E2865" w:rsidP="005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82" w:rsidRDefault="003F18F7">
    <w:pPr>
      <w:pStyle w:val="Footer"/>
      <w:jc w:val="center"/>
    </w:pPr>
    <w:r>
      <w:rPr>
        <w:noProof/>
      </w:rPr>
      <w:fldChar w:fldCharType="begin"/>
    </w:r>
    <w:r w:rsidR="00D87E82">
      <w:rPr>
        <w:noProof/>
      </w:rPr>
      <w:instrText xml:space="preserve"> PAGE   \* MERGEFORMAT </w:instrText>
    </w:r>
    <w:r>
      <w:rPr>
        <w:noProof/>
      </w:rPr>
      <w:fldChar w:fldCharType="separate"/>
    </w:r>
    <w:r w:rsidR="00516035">
      <w:rPr>
        <w:noProof/>
      </w:rPr>
      <w:t>3</w:t>
    </w:r>
    <w:r>
      <w:rPr>
        <w:noProof/>
      </w:rPr>
      <w:fldChar w:fldCharType="end"/>
    </w:r>
  </w:p>
  <w:p w:rsidR="00D87E82" w:rsidRDefault="00D87E82" w:rsidP="003E0096">
    <w:pPr>
      <w:pStyle w:val="Footer"/>
      <w:jc w:val="right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65" w:rsidRDefault="006E2865" w:rsidP="00520006">
      <w:pPr>
        <w:spacing w:after="0" w:line="240" w:lineRule="auto"/>
      </w:pPr>
      <w:r>
        <w:separator/>
      </w:r>
    </w:p>
  </w:footnote>
  <w:footnote w:type="continuationSeparator" w:id="0">
    <w:p w:rsidR="006E2865" w:rsidRDefault="006E2865" w:rsidP="0052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E0E"/>
    <w:multiLevelType w:val="hybridMultilevel"/>
    <w:tmpl w:val="8C7E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B68B5"/>
    <w:multiLevelType w:val="hybridMultilevel"/>
    <w:tmpl w:val="C430E9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E5C192C"/>
    <w:multiLevelType w:val="hybridMultilevel"/>
    <w:tmpl w:val="9A16DFEE"/>
    <w:lvl w:ilvl="0" w:tplc="7EB8DC6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2DC3"/>
    <w:multiLevelType w:val="multilevel"/>
    <w:tmpl w:val="E740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36D46E5"/>
    <w:multiLevelType w:val="hybridMultilevel"/>
    <w:tmpl w:val="99F24EAA"/>
    <w:lvl w:ilvl="0" w:tplc="29AE67B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3F2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>
    <w:nsid w:val="720A4173"/>
    <w:multiLevelType w:val="hybridMultilevel"/>
    <w:tmpl w:val="5422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65604"/>
    <w:rsid w:val="000020E5"/>
    <w:rsid w:val="000033C8"/>
    <w:rsid w:val="00006B6C"/>
    <w:rsid w:val="00021DD6"/>
    <w:rsid w:val="00023DA5"/>
    <w:rsid w:val="00027976"/>
    <w:rsid w:val="000350B7"/>
    <w:rsid w:val="000401CC"/>
    <w:rsid w:val="0004137A"/>
    <w:rsid w:val="000477AC"/>
    <w:rsid w:val="00052E9D"/>
    <w:rsid w:val="000533A6"/>
    <w:rsid w:val="00054EC8"/>
    <w:rsid w:val="00054F40"/>
    <w:rsid w:val="00055012"/>
    <w:rsid w:val="00056DBC"/>
    <w:rsid w:val="000573BE"/>
    <w:rsid w:val="000610EB"/>
    <w:rsid w:val="00062E4E"/>
    <w:rsid w:val="00063F0E"/>
    <w:rsid w:val="000669EC"/>
    <w:rsid w:val="00072173"/>
    <w:rsid w:val="0007324B"/>
    <w:rsid w:val="00076361"/>
    <w:rsid w:val="00082897"/>
    <w:rsid w:val="000860C8"/>
    <w:rsid w:val="00087267"/>
    <w:rsid w:val="0009460D"/>
    <w:rsid w:val="00094FE8"/>
    <w:rsid w:val="00096BB4"/>
    <w:rsid w:val="000A14B8"/>
    <w:rsid w:val="000A54BE"/>
    <w:rsid w:val="000A7004"/>
    <w:rsid w:val="000B3E50"/>
    <w:rsid w:val="000C09E0"/>
    <w:rsid w:val="000C1E0C"/>
    <w:rsid w:val="000D3C3B"/>
    <w:rsid w:val="000D6275"/>
    <w:rsid w:val="000D646C"/>
    <w:rsid w:val="000E079E"/>
    <w:rsid w:val="000E07FA"/>
    <w:rsid w:val="000E642E"/>
    <w:rsid w:val="000F28EB"/>
    <w:rsid w:val="000F2D0E"/>
    <w:rsid w:val="000F3F50"/>
    <w:rsid w:val="000F5B99"/>
    <w:rsid w:val="000F6BC4"/>
    <w:rsid w:val="000F73EA"/>
    <w:rsid w:val="00107254"/>
    <w:rsid w:val="0010766A"/>
    <w:rsid w:val="001131DE"/>
    <w:rsid w:val="00113EA1"/>
    <w:rsid w:val="00115489"/>
    <w:rsid w:val="00115B43"/>
    <w:rsid w:val="00117EE9"/>
    <w:rsid w:val="0012062A"/>
    <w:rsid w:val="00126758"/>
    <w:rsid w:val="00130328"/>
    <w:rsid w:val="0013352F"/>
    <w:rsid w:val="001339FD"/>
    <w:rsid w:val="00140A80"/>
    <w:rsid w:val="001424AA"/>
    <w:rsid w:val="00143502"/>
    <w:rsid w:val="001461FA"/>
    <w:rsid w:val="00147F61"/>
    <w:rsid w:val="00151391"/>
    <w:rsid w:val="00152778"/>
    <w:rsid w:val="00155625"/>
    <w:rsid w:val="00155B59"/>
    <w:rsid w:val="00155F70"/>
    <w:rsid w:val="00161DCC"/>
    <w:rsid w:val="00165D4A"/>
    <w:rsid w:val="00166DF4"/>
    <w:rsid w:val="00167DC2"/>
    <w:rsid w:val="00167E1B"/>
    <w:rsid w:val="00170FB1"/>
    <w:rsid w:val="00171EC1"/>
    <w:rsid w:val="00175A3A"/>
    <w:rsid w:val="00176F1E"/>
    <w:rsid w:val="0017724F"/>
    <w:rsid w:val="00181D4C"/>
    <w:rsid w:val="001944B6"/>
    <w:rsid w:val="0019625B"/>
    <w:rsid w:val="001A19AE"/>
    <w:rsid w:val="001A3841"/>
    <w:rsid w:val="001A4A5D"/>
    <w:rsid w:val="001A64CE"/>
    <w:rsid w:val="001A765C"/>
    <w:rsid w:val="001A7782"/>
    <w:rsid w:val="001B0733"/>
    <w:rsid w:val="001B4445"/>
    <w:rsid w:val="001B5190"/>
    <w:rsid w:val="001C08C7"/>
    <w:rsid w:val="001C23E6"/>
    <w:rsid w:val="001C2C46"/>
    <w:rsid w:val="001C5A5D"/>
    <w:rsid w:val="001C674E"/>
    <w:rsid w:val="001C70B1"/>
    <w:rsid w:val="001C79A6"/>
    <w:rsid w:val="001D0A89"/>
    <w:rsid w:val="001D0B5A"/>
    <w:rsid w:val="001D21EB"/>
    <w:rsid w:val="001D41CE"/>
    <w:rsid w:val="001D59B4"/>
    <w:rsid w:val="001D5A9D"/>
    <w:rsid w:val="001D630C"/>
    <w:rsid w:val="001E0090"/>
    <w:rsid w:val="001E02D8"/>
    <w:rsid w:val="001E1913"/>
    <w:rsid w:val="001E2C8D"/>
    <w:rsid w:val="001E3324"/>
    <w:rsid w:val="001E4FD2"/>
    <w:rsid w:val="001E5110"/>
    <w:rsid w:val="001E58F3"/>
    <w:rsid w:val="001E6ED2"/>
    <w:rsid w:val="001E74B5"/>
    <w:rsid w:val="001F155C"/>
    <w:rsid w:val="001F20F2"/>
    <w:rsid w:val="001F56E4"/>
    <w:rsid w:val="002049C7"/>
    <w:rsid w:val="0020542C"/>
    <w:rsid w:val="00205888"/>
    <w:rsid w:val="00206EC2"/>
    <w:rsid w:val="002073B3"/>
    <w:rsid w:val="00211642"/>
    <w:rsid w:val="00212B92"/>
    <w:rsid w:val="00215325"/>
    <w:rsid w:val="00216CAB"/>
    <w:rsid w:val="002200A2"/>
    <w:rsid w:val="00232731"/>
    <w:rsid w:val="00233AE8"/>
    <w:rsid w:val="00235954"/>
    <w:rsid w:val="002442EB"/>
    <w:rsid w:val="002467B1"/>
    <w:rsid w:val="0025415D"/>
    <w:rsid w:val="002556FA"/>
    <w:rsid w:val="0025691F"/>
    <w:rsid w:val="002632BF"/>
    <w:rsid w:val="0026398C"/>
    <w:rsid w:val="00265E1C"/>
    <w:rsid w:val="00267920"/>
    <w:rsid w:val="00280134"/>
    <w:rsid w:val="00281C0A"/>
    <w:rsid w:val="0028340A"/>
    <w:rsid w:val="00287AE0"/>
    <w:rsid w:val="00293AC5"/>
    <w:rsid w:val="002958E1"/>
    <w:rsid w:val="00295C6A"/>
    <w:rsid w:val="00297050"/>
    <w:rsid w:val="002A026F"/>
    <w:rsid w:val="002A0913"/>
    <w:rsid w:val="002A0D43"/>
    <w:rsid w:val="002A232D"/>
    <w:rsid w:val="002A41F8"/>
    <w:rsid w:val="002A647C"/>
    <w:rsid w:val="002A6B7C"/>
    <w:rsid w:val="002B12AD"/>
    <w:rsid w:val="002B2405"/>
    <w:rsid w:val="002B3326"/>
    <w:rsid w:val="002B630B"/>
    <w:rsid w:val="002B6F9F"/>
    <w:rsid w:val="002C0FE2"/>
    <w:rsid w:val="002C1AC4"/>
    <w:rsid w:val="002C5211"/>
    <w:rsid w:val="002C62DC"/>
    <w:rsid w:val="002D2588"/>
    <w:rsid w:val="002D262F"/>
    <w:rsid w:val="002D3D4D"/>
    <w:rsid w:val="002D56FC"/>
    <w:rsid w:val="002D60BA"/>
    <w:rsid w:val="002E19CC"/>
    <w:rsid w:val="002E3936"/>
    <w:rsid w:val="002E66B0"/>
    <w:rsid w:val="002F1A9D"/>
    <w:rsid w:val="002F5AD3"/>
    <w:rsid w:val="00300C96"/>
    <w:rsid w:val="003027A1"/>
    <w:rsid w:val="003042CD"/>
    <w:rsid w:val="003052E2"/>
    <w:rsid w:val="003053F0"/>
    <w:rsid w:val="00306ADE"/>
    <w:rsid w:val="00307406"/>
    <w:rsid w:val="00313707"/>
    <w:rsid w:val="0031563D"/>
    <w:rsid w:val="00315DC8"/>
    <w:rsid w:val="00315E39"/>
    <w:rsid w:val="00317FEB"/>
    <w:rsid w:val="003248B3"/>
    <w:rsid w:val="003274C8"/>
    <w:rsid w:val="003420D0"/>
    <w:rsid w:val="003502EE"/>
    <w:rsid w:val="00351AC2"/>
    <w:rsid w:val="0035236C"/>
    <w:rsid w:val="003523FC"/>
    <w:rsid w:val="00356B4D"/>
    <w:rsid w:val="0037000C"/>
    <w:rsid w:val="0037011D"/>
    <w:rsid w:val="00372F72"/>
    <w:rsid w:val="0037408B"/>
    <w:rsid w:val="0037422F"/>
    <w:rsid w:val="003773A0"/>
    <w:rsid w:val="00377DDC"/>
    <w:rsid w:val="00381169"/>
    <w:rsid w:val="003821A0"/>
    <w:rsid w:val="00384C8B"/>
    <w:rsid w:val="003867EC"/>
    <w:rsid w:val="003945E2"/>
    <w:rsid w:val="00396660"/>
    <w:rsid w:val="00397260"/>
    <w:rsid w:val="003974C1"/>
    <w:rsid w:val="003A0763"/>
    <w:rsid w:val="003A0795"/>
    <w:rsid w:val="003A0A15"/>
    <w:rsid w:val="003A14BE"/>
    <w:rsid w:val="003A1B9D"/>
    <w:rsid w:val="003A219F"/>
    <w:rsid w:val="003A400D"/>
    <w:rsid w:val="003A5D75"/>
    <w:rsid w:val="003B0E35"/>
    <w:rsid w:val="003B25D2"/>
    <w:rsid w:val="003B47C5"/>
    <w:rsid w:val="003C09B5"/>
    <w:rsid w:val="003C1AE2"/>
    <w:rsid w:val="003C3916"/>
    <w:rsid w:val="003C66D4"/>
    <w:rsid w:val="003D6C7F"/>
    <w:rsid w:val="003E0096"/>
    <w:rsid w:val="003E02D1"/>
    <w:rsid w:val="003E0BB1"/>
    <w:rsid w:val="003E2A2D"/>
    <w:rsid w:val="003E2DE5"/>
    <w:rsid w:val="003E2E3A"/>
    <w:rsid w:val="003E4049"/>
    <w:rsid w:val="003E4372"/>
    <w:rsid w:val="003E52C5"/>
    <w:rsid w:val="003E5CD1"/>
    <w:rsid w:val="003E69DE"/>
    <w:rsid w:val="003E7FED"/>
    <w:rsid w:val="003F18F7"/>
    <w:rsid w:val="003F30AF"/>
    <w:rsid w:val="003F34F9"/>
    <w:rsid w:val="00401E0D"/>
    <w:rsid w:val="00402BAA"/>
    <w:rsid w:val="004035DE"/>
    <w:rsid w:val="00414B58"/>
    <w:rsid w:val="00415652"/>
    <w:rsid w:val="00417EEB"/>
    <w:rsid w:val="0042108C"/>
    <w:rsid w:val="0042181F"/>
    <w:rsid w:val="004236D7"/>
    <w:rsid w:val="00431A11"/>
    <w:rsid w:val="00431F2C"/>
    <w:rsid w:val="00434774"/>
    <w:rsid w:val="004357EB"/>
    <w:rsid w:val="00436E78"/>
    <w:rsid w:val="00442D93"/>
    <w:rsid w:val="0044632B"/>
    <w:rsid w:val="00446785"/>
    <w:rsid w:val="00446E43"/>
    <w:rsid w:val="004472C5"/>
    <w:rsid w:val="00450418"/>
    <w:rsid w:val="00450CF0"/>
    <w:rsid w:val="00451498"/>
    <w:rsid w:val="00452776"/>
    <w:rsid w:val="00452CF2"/>
    <w:rsid w:val="00454708"/>
    <w:rsid w:val="00462499"/>
    <w:rsid w:val="004626F0"/>
    <w:rsid w:val="004628AF"/>
    <w:rsid w:val="004634E6"/>
    <w:rsid w:val="00463A56"/>
    <w:rsid w:val="00465604"/>
    <w:rsid w:val="00466F25"/>
    <w:rsid w:val="00470166"/>
    <w:rsid w:val="004718AF"/>
    <w:rsid w:val="00471F1F"/>
    <w:rsid w:val="0047227D"/>
    <w:rsid w:val="00473BA5"/>
    <w:rsid w:val="00473E78"/>
    <w:rsid w:val="00477001"/>
    <w:rsid w:val="00487469"/>
    <w:rsid w:val="00492D01"/>
    <w:rsid w:val="00497962"/>
    <w:rsid w:val="004A3EA7"/>
    <w:rsid w:val="004A4078"/>
    <w:rsid w:val="004A66D0"/>
    <w:rsid w:val="004A79C5"/>
    <w:rsid w:val="004A7BC1"/>
    <w:rsid w:val="004B6373"/>
    <w:rsid w:val="004C39A1"/>
    <w:rsid w:val="004C3CBB"/>
    <w:rsid w:val="004C4D77"/>
    <w:rsid w:val="004C5AE7"/>
    <w:rsid w:val="004C5C8E"/>
    <w:rsid w:val="004C778F"/>
    <w:rsid w:val="004D2EBF"/>
    <w:rsid w:val="004D3032"/>
    <w:rsid w:val="004D3906"/>
    <w:rsid w:val="004D3C4E"/>
    <w:rsid w:val="004D4F1D"/>
    <w:rsid w:val="004D6177"/>
    <w:rsid w:val="004E2863"/>
    <w:rsid w:val="004E4DD3"/>
    <w:rsid w:val="004E58B2"/>
    <w:rsid w:val="004F0273"/>
    <w:rsid w:val="004F20AB"/>
    <w:rsid w:val="004F223B"/>
    <w:rsid w:val="004F28CC"/>
    <w:rsid w:val="004F7459"/>
    <w:rsid w:val="00500927"/>
    <w:rsid w:val="00501304"/>
    <w:rsid w:val="00501456"/>
    <w:rsid w:val="00506CED"/>
    <w:rsid w:val="00507E31"/>
    <w:rsid w:val="00512C93"/>
    <w:rsid w:val="0051560D"/>
    <w:rsid w:val="00515B7B"/>
    <w:rsid w:val="00516035"/>
    <w:rsid w:val="00517203"/>
    <w:rsid w:val="00517579"/>
    <w:rsid w:val="00520006"/>
    <w:rsid w:val="00522876"/>
    <w:rsid w:val="00524F22"/>
    <w:rsid w:val="0052605F"/>
    <w:rsid w:val="00530903"/>
    <w:rsid w:val="00542054"/>
    <w:rsid w:val="005436B6"/>
    <w:rsid w:val="0055540B"/>
    <w:rsid w:val="00556AB5"/>
    <w:rsid w:val="00561163"/>
    <w:rsid w:val="0056374C"/>
    <w:rsid w:val="00563B83"/>
    <w:rsid w:val="00565F88"/>
    <w:rsid w:val="00566129"/>
    <w:rsid w:val="00566E23"/>
    <w:rsid w:val="0056752E"/>
    <w:rsid w:val="005704DC"/>
    <w:rsid w:val="00571934"/>
    <w:rsid w:val="00584F80"/>
    <w:rsid w:val="00585A0C"/>
    <w:rsid w:val="00585E87"/>
    <w:rsid w:val="00587704"/>
    <w:rsid w:val="00592B0C"/>
    <w:rsid w:val="005933E1"/>
    <w:rsid w:val="005960EE"/>
    <w:rsid w:val="0059633D"/>
    <w:rsid w:val="00596589"/>
    <w:rsid w:val="005A25FD"/>
    <w:rsid w:val="005A54CA"/>
    <w:rsid w:val="005A5F7D"/>
    <w:rsid w:val="005A640C"/>
    <w:rsid w:val="005A6D09"/>
    <w:rsid w:val="005A73A8"/>
    <w:rsid w:val="005B050E"/>
    <w:rsid w:val="005B1979"/>
    <w:rsid w:val="005B378E"/>
    <w:rsid w:val="005B3CD0"/>
    <w:rsid w:val="005B3E41"/>
    <w:rsid w:val="005C01BB"/>
    <w:rsid w:val="005C4B23"/>
    <w:rsid w:val="005C4C7D"/>
    <w:rsid w:val="005C57F6"/>
    <w:rsid w:val="005C6F40"/>
    <w:rsid w:val="005D3134"/>
    <w:rsid w:val="005D4B13"/>
    <w:rsid w:val="005E2A82"/>
    <w:rsid w:val="005E6D97"/>
    <w:rsid w:val="005F00A6"/>
    <w:rsid w:val="005F1A2C"/>
    <w:rsid w:val="005F45BB"/>
    <w:rsid w:val="005F5825"/>
    <w:rsid w:val="005F7B1A"/>
    <w:rsid w:val="0060746D"/>
    <w:rsid w:val="00610E32"/>
    <w:rsid w:val="00613E31"/>
    <w:rsid w:val="0061435C"/>
    <w:rsid w:val="0061645A"/>
    <w:rsid w:val="00621A14"/>
    <w:rsid w:val="006237DA"/>
    <w:rsid w:val="0062574A"/>
    <w:rsid w:val="00625D55"/>
    <w:rsid w:val="006309C0"/>
    <w:rsid w:val="00633E15"/>
    <w:rsid w:val="006342DA"/>
    <w:rsid w:val="00641B05"/>
    <w:rsid w:val="0064404E"/>
    <w:rsid w:val="00644451"/>
    <w:rsid w:val="006470C1"/>
    <w:rsid w:val="00650937"/>
    <w:rsid w:val="00651752"/>
    <w:rsid w:val="00653176"/>
    <w:rsid w:val="006553A7"/>
    <w:rsid w:val="00656C21"/>
    <w:rsid w:val="006579F7"/>
    <w:rsid w:val="00661FB8"/>
    <w:rsid w:val="00663151"/>
    <w:rsid w:val="006649A1"/>
    <w:rsid w:val="00671175"/>
    <w:rsid w:val="006734E3"/>
    <w:rsid w:val="00674493"/>
    <w:rsid w:val="00680E31"/>
    <w:rsid w:val="0068166A"/>
    <w:rsid w:val="0068250A"/>
    <w:rsid w:val="00685259"/>
    <w:rsid w:val="00685777"/>
    <w:rsid w:val="00693152"/>
    <w:rsid w:val="0069398B"/>
    <w:rsid w:val="006A00FD"/>
    <w:rsid w:val="006A54E3"/>
    <w:rsid w:val="006A6181"/>
    <w:rsid w:val="006B056C"/>
    <w:rsid w:val="006B3DBB"/>
    <w:rsid w:val="006B44DC"/>
    <w:rsid w:val="006C1FA2"/>
    <w:rsid w:val="006C2A3E"/>
    <w:rsid w:val="006C58B0"/>
    <w:rsid w:val="006D00CF"/>
    <w:rsid w:val="006D113D"/>
    <w:rsid w:val="006D3FE5"/>
    <w:rsid w:val="006D4409"/>
    <w:rsid w:val="006D63F5"/>
    <w:rsid w:val="006E043A"/>
    <w:rsid w:val="006E2865"/>
    <w:rsid w:val="006E427D"/>
    <w:rsid w:val="006F3809"/>
    <w:rsid w:val="006F5B2E"/>
    <w:rsid w:val="006F6ABD"/>
    <w:rsid w:val="0070085F"/>
    <w:rsid w:val="00701850"/>
    <w:rsid w:val="00704E03"/>
    <w:rsid w:val="007111CA"/>
    <w:rsid w:val="0071452B"/>
    <w:rsid w:val="00720833"/>
    <w:rsid w:val="007211F6"/>
    <w:rsid w:val="00721ED5"/>
    <w:rsid w:val="00723D74"/>
    <w:rsid w:val="00723F8F"/>
    <w:rsid w:val="00732D55"/>
    <w:rsid w:val="00735F94"/>
    <w:rsid w:val="0073650F"/>
    <w:rsid w:val="00742DA2"/>
    <w:rsid w:val="007534A9"/>
    <w:rsid w:val="00756996"/>
    <w:rsid w:val="00757299"/>
    <w:rsid w:val="00765042"/>
    <w:rsid w:val="00770BD2"/>
    <w:rsid w:val="00773C76"/>
    <w:rsid w:val="0077777A"/>
    <w:rsid w:val="00780358"/>
    <w:rsid w:val="0078164A"/>
    <w:rsid w:val="00782AB5"/>
    <w:rsid w:val="007830CA"/>
    <w:rsid w:val="007842A8"/>
    <w:rsid w:val="007849B1"/>
    <w:rsid w:val="00790D04"/>
    <w:rsid w:val="007912B0"/>
    <w:rsid w:val="007A11D9"/>
    <w:rsid w:val="007A126C"/>
    <w:rsid w:val="007A200B"/>
    <w:rsid w:val="007A4103"/>
    <w:rsid w:val="007A4682"/>
    <w:rsid w:val="007A55E2"/>
    <w:rsid w:val="007A6FC9"/>
    <w:rsid w:val="007A7194"/>
    <w:rsid w:val="007B0AB9"/>
    <w:rsid w:val="007B6E76"/>
    <w:rsid w:val="007B786B"/>
    <w:rsid w:val="007B79EA"/>
    <w:rsid w:val="007C3076"/>
    <w:rsid w:val="007C4394"/>
    <w:rsid w:val="007C6950"/>
    <w:rsid w:val="007E035F"/>
    <w:rsid w:val="007E1927"/>
    <w:rsid w:val="007E21B9"/>
    <w:rsid w:val="007E7022"/>
    <w:rsid w:val="007F4063"/>
    <w:rsid w:val="00801C01"/>
    <w:rsid w:val="0080373F"/>
    <w:rsid w:val="00803C3F"/>
    <w:rsid w:val="00807745"/>
    <w:rsid w:val="00810636"/>
    <w:rsid w:val="00813734"/>
    <w:rsid w:val="00814EB0"/>
    <w:rsid w:val="008166A2"/>
    <w:rsid w:val="00823C86"/>
    <w:rsid w:val="0082596C"/>
    <w:rsid w:val="00826168"/>
    <w:rsid w:val="00827E53"/>
    <w:rsid w:val="00842EB8"/>
    <w:rsid w:val="00845655"/>
    <w:rsid w:val="008458F5"/>
    <w:rsid w:val="0084662F"/>
    <w:rsid w:val="00847098"/>
    <w:rsid w:val="00850076"/>
    <w:rsid w:val="008518FA"/>
    <w:rsid w:val="00851A6C"/>
    <w:rsid w:val="00851D89"/>
    <w:rsid w:val="00857BCF"/>
    <w:rsid w:val="00863247"/>
    <w:rsid w:val="008663FF"/>
    <w:rsid w:val="0087233D"/>
    <w:rsid w:val="008744AE"/>
    <w:rsid w:val="00875962"/>
    <w:rsid w:val="00877AB4"/>
    <w:rsid w:val="0088140B"/>
    <w:rsid w:val="00890C09"/>
    <w:rsid w:val="00890E84"/>
    <w:rsid w:val="00891A5C"/>
    <w:rsid w:val="00892266"/>
    <w:rsid w:val="00893C42"/>
    <w:rsid w:val="008963C5"/>
    <w:rsid w:val="008A018E"/>
    <w:rsid w:val="008A0558"/>
    <w:rsid w:val="008A1746"/>
    <w:rsid w:val="008A2472"/>
    <w:rsid w:val="008A3286"/>
    <w:rsid w:val="008A37D4"/>
    <w:rsid w:val="008B458D"/>
    <w:rsid w:val="008B530E"/>
    <w:rsid w:val="008C034D"/>
    <w:rsid w:val="008C0F4E"/>
    <w:rsid w:val="008C46CF"/>
    <w:rsid w:val="008C529D"/>
    <w:rsid w:val="008C5896"/>
    <w:rsid w:val="008E05D4"/>
    <w:rsid w:val="008E15B5"/>
    <w:rsid w:val="008E249B"/>
    <w:rsid w:val="008E371C"/>
    <w:rsid w:val="008E50BF"/>
    <w:rsid w:val="008E543D"/>
    <w:rsid w:val="008E5C89"/>
    <w:rsid w:val="008F18D9"/>
    <w:rsid w:val="008F1A95"/>
    <w:rsid w:val="008F29C3"/>
    <w:rsid w:val="008F2FC8"/>
    <w:rsid w:val="008F5FCD"/>
    <w:rsid w:val="00900339"/>
    <w:rsid w:val="009008F9"/>
    <w:rsid w:val="009053B3"/>
    <w:rsid w:val="00905F2D"/>
    <w:rsid w:val="00906404"/>
    <w:rsid w:val="0090708C"/>
    <w:rsid w:val="00907385"/>
    <w:rsid w:val="009077B4"/>
    <w:rsid w:val="00910C29"/>
    <w:rsid w:val="0091133D"/>
    <w:rsid w:val="00912016"/>
    <w:rsid w:val="00912E54"/>
    <w:rsid w:val="00916AD0"/>
    <w:rsid w:val="00922F32"/>
    <w:rsid w:val="0092372F"/>
    <w:rsid w:val="00925B49"/>
    <w:rsid w:val="00926DBD"/>
    <w:rsid w:val="00927C5D"/>
    <w:rsid w:val="00930FC3"/>
    <w:rsid w:val="0093447C"/>
    <w:rsid w:val="00935942"/>
    <w:rsid w:val="00940D65"/>
    <w:rsid w:val="00944773"/>
    <w:rsid w:val="00944EC9"/>
    <w:rsid w:val="00947ECF"/>
    <w:rsid w:val="00951456"/>
    <w:rsid w:val="00952416"/>
    <w:rsid w:val="00953085"/>
    <w:rsid w:val="009536E3"/>
    <w:rsid w:val="00953AAC"/>
    <w:rsid w:val="00957DD5"/>
    <w:rsid w:val="00960495"/>
    <w:rsid w:val="00961F19"/>
    <w:rsid w:val="0096261A"/>
    <w:rsid w:val="00962A24"/>
    <w:rsid w:val="00964D02"/>
    <w:rsid w:val="009655F1"/>
    <w:rsid w:val="00971F35"/>
    <w:rsid w:val="00974467"/>
    <w:rsid w:val="00974C0F"/>
    <w:rsid w:val="00975654"/>
    <w:rsid w:val="00975AF5"/>
    <w:rsid w:val="00980886"/>
    <w:rsid w:val="00980DCD"/>
    <w:rsid w:val="00981E6B"/>
    <w:rsid w:val="00983B1D"/>
    <w:rsid w:val="00983C73"/>
    <w:rsid w:val="00985318"/>
    <w:rsid w:val="0098652B"/>
    <w:rsid w:val="00986F4C"/>
    <w:rsid w:val="009873B7"/>
    <w:rsid w:val="009909BC"/>
    <w:rsid w:val="0099489C"/>
    <w:rsid w:val="00997621"/>
    <w:rsid w:val="009A0E99"/>
    <w:rsid w:val="009A10FB"/>
    <w:rsid w:val="009A58F6"/>
    <w:rsid w:val="009B4694"/>
    <w:rsid w:val="009B4E36"/>
    <w:rsid w:val="009C0B11"/>
    <w:rsid w:val="009C115E"/>
    <w:rsid w:val="009C2DAD"/>
    <w:rsid w:val="009D303C"/>
    <w:rsid w:val="009D7724"/>
    <w:rsid w:val="009E2029"/>
    <w:rsid w:val="009E2129"/>
    <w:rsid w:val="009F0F2B"/>
    <w:rsid w:val="009F5C2C"/>
    <w:rsid w:val="009F5DB6"/>
    <w:rsid w:val="009F687E"/>
    <w:rsid w:val="009F6BD4"/>
    <w:rsid w:val="009F741D"/>
    <w:rsid w:val="00A0207E"/>
    <w:rsid w:val="00A03D4E"/>
    <w:rsid w:val="00A05625"/>
    <w:rsid w:val="00A07FE8"/>
    <w:rsid w:val="00A10B93"/>
    <w:rsid w:val="00A1165E"/>
    <w:rsid w:val="00A12AAF"/>
    <w:rsid w:val="00A12C10"/>
    <w:rsid w:val="00A15291"/>
    <w:rsid w:val="00A16033"/>
    <w:rsid w:val="00A1613B"/>
    <w:rsid w:val="00A16AE7"/>
    <w:rsid w:val="00A17963"/>
    <w:rsid w:val="00A211C9"/>
    <w:rsid w:val="00A21FD2"/>
    <w:rsid w:val="00A2450A"/>
    <w:rsid w:val="00A27D34"/>
    <w:rsid w:val="00A31EA4"/>
    <w:rsid w:val="00A3209C"/>
    <w:rsid w:val="00A34B0B"/>
    <w:rsid w:val="00A35761"/>
    <w:rsid w:val="00A35F85"/>
    <w:rsid w:val="00A41E97"/>
    <w:rsid w:val="00A4275D"/>
    <w:rsid w:val="00A4523D"/>
    <w:rsid w:val="00A51B86"/>
    <w:rsid w:val="00A53E8E"/>
    <w:rsid w:val="00A5580B"/>
    <w:rsid w:val="00A55E1A"/>
    <w:rsid w:val="00A56AF2"/>
    <w:rsid w:val="00A66D03"/>
    <w:rsid w:val="00A67C5E"/>
    <w:rsid w:val="00A715E0"/>
    <w:rsid w:val="00A748F9"/>
    <w:rsid w:val="00A74EA6"/>
    <w:rsid w:val="00A81A10"/>
    <w:rsid w:val="00A81AD3"/>
    <w:rsid w:val="00A82A6C"/>
    <w:rsid w:val="00A91D37"/>
    <w:rsid w:val="00A947A8"/>
    <w:rsid w:val="00A94F04"/>
    <w:rsid w:val="00AA27EB"/>
    <w:rsid w:val="00AA55CB"/>
    <w:rsid w:val="00AB0ABB"/>
    <w:rsid w:val="00AB4A7F"/>
    <w:rsid w:val="00AC367B"/>
    <w:rsid w:val="00AC4701"/>
    <w:rsid w:val="00AC5A68"/>
    <w:rsid w:val="00AD442D"/>
    <w:rsid w:val="00AE1AB5"/>
    <w:rsid w:val="00AE2330"/>
    <w:rsid w:val="00AE39C0"/>
    <w:rsid w:val="00AF2F22"/>
    <w:rsid w:val="00AF35A1"/>
    <w:rsid w:val="00B05517"/>
    <w:rsid w:val="00B109FD"/>
    <w:rsid w:val="00B11F0E"/>
    <w:rsid w:val="00B140DB"/>
    <w:rsid w:val="00B16C07"/>
    <w:rsid w:val="00B211E4"/>
    <w:rsid w:val="00B2447E"/>
    <w:rsid w:val="00B24C27"/>
    <w:rsid w:val="00B32CA3"/>
    <w:rsid w:val="00B3484F"/>
    <w:rsid w:val="00B35D4E"/>
    <w:rsid w:val="00B365C2"/>
    <w:rsid w:val="00B45D4E"/>
    <w:rsid w:val="00B50915"/>
    <w:rsid w:val="00B51145"/>
    <w:rsid w:val="00B53E71"/>
    <w:rsid w:val="00B5639F"/>
    <w:rsid w:val="00B56D4C"/>
    <w:rsid w:val="00B56EB0"/>
    <w:rsid w:val="00B5701D"/>
    <w:rsid w:val="00B57717"/>
    <w:rsid w:val="00B610AA"/>
    <w:rsid w:val="00B701A1"/>
    <w:rsid w:val="00B70BB8"/>
    <w:rsid w:val="00B71638"/>
    <w:rsid w:val="00B71960"/>
    <w:rsid w:val="00B7350E"/>
    <w:rsid w:val="00B744A5"/>
    <w:rsid w:val="00B74B46"/>
    <w:rsid w:val="00B7642B"/>
    <w:rsid w:val="00B82BEE"/>
    <w:rsid w:val="00B902A6"/>
    <w:rsid w:val="00B969AE"/>
    <w:rsid w:val="00B971AD"/>
    <w:rsid w:val="00BA53B0"/>
    <w:rsid w:val="00BB3025"/>
    <w:rsid w:val="00BB33EE"/>
    <w:rsid w:val="00BB6478"/>
    <w:rsid w:val="00BC013C"/>
    <w:rsid w:val="00BC4778"/>
    <w:rsid w:val="00BD038E"/>
    <w:rsid w:val="00BD0FE1"/>
    <w:rsid w:val="00BE1F0A"/>
    <w:rsid w:val="00BE308D"/>
    <w:rsid w:val="00BE44FA"/>
    <w:rsid w:val="00BE5371"/>
    <w:rsid w:val="00BE570A"/>
    <w:rsid w:val="00BE731B"/>
    <w:rsid w:val="00BE7D0D"/>
    <w:rsid w:val="00BF0D3B"/>
    <w:rsid w:val="00BF0E51"/>
    <w:rsid w:val="00BF4078"/>
    <w:rsid w:val="00BF47CF"/>
    <w:rsid w:val="00BF6222"/>
    <w:rsid w:val="00BF6813"/>
    <w:rsid w:val="00C06241"/>
    <w:rsid w:val="00C11170"/>
    <w:rsid w:val="00C130A5"/>
    <w:rsid w:val="00C14015"/>
    <w:rsid w:val="00C1425A"/>
    <w:rsid w:val="00C17382"/>
    <w:rsid w:val="00C17ADC"/>
    <w:rsid w:val="00C21D1C"/>
    <w:rsid w:val="00C2317F"/>
    <w:rsid w:val="00C25911"/>
    <w:rsid w:val="00C30B85"/>
    <w:rsid w:val="00C33E77"/>
    <w:rsid w:val="00C343A0"/>
    <w:rsid w:val="00C35245"/>
    <w:rsid w:val="00C36364"/>
    <w:rsid w:val="00C37D53"/>
    <w:rsid w:val="00C42290"/>
    <w:rsid w:val="00C4249E"/>
    <w:rsid w:val="00C44FCC"/>
    <w:rsid w:val="00C4631F"/>
    <w:rsid w:val="00C46B87"/>
    <w:rsid w:val="00C51544"/>
    <w:rsid w:val="00C54B19"/>
    <w:rsid w:val="00C5765C"/>
    <w:rsid w:val="00C61E89"/>
    <w:rsid w:val="00C66EB6"/>
    <w:rsid w:val="00C709D9"/>
    <w:rsid w:val="00C71B46"/>
    <w:rsid w:val="00C7232A"/>
    <w:rsid w:val="00C74F32"/>
    <w:rsid w:val="00C80BA2"/>
    <w:rsid w:val="00C81FF0"/>
    <w:rsid w:val="00C82C0F"/>
    <w:rsid w:val="00C84881"/>
    <w:rsid w:val="00C85499"/>
    <w:rsid w:val="00C857C6"/>
    <w:rsid w:val="00C87B03"/>
    <w:rsid w:val="00C900FF"/>
    <w:rsid w:val="00C92714"/>
    <w:rsid w:val="00C94C0D"/>
    <w:rsid w:val="00C95E60"/>
    <w:rsid w:val="00CA265A"/>
    <w:rsid w:val="00CA3A28"/>
    <w:rsid w:val="00CA4C52"/>
    <w:rsid w:val="00CA4D37"/>
    <w:rsid w:val="00CB0FE0"/>
    <w:rsid w:val="00CB3B59"/>
    <w:rsid w:val="00CB3D48"/>
    <w:rsid w:val="00CB4640"/>
    <w:rsid w:val="00CB6B43"/>
    <w:rsid w:val="00CC2C21"/>
    <w:rsid w:val="00CC3BE7"/>
    <w:rsid w:val="00CC43F5"/>
    <w:rsid w:val="00CC7860"/>
    <w:rsid w:val="00CD1625"/>
    <w:rsid w:val="00CD3372"/>
    <w:rsid w:val="00CD42B8"/>
    <w:rsid w:val="00CD4758"/>
    <w:rsid w:val="00CD6C46"/>
    <w:rsid w:val="00CD78A6"/>
    <w:rsid w:val="00CE060D"/>
    <w:rsid w:val="00CE399C"/>
    <w:rsid w:val="00CE4916"/>
    <w:rsid w:val="00CE6A3F"/>
    <w:rsid w:val="00CF1DAB"/>
    <w:rsid w:val="00CF2C3B"/>
    <w:rsid w:val="00CF3128"/>
    <w:rsid w:val="00CF4925"/>
    <w:rsid w:val="00CF5786"/>
    <w:rsid w:val="00CF7F3D"/>
    <w:rsid w:val="00D0275C"/>
    <w:rsid w:val="00D02770"/>
    <w:rsid w:val="00D033A0"/>
    <w:rsid w:val="00D042DF"/>
    <w:rsid w:val="00D06493"/>
    <w:rsid w:val="00D06BF9"/>
    <w:rsid w:val="00D107E8"/>
    <w:rsid w:val="00D119D8"/>
    <w:rsid w:val="00D12347"/>
    <w:rsid w:val="00D15F7B"/>
    <w:rsid w:val="00D16C89"/>
    <w:rsid w:val="00D16D5F"/>
    <w:rsid w:val="00D3161C"/>
    <w:rsid w:val="00D35144"/>
    <w:rsid w:val="00D40233"/>
    <w:rsid w:val="00D41DE7"/>
    <w:rsid w:val="00D42A89"/>
    <w:rsid w:val="00D47D60"/>
    <w:rsid w:val="00D53C34"/>
    <w:rsid w:val="00D55071"/>
    <w:rsid w:val="00D555E1"/>
    <w:rsid w:val="00D56E9B"/>
    <w:rsid w:val="00D577E3"/>
    <w:rsid w:val="00D578CF"/>
    <w:rsid w:val="00D60ADB"/>
    <w:rsid w:val="00D663AC"/>
    <w:rsid w:val="00D66A65"/>
    <w:rsid w:val="00D7663E"/>
    <w:rsid w:val="00D82032"/>
    <w:rsid w:val="00D8370B"/>
    <w:rsid w:val="00D85B38"/>
    <w:rsid w:val="00D870C1"/>
    <w:rsid w:val="00D87E82"/>
    <w:rsid w:val="00D87EC8"/>
    <w:rsid w:val="00D90AF1"/>
    <w:rsid w:val="00D93BDC"/>
    <w:rsid w:val="00D93C05"/>
    <w:rsid w:val="00D962E6"/>
    <w:rsid w:val="00DA52CD"/>
    <w:rsid w:val="00DB1FA9"/>
    <w:rsid w:val="00DB42B0"/>
    <w:rsid w:val="00DB475F"/>
    <w:rsid w:val="00DC086D"/>
    <w:rsid w:val="00DC45ED"/>
    <w:rsid w:val="00DC4946"/>
    <w:rsid w:val="00DC55E7"/>
    <w:rsid w:val="00DC7189"/>
    <w:rsid w:val="00DD0D16"/>
    <w:rsid w:val="00DD27E4"/>
    <w:rsid w:val="00DD4196"/>
    <w:rsid w:val="00DD5973"/>
    <w:rsid w:val="00DE1A34"/>
    <w:rsid w:val="00DE4817"/>
    <w:rsid w:val="00DE749C"/>
    <w:rsid w:val="00DF223F"/>
    <w:rsid w:val="00DF45F1"/>
    <w:rsid w:val="00E00271"/>
    <w:rsid w:val="00E018F2"/>
    <w:rsid w:val="00E0228F"/>
    <w:rsid w:val="00E0359B"/>
    <w:rsid w:val="00E06977"/>
    <w:rsid w:val="00E06A7C"/>
    <w:rsid w:val="00E16260"/>
    <w:rsid w:val="00E165A3"/>
    <w:rsid w:val="00E20D99"/>
    <w:rsid w:val="00E2497A"/>
    <w:rsid w:val="00E2628F"/>
    <w:rsid w:val="00E32DF4"/>
    <w:rsid w:val="00E33EFC"/>
    <w:rsid w:val="00E35487"/>
    <w:rsid w:val="00E36BA5"/>
    <w:rsid w:val="00E377B1"/>
    <w:rsid w:val="00E37EDF"/>
    <w:rsid w:val="00E41648"/>
    <w:rsid w:val="00E44282"/>
    <w:rsid w:val="00E457CE"/>
    <w:rsid w:val="00E52976"/>
    <w:rsid w:val="00E6110A"/>
    <w:rsid w:val="00E611C1"/>
    <w:rsid w:val="00E628FB"/>
    <w:rsid w:val="00E635FF"/>
    <w:rsid w:val="00E6392E"/>
    <w:rsid w:val="00E63BC3"/>
    <w:rsid w:val="00E651F8"/>
    <w:rsid w:val="00E6521C"/>
    <w:rsid w:val="00E65868"/>
    <w:rsid w:val="00E757FF"/>
    <w:rsid w:val="00E76D22"/>
    <w:rsid w:val="00E80326"/>
    <w:rsid w:val="00E86C96"/>
    <w:rsid w:val="00E9362C"/>
    <w:rsid w:val="00E93B6A"/>
    <w:rsid w:val="00E94388"/>
    <w:rsid w:val="00E977CF"/>
    <w:rsid w:val="00EA1935"/>
    <w:rsid w:val="00EA24DB"/>
    <w:rsid w:val="00EA2FD9"/>
    <w:rsid w:val="00EA5A37"/>
    <w:rsid w:val="00EB27C7"/>
    <w:rsid w:val="00EB4BC3"/>
    <w:rsid w:val="00EB59A3"/>
    <w:rsid w:val="00EB71E6"/>
    <w:rsid w:val="00EB74CE"/>
    <w:rsid w:val="00EB799F"/>
    <w:rsid w:val="00EC1BE9"/>
    <w:rsid w:val="00EC214D"/>
    <w:rsid w:val="00EC3C8F"/>
    <w:rsid w:val="00ED29D1"/>
    <w:rsid w:val="00ED5EF9"/>
    <w:rsid w:val="00ED66B9"/>
    <w:rsid w:val="00ED6C2F"/>
    <w:rsid w:val="00ED732B"/>
    <w:rsid w:val="00EE225C"/>
    <w:rsid w:val="00EE263B"/>
    <w:rsid w:val="00EE56E1"/>
    <w:rsid w:val="00EE6651"/>
    <w:rsid w:val="00EE6C2C"/>
    <w:rsid w:val="00EF032A"/>
    <w:rsid w:val="00EF2F68"/>
    <w:rsid w:val="00EF3525"/>
    <w:rsid w:val="00EF47EF"/>
    <w:rsid w:val="00EF4AB9"/>
    <w:rsid w:val="00EF5A9F"/>
    <w:rsid w:val="00EF62EF"/>
    <w:rsid w:val="00EF76EA"/>
    <w:rsid w:val="00F0639B"/>
    <w:rsid w:val="00F1160C"/>
    <w:rsid w:val="00F1238F"/>
    <w:rsid w:val="00F1464D"/>
    <w:rsid w:val="00F154C2"/>
    <w:rsid w:val="00F15EBC"/>
    <w:rsid w:val="00F1753F"/>
    <w:rsid w:val="00F20B75"/>
    <w:rsid w:val="00F216FF"/>
    <w:rsid w:val="00F2226F"/>
    <w:rsid w:val="00F251B7"/>
    <w:rsid w:val="00F2680D"/>
    <w:rsid w:val="00F321D2"/>
    <w:rsid w:val="00F44247"/>
    <w:rsid w:val="00F45383"/>
    <w:rsid w:val="00F47998"/>
    <w:rsid w:val="00F50F28"/>
    <w:rsid w:val="00F51D3E"/>
    <w:rsid w:val="00F57DB2"/>
    <w:rsid w:val="00F60536"/>
    <w:rsid w:val="00F61064"/>
    <w:rsid w:val="00F6109D"/>
    <w:rsid w:val="00F6413D"/>
    <w:rsid w:val="00F65A88"/>
    <w:rsid w:val="00F71CB8"/>
    <w:rsid w:val="00F72EDA"/>
    <w:rsid w:val="00F73B23"/>
    <w:rsid w:val="00F7411E"/>
    <w:rsid w:val="00F758A8"/>
    <w:rsid w:val="00F75953"/>
    <w:rsid w:val="00F76375"/>
    <w:rsid w:val="00F83C4B"/>
    <w:rsid w:val="00F85353"/>
    <w:rsid w:val="00F86195"/>
    <w:rsid w:val="00F903B8"/>
    <w:rsid w:val="00F95D3A"/>
    <w:rsid w:val="00FA3146"/>
    <w:rsid w:val="00FA40E0"/>
    <w:rsid w:val="00FB27D2"/>
    <w:rsid w:val="00FB46B6"/>
    <w:rsid w:val="00FB4CA5"/>
    <w:rsid w:val="00FC1A32"/>
    <w:rsid w:val="00FC2A28"/>
    <w:rsid w:val="00FC3290"/>
    <w:rsid w:val="00FC3C68"/>
    <w:rsid w:val="00FC4A5D"/>
    <w:rsid w:val="00FD1FC3"/>
    <w:rsid w:val="00FD3D29"/>
    <w:rsid w:val="00FD63C2"/>
    <w:rsid w:val="00FE413C"/>
    <w:rsid w:val="00FE57BD"/>
    <w:rsid w:val="00FF0A56"/>
    <w:rsid w:val="00FF3AAD"/>
    <w:rsid w:val="00FF5FFE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44FCC"/>
    <w:pPr>
      <w:keepNext/>
      <w:numPr>
        <w:numId w:val="5"/>
      </w:numPr>
      <w:bidi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44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44FCC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44FCC"/>
    <w:pPr>
      <w:keepNext/>
      <w:numPr>
        <w:ilvl w:val="2"/>
        <w:numId w:val="5"/>
      </w:numPr>
      <w:bidi/>
      <w:spacing w:after="0" w:line="240" w:lineRule="auto"/>
      <w:ind w:right="0"/>
      <w:jc w:val="lowKashida"/>
      <w:outlineLvl w:val="2"/>
    </w:pPr>
    <w:rPr>
      <w:rFonts w:ascii="Arial" w:hAnsi="Arial" w:cs="Simplified Arabic"/>
      <w:b/>
      <w:bCs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FCC"/>
    <w:pPr>
      <w:keepNext/>
      <w:numPr>
        <w:ilvl w:val="3"/>
        <w:numId w:val="5"/>
      </w:numPr>
      <w:bidi/>
      <w:spacing w:before="240" w:after="60" w:line="240" w:lineRule="auto"/>
      <w:ind w:right="0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FCC"/>
    <w:pPr>
      <w:keepNext/>
      <w:numPr>
        <w:ilvl w:val="4"/>
        <w:numId w:val="5"/>
      </w:numPr>
      <w:bidi/>
      <w:spacing w:after="0" w:line="240" w:lineRule="auto"/>
      <w:ind w:right="0"/>
      <w:jc w:val="center"/>
      <w:outlineLvl w:val="4"/>
    </w:pPr>
    <w:rPr>
      <w:rFonts w:ascii="Times New Roman" w:hAnsi="Times New Roman" w:cs="Simplified Arabic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44FCC"/>
    <w:pPr>
      <w:keepNext/>
      <w:numPr>
        <w:ilvl w:val="5"/>
        <w:numId w:val="5"/>
      </w:numPr>
      <w:bidi/>
      <w:spacing w:after="0" w:line="240" w:lineRule="auto"/>
      <w:ind w:right="0"/>
      <w:jc w:val="center"/>
      <w:outlineLvl w:val="5"/>
    </w:pPr>
    <w:rPr>
      <w:rFonts w:ascii="Times New Roman" w:hAnsi="Times New Roman" w:cs="Simplified Arabic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C44FCC"/>
    <w:pPr>
      <w:keepNext/>
      <w:numPr>
        <w:ilvl w:val="6"/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hAnsi="Times New Roman" w:cs="Times New Roman"/>
      <w:b/>
      <w:bCs/>
      <w:sz w:val="20"/>
      <w:szCs w:val="32"/>
    </w:rPr>
  </w:style>
  <w:style w:type="paragraph" w:styleId="Heading8">
    <w:name w:val="heading 8"/>
    <w:basedOn w:val="Normal"/>
    <w:next w:val="Normal"/>
    <w:link w:val="Heading8Char"/>
    <w:qFormat/>
    <w:rsid w:val="00C44FCC"/>
    <w:pPr>
      <w:keepNext/>
      <w:numPr>
        <w:ilvl w:val="7"/>
        <w:numId w:val="5"/>
      </w:numPr>
      <w:overflowPunct w:val="0"/>
      <w:autoSpaceDE w:val="0"/>
      <w:autoSpaceDN w:val="0"/>
      <w:bidi/>
      <w:adjustRightInd w:val="0"/>
      <w:spacing w:after="0" w:line="240" w:lineRule="auto"/>
      <w:ind w:right="0"/>
      <w:jc w:val="center"/>
      <w:textAlignment w:val="baseline"/>
      <w:outlineLvl w:val="7"/>
    </w:pPr>
    <w:rPr>
      <w:rFonts w:ascii="Times New Roman" w:hAnsi="Times New Roman" w:cs="Simplified Arabic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C44FCC"/>
    <w:pPr>
      <w:keepNext/>
      <w:numPr>
        <w:ilvl w:val="8"/>
        <w:numId w:val="5"/>
      </w:numPr>
      <w:bidi/>
      <w:spacing w:after="0" w:line="240" w:lineRule="auto"/>
      <w:jc w:val="center"/>
      <w:outlineLvl w:val="8"/>
    </w:pPr>
    <w:rPr>
      <w:rFonts w:ascii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6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67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1154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06"/>
  </w:style>
  <w:style w:type="paragraph" w:styleId="Footer">
    <w:name w:val="footer"/>
    <w:basedOn w:val="Normal"/>
    <w:link w:val="Foot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06"/>
  </w:style>
  <w:style w:type="character" w:styleId="Hyperlink">
    <w:name w:val="Hyperlink"/>
    <w:basedOn w:val="DefaultParagraphFont"/>
    <w:uiPriority w:val="99"/>
    <w:rsid w:val="0013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C2"/>
    <w:rPr>
      <w:b/>
      <w:bCs/>
      <w:sz w:val="20"/>
      <w:szCs w:val="20"/>
    </w:rPr>
  </w:style>
  <w:style w:type="paragraph" w:customStyle="1" w:styleId="xl27">
    <w:name w:val="xl27"/>
    <w:basedOn w:val="Normal"/>
    <w:rsid w:val="00FC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Simplified Arabic" w:hint="c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F28CC"/>
    <w:pPr>
      <w:bidi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F2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4F28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44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C44F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44FCC"/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C44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44FCC"/>
    <w:rPr>
      <w:rFonts w:ascii="Times New Roman" w:eastAsia="Times New Roman" w:hAnsi="Times New Roman" w:cs="Simplified Arabic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44FCC"/>
    <w:rPr>
      <w:rFonts w:ascii="Times New Roman" w:eastAsia="Times New Roman" w:hAnsi="Times New Roman" w:cs="Simplified Arabic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C44FCC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rsid w:val="00C44FCC"/>
    <w:rPr>
      <w:rFonts w:ascii="Times New Roman" w:eastAsia="Times New Roman" w:hAnsi="Times New Roman" w:cs="Simplified Arabic"/>
      <w:b/>
      <w:bCs/>
      <w:sz w:val="40"/>
      <w:szCs w:val="40"/>
    </w:rPr>
  </w:style>
  <w:style w:type="character" w:customStyle="1" w:styleId="Heading9Char">
    <w:name w:val="Heading 9 Char"/>
    <w:basedOn w:val="DefaultParagraphFont"/>
    <w:link w:val="Heading9"/>
    <w:rsid w:val="00C44FCC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ighlight">
    <w:name w:val="highlight"/>
    <w:basedOn w:val="DefaultParagraphFont"/>
    <w:rsid w:val="00893C42"/>
    <w:rPr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42108C"/>
    <w:rPr>
      <w:i/>
      <w:iCs/>
    </w:rPr>
  </w:style>
  <w:style w:type="character" w:customStyle="1" w:styleId="apple-converted-space">
    <w:name w:val="apple-converted-space"/>
    <w:basedOn w:val="DefaultParagraphFont"/>
    <w:rsid w:val="0042108C"/>
  </w:style>
  <w:style w:type="paragraph" w:styleId="BodyText">
    <w:name w:val="Body Text"/>
    <w:basedOn w:val="Normal"/>
    <w:link w:val="BodyTextChar"/>
    <w:rsid w:val="00935942"/>
    <w:pPr>
      <w:bidi/>
      <w:spacing w:after="0" w:line="240" w:lineRule="auto"/>
      <w:jc w:val="lowKashida"/>
    </w:pPr>
    <w:rPr>
      <w:rFonts w:ascii="Times New Roman" w:hAnsi="Times New Roman" w:cs="Simplified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942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9359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93594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lockText">
    <w:name w:val="Block Text"/>
    <w:basedOn w:val="Normal"/>
    <w:uiPriority w:val="99"/>
    <w:semiHidden/>
    <w:rsid w:val="00935942"/>
    <w:pPr>
      <w:bidi/>
      <w:spacing w:after="0" w:line="240" w:lineRule="auto"/>
      <w:ind w:left="566" w:right="567"/>
      <w:jc w:val="both"/>
    </w:pPr>
    <w:rPr>
      <w:rFonts w:ascii="Times New Roman" w:hAnsi="Times New Roman" w:cs="Simplified Arabic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FE8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078"/>
    <w:pPr>
      <w:bidi/>
      <w:spacing w:after="120" w:line="48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4078"/>
    <w:rPr>
      <w:rFonts w:ascii="Times New Roman" w:eastAsia="Times New Roman" w:hAnsi="Times New Roman" w:cs="Traditional Arabic"/>
      <w:sz w:val="20"/>
      <w:szCs w:val="20"/>
    </w:rPr>
  </w:style>
  <w:style w:type="paragraph" w:customStyle="1" w:styleId="yiv1926533306ydp65b2b9cmsonormal">
    <w:name w:val="yiv1926533306ydp65b2b9cmsonormal"/>
    <w:basedOn w:val="Normal"/>
    <w:rsid w:val="003972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List-Accent4">
    <w:name w:val="Light List Accent 4"/>
    <w:basedOn w:val="TableNormal"/>
    <w:uiPriority w:val="61"/>
    <w:rsid w:val="005C4C7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D87E8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8088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8088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575;&#1604;&#1576;&#1610;&#1575;&#1606;%20&#1575;&#1604;&#1589;&#1581;&#1601;&#1610;\&#1575;&#1604;&#1606;&#1602;&#1604;%20&#1575;&#1604;&#1605;&#1606;&#1592;&#1605;(2011-201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Sheet1!$A$1</c:f>
              <c:strCache>
                <c:ptCount val="1"/>
                <c:pt idx="0">
                  <c:v>السنة</c:v>
                </c:pt>
              </c:strCache>
            </c:strRef>
          </c:tx>
          <c:cat>
            <c:numLit>
              <c:formatCode>General</c:formatCode>
              <c:ptCount val="10"/>
              <c:pt idx="0">
                <c:v>2019</c:v>
              </c:pt>
              <c:pt idx="1">
                <c:v>2018</c:v>
              </c:pt>
              <c:pt idx="2">
                <c:v>2017</c:v>
              </c:pt>
              <c:pt idx="3">
                <c:v>2016</c:v>
              </c:pt>
              <c:pt idx="4">
                <c:v>2015</c:v>
              </c:pt>
              <c:pt idx="5">
                <c:v>2014</c:v>
              </c:pt>
              <c:pt idx="6">
                <c:v>2013</c:v>
              </c:pt>
              <c:pt idx="7">
                <c:v>2012</c:v>
              </c:pt>
              <c:pt idx="8">
                <c:v>2011</c:v>
              </c:pt>
              <c:pt idx="9">
                <c:v>2010</c:v>
              </c:pt>
            </c:numLit>
          </c:cat>
          <c:val>
            <c:numRef>
              <c:f>Sheet1!$A$2:$A$11</c:f>
              <c:numCache>
                <c:formatCode>General</c:formatCode>
                <c:ptCount val="10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  <c:pt idx="3">
                  <c:v>2016</c:v>
                </c:pt>
                <c:pt idx="4">
                  <c:v>2015</c:v>
                </c:pt>
                <c:pt idx="5">
                  <c:v>2014</c:v>
                </c:pt>
                <c:pt idx="6">
                  <c:v>2013</c:v>
                </c:pt>
                <c:pt idx="7">
                  <c:v>2012</c:v>
                </c:pt>
                <c:pt idx="8">
                  <c:v>2011</c:v>
                </c:pt>
                <c:pt idx="9">
                  <c:v>2010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07-4C3C-A531-393EF908E938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قطاع النقل والمواصلات</c:v>
                </c:pt>
              </c:strCache>
            </c:strRef>
          </c:tx>
          <c:cat>
            <c:numLit>
              <c:formatCode>General</c:formatCode>
              <c:ptCount val="10"/>
              <c:pt idx="0">
                <c:v>2019</c:v>
              </c:pt>
              <c:pt idx="1">
                <c:v>2018</c:v>
              </c:pt>
              <c:pt idx="2">
                <c:v>2017</c:v>
              </c:pt>
              <c:pt idx="3">
                <c:v>2016</c:v>
              </c:pt>
              <c:pt idx="4">
                <c:v>2015</c:v>
              </c:pt>
              <c:pt idx="5">
                <c:v>2014</c:v>
              </c:pt>
              <c:pt idx="6">
                <c:v>2013</c:v>
              </c:pt>
              <c:pt idx="7">
                <c:v>2012</c:v>
              </c:pt>
              <c:pt idx="8">
                <c:v>2011</c:v>
              </c:pt>
              <c:pt idx="9">
                <c:v>2010</c:v>
              </c:pt>
            </c:numLit>
          </c:cat>
          <c:val>
            <c:numRef>
              <c:f>Sheet1!$B$2:$B$11</c:f>
              <c:numCache>
                <c:formatCode>0</c:formatCode>
                <c:ptCount val="10"/>
                <c:pt idx="0">
                  <c:v>286153.10646447784</c:v>
                </c:pt>
                <c:pt idx="1">
                  <c:v>242566.3999999997</c:v>
                </c:pt>
                <c:pt idx="2">
                  <c:v>218047</c:v>
                </c:pt>
                <c:pt idx="3">
                  <c:v>225834.10000000003</c:v>
                </c:pt>
                <c:pt idx="4">
                  <c:v>207387.2</c:v>
                </c:pt>
                <c:pt idx="5">
                  <c:v>202152</c:v>
                </c:pt>
                <c:pt idx="6">
                  <c:v>223350.76668890734</c:v>
                </c:pt>
                <c:pt idx="7">
                  <c:v>198372.3</c:v>
                </c:pt>
                <c:pt idx="8">
                  <c:v>151627.51806580802</c:v>
                </c:pt>
                <c:pt idx="9">
                  <c:v>175551.2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07-4C3C-A531-393EF908E938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القطاع (داخل المنشآت)</c:v>
                </c:pt>
              </c:strCache>
            </c:strRef>
          </c:tx>
          <c:cat>
            <c:numLit>
              <c:formatCode>General</c:formatCode>
              <c:ptCount val="10"/>
              <c:pt idx="0">
                <c:v>2019</c:v>
              </c:pt>
              <c:pt idx="1">
                <c:v>2018</c:v>
              </c:pt>
              <c:pt idx="2">
                <c:v>2017</c:v>
              </c:pt>
              <c:pt idx="3">
                <c:v>2016</c:v>
              </c:pt>
              <c:pt idx="4">
                <c:v>2015</c:v>
              </c:pt>
              <c:pt idx="5">
                <c:v>2014</c:v>
              </c:pt>
              <c:pt idx="6">
                <c:v>2013</c:v>
              </c:pt>
              <c:pt idx="7">
                <c:v>2012</c:v>
              </c:pt>
              <c:pt idx="8">
                <c:v>2011</c:v>
              </c:pt>
              <c:pt idx="9">
                <c:v>2010</c:v>
              </c:pt>
            </c:numLit>
          </c:cat>
          <c:val>
            <c:numRef>
              <c:f>Sheet1!$C$2:$C$11</c:f>
              <c:numCache>
                <c:formatCode>0</c:formatCode>
                <c:ptCount val="10"/>
                <c:pt idx="0">
                  <c:v>141217.20646447808</c:v>
                </c:pt>
                <c:pt idx="1">
                  <c:v>90655.099999999991</c:v>
                </c:pt>
                <c:pt idx="2">
                  <c:v>58196.5</c:v>
                </c:pt>
                <c:pt idx="3">
                  <c:v>76435.3</c:v>
                </c:pt>
                <c:pt idx="4">
                  <c:v>79104.800000000003</c:v>
                </c:pt>
                <c:pt idx="5">
                  <c:v>76962.7</c:v>
                </c:pt>
                <c:pt idx="6">
                  <c:v>76173.96668890724</c:v>
                </c:pt>
                <c:pt idx="7">
                  <c:v>78281.5</c:v>
                </c:pt>
                <c:pt idx="8">
                  <c:v>42952.100000000006</c:v>
                </c:pt>
                <c:pt idx="9">
                  <c:v>63576.3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07-4C3C-A531-393EF908E938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القطاع (خارج المنشآت)</c:v>
                </c:pt>
              </c:strCache>
            </c:strRef>
          </c:tx>
          <c:cat>
            <c:numLit>
              <c:formatCode>General</c:formatCode>
              <c:ptCount val="10"/>
              <c:pt idx="0">
                <c:v>2019</c:v>
              </c:pt>
              <c:pt idx="1">
                <c:v>2018</c:v>
              </c:pt>
              <c:pt idx="2">
                <c:v>2017</c:v>
              </c:pt>
              <c:pt idx="3">
                <c:v>2016</c:v>
              </c:pt>
              <c:pt idx="4">
                <c:v>2015</c:v>
              </c:pt>
              <c:pt idx="5">
                <c:v>2014</c:v>
              </c:pt>
              <c:pt idx="6">
                <c:v>2013</c:v>
              </c:pt>
              <c:pt idx="7">
                <c:v>2012</c:v>
              </c:pt>
              <c:pt idx="8">
                <c:v>2011</c:v>
              </c:pt>
              <c:pt idx="9">
                <c:v>2010</c:v>
              </c:pt>
            </c:numLit>
          </c:cat>
          <c:val>
            <c:numRef>
              <c:f>Sheet1!$D$2:$D$11</c:f>
              <c:numCache>
                <c:formatCode>0</c:formatCode>
                <c:ptCount val="10"/>
                <c:pt idx="0">
                  <c:v>144935.9</c:v>
                </c:pt>
                <c:pt idx="1">
                  <c:v>151911.29999999999</c:v>
                </c:pt>
                <c:pt idx="2">
                  <c:v>159850.5</c:v>
                </c:pt>
                <c:pt idx="3">
                  <c:v>149398.80000000002</c:v>
                </c:pt>
                <c:pt idx="4">
                  <c:v>128282.40000000001</c:v>
                </c:pt>
                <c:pt idx="5">
                  <c:v>125189.3</c:v>
                </c:pt>
                <c:pt idx="6">
                  <c:v>147176.79999999996</c:v>
                </c:pt>
                <c:pt idx="7">
                  <c:v>120090.8</c:v>
                </c:pt>
                <c:pt idx="8">
                  <c:v>108675.41806580777</c:v>
                </c:pt>
                <c:pt idx="9">
                  <c:v>111974.9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07-4C3C-A531-393EF908E938}"/>
            </c:ext>
          </c:extLst>
        </c:ser>
        <c:gapWidth val="75"/>
        <c:overlap val="-25"/>
        <c:axId val="92878720"/>
        <c:axId val="92880256"/>
      </c:barChart>
      <c:catAx>
        <c:axId val="92878720"/>
        <c:scaling>
          <c:orientation val="maxMin"/>
        </c:scaling>
        <c:axPos val="b"/>
        <c:numFmt formatCode="General" sourceLinked="1"/>
        <c:majorTickMark val="none"/>
        <c:tickLblPos val="nextTo"/>
        <c:crossAx val="92880256"/>
        <c:crosses val="autoZero"/>
        <c:auto val="1"/>
        <c:lblAlgn val="ctr"/>
        <c:lblOffset val="100"/>
      </c:catAx>
      <c:valAx>
        <c:axId val="92880256"/>
        <c:scaling>
          <c:orientation val="minMax"/>
        </c:scaling>
        <c:axPos val="r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2878720"/>
        <c:crosses val="autoZero"/>
        <c:crossBetween val="between"/>
      </c:valAx>
    </c:plotArea>
    <c:legend>
      <c:legendPos val="b"/>
      <c:legendEntry>
        <c:idx val="0"/>
        <c:delete val="1"/>
      </c:legendEntry>
    </c:legend>
    <c:plotVisOnly val="1"/>
    <c:dispBlanksAs val="gap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34786895494396453"/>
          <c:y val="0.15898641702045607"/>
          <c:w val="0.30442661586017106"/>
          <c:h val="0.7421275566360759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الاراضي الفلسطينية</c:v>
                </c:pt>
              </c:strCache>
            </c:strRef>
          </c:tx>
          <c:spPr>
            <a:solidFill>
              <a:srgbClr val="00FFFF"/>
            </a:solidFill>
            <a:ln w="25264">
              <a:noFill/>
            </a:ln>
          </c:spPr>
          <c:dPt>
            <c:idx val="0"/>
            <c:spPr>
              <a:solidFill>
                <a:srgbClr val="339966"/>
              </a:solidFill>
              <a:ln w="12631">
                <a:solidFill>
                  <a:srgbClr val="000000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808-47CD-A110-48DFDB810FA1}"/>
              </c:ext>
            </c:extLst>
          </c:dPt>
          <c:dPt>
            <c:idx val="1"/>
            <c:spPr>
              <a:solidFill>
                <a:srgbClr val="FFFFCC"/>
              </a:solidFill>
              <a:ln w="1263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08-47CD-A110-48DFDB810FA1}"/>
              </c:ext>
            </c:extLst>
          </c:dPt>
          <c:dPt>
            <c:idx val="2"/>
            <c:spPr>
              <a:solidFill>
                <a:srgbClr val="000080"/>
              </a:solidFill>
              <a:ln w="1263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808-47CD-A110-48DFDB810FA1}"/>
              </c:ext>
            </c:extLst>
          </c:dPt>
          <c:dLbls>
            <c:dLbl>
              <c:idx val="0"/>
              <c:layout>
                <c:manualLayout>
                  <c:x val="0.22628958714754241"/>
                  <c:y val="-1.8433179723502589E-2"/>
                </c:manualLayout>
              </c:layout>
              <c:tx>
                <c:rich>
                  <a:bodyPr/>
                  <a:lstStyle/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مركبات نقل الركاب العمومية</a:t>
                    </a:r>
                  </a:p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 95.0%</a:t>
                    </a:r>
                  </a:p>
                </c:rich>
              </c:tx>
              <c:spPr>
                <a:noFill/>
                <a:ln w="25301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808-47CD-A110-48DFDB810FA1}"/>
                </c:ext>
              </c:extLst>
            </c:dLbl>
            <c:dLbl>
              <c:idx val="1"/>
              <c:layout>
                <c:manualLayout>
                  <c:x val="-7.986365598440210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مركبات نقل الركاب الخصوصية</a:t>
                    </a:r>
                  </a:p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2.0%</a:t>
                    </a:r>
                  </a:p>
                </c:rich>
              </c:tx>
              <c:spPr>
                <a:noFill/>
                <a:ln w="25301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808-47CD-A110-48DFDB810FA1}"/>
                </c:ext>
              </c:extLst>
            </c:dLbl>
            <c:dLbl>
              <c:idx val="2"/>
              <c:layout>
                <c:manualLayout>
                  <c:x val="0.25057985899210616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مركبات النقل البري للبضائع</a:t>
                    </a:r>
                  </a:p>
                  <a:p>
                    <a:pPr>
                      <a:defRPr sz="794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ar-SA" sz="896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3.0%</a:t>
                    </a:r>
                  </a:p>
                </c:rich>
              </c:tx>
              <c:spPr>
                <a:noFill/>
                <a:ln w="25301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808-47CD-A110-48DFDB810FA1}"/>
                </c:ext>
              </c:extLst>
            </c:dLbl>
            <c:numFmt formatCode="0.0%" sourceLinked="0"/>
            <c:spPr>
              <a:noFill/>
              <a:ln w="25301">
                <a:noFill/>
              </a:ln>
            </c:spPr>
            <c:txPr>
              <a:bodyPr/>
              <a:lstStyle/>
              <a:p>
                <a:pPr>
                  <a:defRPr sz="8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مركبات عمومية</c:v>
                </c:pt>
                <c:pt idx="1">
                  <c:v>مركبات خصوصية</c:v>
                </c:pt>
                <c:pt idx="2">
                  <c:v>مركبات النقل البري للبضائع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08-47CD-A110-48DFDB810FA1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solidFill>
      <a:schemeClr val="bg1"/>
    </a:solidFill>
    <a:ln w="12631">
      <a:noFill/>
      <a:prstDash val="solid"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1518-2D0D-433C-AFE5-8CC184C5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adweikat</dc:creator>
  <cp:lastModifiedBy>hbadran</cp:lastModifiedBy>
  <cp:revision>5</cp:revision>
  <cp:lastPrinted>2020-06-22T11:27:00Z</cp:lastPrinted>
  <dcterms:created xsi:type="dcterms:W3CDTF">2020-06-22T11:14:00Z</dcterms:created>
  <dcterms:modified xsi:type="dcterms:W3CDTF">2020-06-22T11:38:00Z</dcterms:modified>
</cp:coreProperties>
</file>