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12" w:rsidRDefault="00395112" w:rsidP="00395112">
      <w:pPr>
        <w:bidi/>
        <w:spacing w:after="0" w:line="240" w:lineRule="auto"/>
        <w:jc w:val="center"/>
        <w:rPr>
          <w:rFonts w:ascii="Times New Roman" w:hAnsi="Times New Roman" w:cs="Simplified Arabic" w:hint="cs"/>
          <w:b/>
          <w:bCs/>
          <w:sz w:val="28"/>
          <w:szCs w:val="28"/>
          <w:rtl/>
        </w:rPr>
      </w:pPr>
    </w:p>
    <w:p w:rsidR="00395112" w:rsidRDefault="00395112" w:rsidP="00395112">
      <w:pPr>
        <w:bidi/>
        <w:spacing w:after="0" w:line="240" w:lineRule="auto"/>
        <w:jc w:val="center"/>
        <w:rPr>
          <w:rFonts w:ascii="Times New Roman" w:hAnsi="Times New Roman" w:cs="Simplified Arabic" w:hint="cs"/>
          <w:b/>
          <w:bCs/>
          <w:sz w:val="28"/>
          <w:szCs w:val="28"/>
          <w:rtl/>
        </w:rPr>
      </w:pPr>
    </w:p>
    <w:p w:rsidR="00395112" w:rsidRPr="00395112" w:rsidRDefault="00DB42B0" w:rsidP="00395112">
      <w:pPr>
        <w:bidi/>
        <w:spacing w:after="0" w:line="240" w:lineRule="auto"/>
        <w:jc w:val="center"/>
        <w:rPr>
          <w:rFonts w:ascii="Times New Roman" w:hAnsi="Times New Roman" w:cs="Simplified Arabic" w:hint="cs"/>
          <w:b/>
          <w:bCs/>
          <w:sz w:val="32"/>
          <w:szCs w:val="32"/>
          <w:rtl/>
        </w:rPr>
      </w:pPr>
      <w:r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>الجهاز المركزي للإحصاء الفلسطيني وسلطة المياه الفلسطينية يصدران بيانا</w:t>
      </w:r>
      <w:r w:rsidR="00395112"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>ً</w:t>
      </w:r>
      <w:r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 xml:space="preserve"> صحفيا</w:t>
      </w:r>
      <w:r w:rsidR="00395112"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>ً</w:t>
      </w:r>
      <w:r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 xml:space="preserve"> مشتركا</w:t>
      </w:r>
      <w:r w:rsidR="00395112"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>ً</w:t>
      </w:r>
      <w:r w:rsidR="00D7663E" w:rsidRPr="00395112">
        <w:rPr>
          <w:rFonts w:ascii="Times New Roman" w:hAnsi="Times New Roman" w:cs="Simplified Arabic"/>
          <w:b/>
          <w:bCs/>
          <w:sz w:val="32"/>
          <w:szCs w:val="32"/>
        </w:rPr>
        <w:t xml:space="preserve"> </w:t>
      </w:r>
    </w:p>
    <w:p w:rsidR="00CF4925" w:rsidRPr="00395112" w:rsidRDefault="00DB42B0" w:rsidP="0039511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32"/>
          <w:szCs w:val="32"/>
        </w:rPr>
      </w:pPr>
      <w:r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>بمناسبة يوم المياه العالمي</w:t>
      </w:r>
      <w:r w:rsidRPr="00395112">
        <w:rPr>
          <w:rFonts w:ascii="Times New Roman" w:hAnsi="Times New Roman" w:cs="Simplified Arabic"/>
          <w:b/>
          <w:bCs/>
          <w:sz w:val="32"/>
          <w:szCs w:val="32"/>
        </w:rPr>
        <w:t xml:space="preserve">  </w:t>
      </w:r>
      <w:r w:rsidR="00B05517"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>22</w:t>
      </w:r>
      <w:r w:rsidR="00D35144"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>/03/</w:t>
      </w:r>
      <w:r w:rsidR="008A2472" w:rsidRPr="00395112">
        <w:rPr>
          <w:rFonts w:ascii="Times New Roman" w:hAnsi="Times New Roman" w:cs="Simplified Arabic" w:hint="cs"/>
          <w:b/>
          <w:bCs/>
          <w:sz w:val="32"/>
          <w:szCs w:val="32"/>
          <w:rtl/>
        </w:rPr>
        <w:t>2019</w:t>
      </w:r>
    </w:p>
    <w:p w:rsidR="00A715E0" w:rsidRPr="00395112" w:rsidRDefault="00A715E0" w:rsidP="00542054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16"/>
          <w:szCs w:val="16"/>
          <w:rtl/>
          <w:lang w:bidi="ar-JO"/>
        </w:rPr>
      </w:pPr>
    </w:p>
    <w:p w:rsidR="00542054" w:rsidRPr="00395112" w:rsidRDefault="00542054" w:rsidP="003502EE">
      <w:pPr>
        <w:bidi/>
        <w:spacing w:after="0" w:line="240" w:lineRule="auto"/>
        <w:jc w:val="center"/>
        <w:rPr>
          <w:rFonts w:ascii="Times New Roman" w:hAnsi="Times New Roman" w:cs="Simplified Arabic"/>
          <w:color w:val="000000"/>
          <w:sz w:val="28"/>
          <w:szCs w:val="28"/>
          <w:rtl/>
        </w:rPr>
      </w:pPr>
      <w:r w:rsidRPr="00395112">
        <w:rPr>
          <w:rFonts w:ascii="Times New Roman" w:hAnsi="Times New Roman" w:cs="Simplified Arabic" w:hint="cs"/>
          <w:b/>
          <w:bCs/>
          <w:color w:val="000000"/>
          <w:sz w:val="28"/>
          <w:szCs w:val="28"/>
          <w:rtl/>
        </w:rPr>
        <w:t>تحت شعار</w:t>
      </w:r>
      <w:r w:rsidR="00BD0FE1" w:rsidRPr="00395112">
        <w:rPr>
          <w:rFonts w:ascii="Times New Roman" w:hAnsi="Times New Roman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F1464D" w:rsidRPr="00395112">
        <w:rPr>
          <w:rFonts w:ascii="Times New Roman" w:hAnsi="Times New Roman" w:cs="Simplified Arabic"/>
          <w:b/>
          <w:bCs/>
          <w:sz w:val="28"/>
          <w:szCs w:val="28"/>
          <w:rtl/>
        </w:rPr>
        <w:t>"</w:t>
      </w:r>
      <w:r w:rsidR="00054EC8" w:rsidRPr="00395112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لا </w:t>
      </w:r>
      <w:r w:rsidR="00232731" w:rsidRPr="00395112">
        <w:rPr>
          <w:rFonts w:ascii="Times New Roman" w:hAnsi="Times New Roman" w:cs="Simplified Arabic" w:hint="cs"/>
          <w:b/>
          <w:bCs/>
          <w:sz w:val="28"/>
          <w:szCs w:val="28"/>
          <w:rtl/>
        </w:rPr>
        <w:t>ن</w:t>
      </w:r>
      <w:r w:rsidR="003502EE" w:rsidRPr="00395112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ترك أحد </w:t>
      </w:r>
      <w:r w:rsidR="00054EC8" w:rsidRPr="00395112">
        <w:rPr>
          <w:rFonts w:ascii="Times New Roman" w:hAnsi="Times New Roman" w:cs="Simplified Arabic" w:hint="cs"/>
          <w:b/>
          <w:bCs/>
          <w:sz w:val="28"/>
          <w:szCs w:val="28"/>
          <w:rtl/>
        </w:rPr>
        <w:t>يتخلف عن الركب</w:t>
      </w:r>
      <w:r w:rsidR="00232731" w:rsidRPr="00395112">
        <w:rPr>
          <w:rFonts w:ascii="Times New Roman" w:hAnsi="Times New Roman" w:cs="Simplified Arabic" w:hint="cs"/>
          <w:b/>
          <w:bCs/>
          <w:sz w:val="28"/>
          <w:szCs w:val="28"/>
          <w:rtl/>
        </w:rPr>
        <w:t>... المياه للجميع</w:t>
      </w:r>
      <w:r w:rsidR="00232731" w:rsidRPr="00395112">
        <w:rPr>
          <w:rFonts w:ascii="Times New Roman" w:hAnsi="Times New Roman" w:cs="Simplified Arabic"/>
          <w:b/>
          <w:bCs/>
          <w:sz w:val="28"/>
          <w:szCs w:val="28"/>
          <w:rtl/>
        </w:rPr>
        <w:t>"</w:t>
      </w:r>
      <w:r w:rsidR="00F1464D" w:rsidRPr="00395112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،</w:t>
      </w:r>
      <w:r w:rsidR="00F1464D" w:rsidRPr="00395112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395112">
        <w:rPr>
          <w:rFonts w:ascii="Times New Roman" w:hAnsi="Times New Roman" w:cs="Simplified Arabic" w:hint="cs"/>
          <w:b/>
          <w:bCs/>
          <w:color w:val="000000"/>
          <w:sz w:val="28"/>
          <w:szCs w:val="28"/>
          <w:rtl/>
        </w:rPr>
        <w:t xml:space="preserve">يحتفل العالم </w:t>
      </w:r>
      <w:r w:rsidRPr="00395112">
        <w:rPr>
          <w:rFonts w:ascii="Times New Roman" w:hAnsi="Times New Roman" w:cs="Simplified Arabic" w:hint="cs"/>
          <w:b/>
          <w:bCs/>
          <w:sz w:val="28"/>
          <w:szCs w:val="28"/>
          <w:rtl/>
        </w:rPr>
        <w:t>ب</w:t>
      </w:r>
      <w:r w:rsidRPr="00395112">
        <w:rPr>
          <w:rFonts w:ascii="Times New Roman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يوم المياه العالمي</w:t>
      </w:r>
      <w:r w:rsidR="00BD0FE1" w:rsidRPr="00395112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 xml:space="preserve"> لعام</w:t>
      </w:r>
      <w:r w:rsidR="00BD0FE1" w:rsidRPr="00395112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2019</w:t>
      </w:r>
    </w:p>
    <w:p w:rsidR="00BD0FE1" w:rsidRPr="00395112" w:rsidRDefault="00BD0FE1" w:rsidP="00BD0FE1">
      <w:pPr>
        <w:bidi/>
        <w:spacing w:after="0" w:line="240" w:lineRule="auto"/>
        <w:jc w:val="center"/>
        <w:rPr>
          <w:rFonts w:ascii="Times New Roman" w:hAnsi="Times New Roman" w:cs="Simplified Arabic"/>
          <w:color w:val="000000"/>
          <w:sz w:val="16"/>
          <w:szCs w:val="16"/>
          <w:rtl/>
        </w:rPr>
      </w:pPr>
    </w:p>
    <w:p w:rsidR="00395112" w:rsidRDefault="00395112" w:rsidP="003502EE">
      <w:pPr>
        <w:bidi/>
        <w:spacing w:after="0" w:line="240" w:lineRule="auto"/>
        <w:jc w:val="both"/>
        <w:rPr>
          <w:rFonts w:ascii="Times New Roman" w:hAnsi="Times New Roman" w:cs="Simplified Arabic" w:hint="cs"/>
          <w:color w:val="000000"/>
          <w:sz w:val="24"/>
          <w:szCs w:val="24"/>
          <w:rtl/>
        </w:rPr>
      </w:pPr>
    </w:p>
    <w:p w:rsidR="003E5CD1" w:rsidRPr="00395112" w:rsidRDefault="00395112" w:rsidP="00395112">
      <w:pPr>
        <w:bidi/>
        <w:spacing w:after="0" w:line="240" w:lineRule="auto"/>
        <w:jc w:val="both"/>
        <w:rPr>
          <w:rFonts w:ascii="Times New Roman" w:hAnsi="Times New Roman" w:cs="Simplified Arabic"/>
          <w:sz w:val="24"/>
          <w:szCs w:val="24"/>
          <w:rtl/>
        </w:rPr>
      </w:pPr>
      <w:r>
        <w:rPr>
          <w:rFonts w:ascii="Times New Roman" w:hAnsi="Times New Roman" w:cs="Simplified Arabic" w:hint="cs"/>
          <w:color w:val="000000"/>
          <w:sz w:val="24"/>
          <w:szCs w:val="24"/>
          <w:rtl/>
        </w:rPr>
        <w:t>أ</w:t>
      </w:r>
      <w:r w:rsidR="005F7B1A" w:rsidRPr="00395112">
        <w:rPr>
          <w:rFonts w:ascii="Times New Roman" w:hAnsi="Times New Roman" w:cs="Simplified Arabic" w:hint="cs"/>
          <w:color w:val="000000"/>
          <w:sz w:val="24"/>
          <w:szCs w:val="24"/>
          <w:rtl/>
        </w:rPr>
        <w:t>صدر الجهاز المركزي للإحصاء الفلسطيني</w:t>
      </w:r>
      <w:r w:rsidR="00021DD6" w:rsidRPr="00395112">
        <w:rPr>
          <w:rFonts w:ascii="Times New Roman" w:hAnsi="Times New Roman" w:cs="Simplified Arabic" w:hint="cs"/>
          <w:color w:val="000000"/>
          <w:sz w:val="24"/>
          <w:szCs w:val="24"/>
          <w:rtl/>
        </w:rPr>
        <w:t xml:space="preserve"> وسلطة المياه الفلسطينية</w:t>
      </w:r>
      <w:r w:rsidR="005F7B1A" w:rsidRPr="00395112">
        <w:rPr>
          <w:rFonts w:ascii="Times New Roman" w:hAnsi="Times New Roman" w:cs="Simplified Arabic" w:hint="cs"/>
          <w:color w:val="000000"/>
          <w:sz w:val="24"/>
          <w:szCs w:val="24"/>
          <w:rtl/>
        </w:rPr>
        <w:t xml:space="preserve"> بيانا صحفيا</w:t>
      </w:r>
      <w:r w:rsidR="00021DD6" w:rsidRPr="00395112">
        <w:rPr>
          <w:rFonts w:ascii="Times New Roman" w:hAnsi="Times New Roman" w:cs="Simplified Arabic" w:hint="cs"/>
          <w:color w:val="000000"/>
          <w:sz w:val="24"/>
          <w:szCs w:val="24"/>
          <w:rtl/>
        </w:rPr>
        <w:t xml:space="preserve"> مشتركا</w:t>
      </w:r>
      <w:r w:rsidR="005F7B1A" w:rsidRPr="00395112">
        <w:rPr>
          <w:rFonts w:ascii="Times New Roman" w:hAnsi="Times New Roman" w:cs="Simplified Arabic" w:hint="cs"/>
          <w:color w:val="000000"/>
          <w:sz w:val="24"/>
          <w:szCs w:val="24"/>
          <w:rtl/>
        </w:rPr>
        <w:t xml:space="preserve"> بمناسبة يوم المياه </w:t>
      </w:r>
      <w:proofErr w:type="spellStart"/>
      <w:r w:rsidR="005F7B1A" w:rsidRPr="00395112">
        <w:rPr>
          <w:rFonts w:ascii="Times New Roman" w:hAnsi="Times New Roman" w:cs="Simplified Arabic" w:hint="cs"/>
          <w:color w:val="000000"/>
          <w:sz w:val="24"/>
          <w:szCs w:val="24"/>
          <w:rtl/>
        </w:rPr>
        <w:t>العالمي</w:t>
      </w:r>
      <w:r w:rsidR="00497962" w:rsidRPr="00395112">
        <w:rPr>
          <w:rFonts w:ascii="Times New Roman" w:hAnsi="Times New Roman" w:cs="Simplified Arabic" w:hint="cs"/>
          <w:color w:val="000000"/>
          <w:sz w:val="24"/>
          <w:szCs w:val="24"/>
          <w:rtl/>
        </w:rPr>
        <w:t>،</w:t>
      </w:r>
      <w:proofErr w:type="spellEnd"/>
      <w:r w:rsidR="005F7B1A" w:rsidRPr="00395112">
        <w:rPr>
          <w:rFonts w:ascii="Times New Roman" w:hAnsi="Times New Roman" w:cs="Simplified Arabic" w:hint="cs"/>
          <w:color w:val="000000"/>
          <w:sz w:val="24"/>
          <w:szCs w:val="24"/>
          <w:rtl/>
        </w:rPr>
        <w:t xml:space="preserve"> </w:t>
      </w:r>
      <w:r w:rsidR="00D87EC8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فقد </w:t>
      </w:r>
      <w:r w:rsidR="007B0AB9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أعلنت </w:t>
      </w:r>
      <w:r w:rsidR="004A79C5" w:rsidRPr="00395112">
        <w:rPr>
          <w:rFonts w:ascii="Times New Roman" w:hAnsi="Times New Roman" w:cs="Simplified Arabic" w:hint="cs"/>
          <w:sz w:val="24"/>
          <w:szCs w:val="24"/>
          <w:rtl/>
        </w:rPr>
        <w:t>الأمم</w:t>
      </w:r>
      <w:r w:rsidR="007B0AB9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المتحدة أن</w:t>
      </w:r>
      <w:r w:rsidR="00D87EC8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463A56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شعار يوم المياه العالمي </w:t>
      </w:r>
      <w:r w:rsidR="00021DD6" w:rsidRPr="00395112">
        <w:rPr>
          <w:rFonts w:ascii="Times New Roman" w:hAnsi="Times New Roman" w:cs="Simplified Arabic" w:hint="cs"/>
          <w:sz w:val="24"/>
          <w:szCs w:val="24"/>
          <w:rtl/>
        </w:rPr>
        <w:t>لعام</w:t>
      </w:r>
      <w:r w:rsidR="00021DD6" w:rsidRPr="00395112">
        <w:rPr>
          <w:rFonts w:ascii="Times New Roman" w:hAnsi="Times New Roman" w:cs="Simplified Arabic" w:hint="cs"/>
          <w:sz w:val="24"/>
          <w:szCs w:val="24"/>
          <w:rtl/>
          <w:lang w:bidi="ar-JO"/>
        </w:rPr>
        <w:t xml:space="preserve"> </w:t>
      </w:r>
      <w:r w:rsidR="008A2472" w:rsidRPr="00395112">
        <w:rPr>
          <w:rFonts w:ascii="Times New Roman" w:hAnsi="Times New Roman" w:cs="Simplified Arabic" w:hint="cs"/>
          <w:sz w:val="24"/>
          <w:szCs w:val="24"/>
          <w:rtl/>
        </w:rPr>
        <w:t>2019</w:t>
      </w:r>
      <w:r w:rsidR="004236D7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463A56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الذي يصادف يوم </w:t>
      </w:r>
      <w:r w:rsidR="00B05517" w:rsidRPr="00395112">
        <w:rPr>
          <w:rFonts w:ascii="Times New Roman" w:hAnsi="Times New Roman" w:cs="Simplified Arabic" w:hint="cs"/>
          <w:sz w:val="24"/>
          <w:szCs w:val="24"/>
          <w:rtl/>
        </w:rPr>
        <w:t>22</w:t>
      </w:r>
      <w:r w:rsidR="00463A56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021DD6" w:rsidRPr="00395112">
        <w:rPr>
          <w:rFonts w:ascii="Times New Roman" w:hAnsi="Times New Roman" w:cs="Simplified Arabic" w:hint="cs"/>
          <w:sz w:val="24"/>
          <w:szCs w:val="24"/>
          <w:rtl/>
        </w:rPr>
        <w:t>آذار</w:t>
      </w:r>
      <w:r w:rsidR="00463A56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من كل عام هو</w:t>
      </w:r>
      <w:r w:rsidR="00BD0FE1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3502EE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>"</w:t>
      </w:r>
      <w:r w:rsidR="003502EE" w:rsidRPr="00395112">
        <w:rPr>
          <w:rFonts w:ascii="Times New Roman" w:hAnsi="Times New Roman" w:cs="Simplified Arabic" w:hint="cs"/>
          <w:b/>
          <w:bCs/>
          <w:sz w:val="24"/>
          <w:szCs w:val="24"/>
          <w:rtl/>
        </w:rPr>
        <w:t>لا تترك أحد يتخلف عن الركب</w:t>
      </w:r>
      <w:r w:rsidR="00232731" w:rsidRPr="00395112">
        <w:rPr>
          <w:rFonts w:ascii="Times New Roman" w:hAnsi="Times New Roman" w:cs="Simplified Arabic" w:hint="cs"/>
          <w:b/>
          <w:bCs/>
          <w:sz w:val="24"/>
          <w:szCs w:val="24"/>
          <w:rtl/>
        </w:rPr>
        <w:t xml:space="preserve">... المياه </w:t>
      </w:r>
      <w:proofErr w:type="spellStart"/>
      <w:r w:rsidR="00232731" w:rsidRPr="00395112">
        <w:rPr>
          <w:rFonts w:ascii="Times New Roman" w:hAnsi="Times New Roman" w:cs="Simplified Arabic" w:hint="cs"/>
          <w:b/>
          <w:bCs/>
          <w:sz w:val="24"/>
          <w:szCs w:val="24"/>
          <w:rtl/>
        </w:rPr>
        <w:t>للجميع</w:t>
      </w:r>
      <w:r w:rsidR="003502EE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>"</w:t>
      </w:r>
      <w:proofErr w:type="spellEnd"/>
      <w:r w:rsidR="00054EC8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وهو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الوعد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الأساسي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054EC8" w:rsidRPr="00395112">
        <w:rPr>
          <w:rFonts w:ascii="Times New Roman" w:hAnsi="Times New Roman" w:cs="Simplified Arabic" w:hint="cs"/>
          <w:b/>
          <w:bCs/>
          <w:sz w:val="24"/>
          <w:szCs w:val="24"/>
          <w:rtl/>
        </w:rPr>
        <w:t>لأجندة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التنمية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المستدامة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لعام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proofErr w:type="spellStart"/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>2030:</w:t>
      </w:r>
      <w:proofErr w:type="spellEnd"/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مع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تقدم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التنمية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proofErr w:type="spellStart"/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المستدامة،</w:t>
      </w:r>
      <w:proofErr w:type="spellEnd"/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يجب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أن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يستفيد</w:t>
      </w:r>
      <w:r w:rsidR="00BD0FE1" w:rsidRPr="00395112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</w:t>
      </w:r>
      <w:r w:rsidR="00BD0FE1" w:rsidRPr="00395112">
        <w:rPr>
          <w:rFonts w:ascii="Times New Roman" w:hAnsi="Times New Roman" w:cs="Simplified Arabic" w:hint="eastAsia"/>
          <w:b/>
          <w:bCs/>
          <w:sz w:val="24"/>
          <w:szCs w:val="24"/>
          <w:rtl/>
        </w:rPr>
        <w:t>الجميع</w:t>
      </w:r>
      <w:r w:rsidR="00CE4916" w:rsidRPr="00395112">
        <w:rPr>
          <w:rFonts w:ascii="Times New Roman" w:hAnsi="Times New Roman" w:cs="Simplified Arabic" w:hint="cs"/>
          <w:sz w:val="24"/>
          <w:szCs w:val="24"/>
          <w:rtl/>
        </w:rPr>
        <w:t>.</w:t>
      </w:r>
      <w:r w:rsidR="003A1B9D" w:rsidRPr="00395112">
        <w:rPr>
          <w:rFonts w:cs="Simplified Arabic" w:hint="cs"/>
          <w:sz w:val="24"/>
          <w:szCs w:val="24"/>
          <w:rtl/>
        </w:rPr>
        <w:t xml:space="preserve"> </w:t>
      </w:r>
    </w:p>
    <w:p w:rsidR="00BF4078" w:rsidRPr="00395112" w:rsidRDefault="00BF4078" w:rsidP="00BF4078">
      <w:pPr>
        <w:bidi/>
        <w:spacing w:after="0" w:line="240" w:lineRule="auto"/>
        <w:jc w:val="both"/>
        <w:rPr>
          <w:rFonts w:ascii="Times New Roman" w:hAnsi="Times New Roman" w:cs="Simplified Arabic"/>
          <w:sz w:val="16"/>
          <w:szCs w:val="16"/>
          <w:rtl/>
        </w:rPr>
      </w:pPr>
    </w:p>
    <w:p w:rsidR="00983B1D" w:rsidRPr="00395112" w:rsidRDefault="00BF4078" w:rsidP="00395112">
      <w:p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proofErr w:type="spellStart"/>
      <w:r w:rsidRPr="0039511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62%</w:t>
      </w:r>
      <w:proofErr w:type="spellEnd"/>
      <w:r w:rsidRPr="0039511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من الأسر في فلسطين تستخدم مصدر مياه شرب آمن</w:t>
      </w:r>
    </w:p>
    <w:p w:rsidR="00B82BEE" w:rsidRPr="00395112" w:rsidRDefault="00A1165E" w:rsidP="00EB71E6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95112">
        <w:rPr>
          <w:rFonts w:ascii="Simplified Arabic" w:hAnsi="Simplified Arabic" w:cs="Simplified Arabic"/>
          <w:sz w:val="24"/>
          <w:szCs w:val="24"/>
          <w:rtl/>
        </w:rPr>
        <w:t>إن توافر مياه نقية ويسهل الحصول عليها بالنسبة للجميع هو جزء أساسي</w:t>
      </w:r>
      <w:r w:rsidRPr="00395112">
        <w:rPr>
          <w:rFonts w:ascii="Simplified Arabic" w:hAnsi="Simplified Arabic" w:cs="Simplified Arabic" w:hint="cs"/>
          <w:sz w:val="24"/>
          <w:szCs w:val="24"/>
          <w:rtl/>
        </w:rPr>
        <w:t xml:space="preserve"> من أهداف التنمية </w:t>
      </w:r>
      <w:proofErr w:type="spellStart"/>
      <w:r w:rsidRPr="00395112">
        <w:rPr>
          <w:rFonts w:ascii="Simplified Arabic" w:hAnsi="Simplified Arabic" w:cs="Simplified Arabic" w:hint="cs"/>
          <w:sz w:val="24"/>
          <w:szCs w:val="24"/>
          <w:rtl/>
        </w:rPr>
        <w:t>المستدامة،</w:t>
      </w:r>
      <w:proofErr w:type="spellEnd"/>
      <w:r w:rsidR="00B82BEE" w:rsidRPr="0039511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B71E6" w:rsidRPr="00395112">
        <w:rPr>
          <w:rFonts w:ascii="Simplified Arabic" w:hAnsi="Simplified Arabic" w:cs="Simplified Arabic" w:hint="cs"/>
          <w:sz w:val="24"/>
          <w:szCs w:val="24"/>
          <w:rtl/>
        </w:rPr>
        <w:t>الغاية الأولى من الهدف السادس</w:t>
      </w:r>
      <w:r w:rsidR="00B82BEE" w:rsidRPr="0039511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B71E6" w:rsidRPr="00395112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4D6177" w:rsidRPr="00395112">
        <w:rPr>
          <w:rFonts w:ascii="Simplified Arabic" w:hAnsi="Simplified Arabic" w:cs="Simplified Arabic" w:hint="cs"/>
          <w:sz w:val="24"/>
          <w:szCs w:val="24"/>
          <w:rtl/>
        </w:rPr>
        <w:t xml:space="preserve">ركز على </w:t>
      </w:r>
      <w:r w:rsidR="00B82BEE" w:rsidRPr="00395112">
        <w:rPr>
          <w:rFonts w:ascii="Simplified Arabic" w:hAnsi="Simplified Arabic" w:cs="Simplified Arabic"/>
          <w:sz w:val="24"/>
          <w:szCs w:val="24"/>
          <w:rtl/>
        </w:rPr>
        <w:t xml:space="preserve">حصول الجميع بشكل منصف على مياه الشرب </w:t>
      </w:r>
      <w:r w:rsidR="00EB71E6" w:rsidRPr="00395112">
        <w:rPr>
          <w:rFonts w:ascii="Simplified Arabic" w:hAnsi="Simplified Arabic" w:cs="Simplified Arabic" w:hint="cs"/>
          <w:sz w:val="24"/>
          <w:szCs w:val="24"/>
          <w:rtl/>
        </w:rPr>
        <w:t>الآمنة</w:t>
      </w:r>
      <w:r w:rsidR="00B82BEE" w:rsidRPr="00395112">
        <w:rPr>
          <w:rFonts w:ascii="Simplified Arabic" w:hAnsi="Simplified Arabic" w:cs="Simplified Arabic"/>
          <w:sz w:val="24"/>
          <w:szCs w:val="24"/>
          <w:rtl/>
        </w:rPr>
        <w:t xml:space="preserve"> والميسورة التكلفة بحلول عام 2030</w:t>
      </w:r>
      <w:r w:rsidR="00B82BEE" w:rsidRPr="00395112">
        <w:rPr>
          <w:rFonts w:ascii="Simplified Arabic" w:hAnsi="Simplified Arabic" w:cs="Simplified Arabic"/>
          <w:sz w:val="24"/>
          <w:szCs w:val="24"/>
        </w:rPr>
        <w:t>.</w:t>
      </w:r>
    </w:p>
    <w:p w:rsidR="00983B1D" w:rsidRPr="00395112" w:rsidRDefault="00983B1D" w:rsidP="00983B1D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F4078" w:rsidRPr="00395112" w:rsidRDefault="00CC3BE7" w:rsidP="00395112">
      <w:pPr>
        <w:bidi/>
        <w:spacing w:after="0" w:line="240" w:lineRule="auto"/>
        <w:ind w:hanging="2"/>
        <w:jc w:val="both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فيما </w:t>
      </w:r>
      <w:r w:rsidR="004D617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يتعلق بوضع</w:t>
      </w:r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فلسطين في هذا الهدف تشير بيانات</w:t>
      </w:r>
      <w:r w:rsidR="00983B1D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التعداد </w:t>
      </w:r>
      <w:r w:rsidR="00EB71E6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العام للسكان والمس</w:t>
      </w:r>
      <w:r w:rsidR="00742DA2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ا</w:t>
      </w:r>
      <w:r w:rsidR="00EB71E6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كن والمنشآت </w:t>
      </w:r>
      <w:proofErr w:type="spellStart"/>
      <w:r w:rsidR="00983B1D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2017</w:t>
      </w:r>
      <w:r w:rsidR="00EB71E6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،</w:t>
      </w:r>
      <w:proofErr w:type="spellEnd"/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إلى أن </w:t>
      </w:r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نسبة الأسر التي تستخدم مصدر مياه شرب آمن (شبكة المياه العامة الموصولة </w:t>
      </w:r>
      <w:proofErr w:type="spellStart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بالمسكن،</w:t>
      </w:r>
      <w:proofErr w:type="spellEnd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حنفية </w:t>
      </w:r>
      <w:proofErr w:type="spellStart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عامة،</w:t>
      </w:r>
      <w:proofErr w:type="spellEnd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بئر ارتوازي </w:t>
      </w:r>
      <w:proofErr w:type="spellStart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محمي،</w:t>
      </w:r>
      <w:proofErr w:type="spellEnd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ينبوع </w:t>
      </w:r>
      <w:proofErr w:type="spellStart"/>
      <w:r w:rsidR="00EB71E6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محمي</w:t>
      </w:r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،</w:t>
      </w:r>
      <w:proofErr w:type="spellEnd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مياه تجميع </w:t>
      </w:r>
      <w:proofErr w:type="spellStart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الأمطار،</w:t>
      </w:r>
      <w:proofErr w:type="spellEnd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ومياه معدنية</w:t>
      </w:r>
      <w:proofErr w:type="spellStart"/>
      <w:r w:rsidR="00983B1D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)</w:t>
      </w:r>
      <w:proofErr w:type="spellEnd"/>
      <w:r w:rsidR="00983B1D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بلغت </w:t>
      </w:r>
      <w:r w:rsidR="00BF4078" w:rsidRPr="00395112">
        <w:rPr>
          <w:rFonts w:ascii="Simplified Arabic" w:eastAsia="Times New Roman" w:hAnsi="Simplified Arabic" w:cs="Simplified Arabic"/>
          <w:sz w:val="24"/>
          <w:szCs w:val="24"/>
        </w:rPr>
        <w:t>62</w:t>
      </w:r>
      <w:proofErr w:type="spellStart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%</w:t>
      </w:r>
      <w:proofErr w:type="spellEnd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r w:rsidR="008F29C3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من </w:t>
      </w:r>
      <w:proofErr w:type="spellStart"/>
      <w:r w:rsidR="008F29C3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الأسر</w:t>
      </w:r>
      <w:r w:rsidR="00983B1D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،</w:t>
      </w:r>
      <w:proofErr w:type="spellEnd"/>
      <w:r w:rsidR="008F29C3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بواقع</w:t>
      </w:r>
      <w:r w:rsidR="009873B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9873B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95%</w:t>
      </w:r>
      <w:proofErr w:type="spellEnd"/>
      <w:r w:rsidR="00983B1D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من الأسر </w:t>
      </w:r>
      <w:r w:rsidR="009873B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في الضفة </w:t>
      </w:r>
      <w:proofErr w:type="spellStart"/>
      <w:r w:rsidR="009873B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الغربية</w:t>
      </w:r>
      <w:r w:rsidR="00983B1D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،</w:t>
      </w:r>
      <w:proofErr w:type="spellEnd"/>
      <w:r w:rsidR="00EB71E6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EB71E6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و11</w:t>
      </w:r>
      <w:r w:rsidR="009873B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%</w:t>
      </w:r>
      <w:proofErr w:type="spellEnd"/>
      <w:r w:rsidR="00983B1D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من الأسر </w:t>
      </w:r>
      <w:r w:rsidR="009873B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في قطاع غزة</w:t>
      </w:r>
      <w:r w:rsidR="00115B43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(ويعزى السبب في انخفاض النسبة في قطاع غزة بسبب تردي نوعية المياه المستخرجة من الحوض الساحلي</w:t>
      </w:r>
      <w:proofErr w:type="spellStart"/>
      <w:r w:rsidR="00115B43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)</w:t>
      </w:r>
      <w:r w:rsidR="009873B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،</w:t>
      </w:r>
      <w:proofErr w:type="spellEnd"/>
      <w:r w:rsidR="009873B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أما بالنسبة </w:t>
      </w:r>
      <w:r w:rsidR="00EB71E6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لنوع التجمع فتوزعت هذه النسب إلى </w:t>
      </w:r>
      <w:r w:rsidR="00EB71E6" w:rsidRPr="00395112">
        <w:rPr>
          <w:rFonts w:ascii="Simplified Arabic" w:eastAsia="Times New Roman" w:hAnsi="Simplified Arabic" w:cs="Simplified Arabic"/>
          <w:sz w:val="24"/>
          <w:szCs w:val="24"/>
        </w:rPr>
        <w:t>58</w:t>
      </w:r>
      <w:proofErr w:type="spellStart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%</w:t>
      </w:r>
      <w:proofErr w:type="spellEnd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في الحضر و</w:t>
      </w:r>
      <w:r w:rsidR="00BF4078" w:rsidRPr="00395112">
        <w:rPr>
          <w:rFonts w:ascii="Simplified Arabic" w:eastAsia="Times New Roman" w:hAnsi="Simplified Arabic" w:cs="Simplified Arabic"/>
          <w:sz w:val="24"/>
          <w:szCs w:val="24"/>
        </w:rPr>
        <w:t>9</w:t>
      </w:r>
      <w:r w:rsidR="00EB71E6" w:rsidRPr="00395112">
        <w:rPr>
          <w:rFonts w:ascii="Simplified Arabic" w:eastAsia="Times New Roman" w:hAnsi="Simplified Arabic" w:cs="Simplified Arabic"/>
          <w:sz w:val="24"/>
          <w:szCs w:val="24"/>
        </w:rPr>
        <w:t>4</w:t>
      </w:r>
      <w:proofErr w:type="spellStart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%</w:t>
      </w:r>
      <w:proofErr w:type="spellEnd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في الريف وتنخفض</w:t>
      </w:r>
      <w:r w:rsidR="00500927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هذه النسبة</w:t>
      </w:r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إلى </w:t>
      </w:r>
      <w:r w:rsidR="00BF4078" w:rsidRPr="00395112">
        <w:rPr>
          <w:rFonts w:ascii="Simplified Arabic" w:eastAsia="Times New Roman" w:hAnsi="Simplified Arabic" w:cs="Simplified Arabic"/>
          <w:sz w:val="24"/>
          <w:szCs w:val="24"/>
        </w:rPr>
        <w:t>4</w:t>
      </w:r>
      <w:r w:rsidR="00EB71E6" w:rsidRPr="00395112">
        <w:rPr>
          <w:rFonts w:ascii="Simplified Arabic" w:eastAsia="Times New Roman" w:hAnsi="Simplified Arabic" w:cs="Simplified Arabic"/>
          <w:sz w:val="24"/>
          <w:szCs w:val="24"/>
        </w:rPr>
        <w:t>4</w:t>
      </w:r>
      <w:proofErr w:type="spellStart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%</w:t>
      </w:r>
      <w:proofErr w:type="spellEnd"/>
      <w:r w:rsidR="00BF4078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في المخيمات.</w:t>
      </w:r>
    </w:p>
    <w:p w:rsidR="00395112" w:rsidRPr="00395112" w:rsidRDefault="00395112" w:rsidP="00395112">
      <w:pPr>
        <w:pStyle w:val="Title"/>
        <w:tabs>
          <w:tab w:val="center" w:pos="4536"/>
        </w:tabs>
        <w:rPr>
          <w:rFonts w:ascii="Arial" w:hAnsi="Arial" w:hint="cs"/>
          <w:sz w:val="16"/>
          <w:szCs w:val="16"/>
          <w:rtl/>
        </w:rPr>
      </w:pPr>
    </w:p>
    <w:p w:rsidR="00935942" w:rsidRPr="00395112" w:rsidRDefault="00935942" w:rsidP="00395112">
      <w:pPr>
        <w:pStyle w:val="Title"/>
        <w:tabs>
          <w:tab w:val="center" w:pos="4536"/>
        </w:tabs>
        <w:rPr>
          <w:rFonts w:ascii="Arial" w:hAnsi="Arial"/>
          <w:sz w:val="26"/>
          <w:szCs w:val="26"/>
          <w:rtl/>
        </w:rPr>
      </w:pPr>
      <w:r w:rsidRPr="00395112">
        <w:rPr>
          <w:rFonts w:ascii="Arial" w:hAnsi="Arial"/>
          <w:sz w:val="26"/>
          <w:szCs w:val="26"/>
          <w:rtl/>
        </w:rPr>
        <w:t xml:space="preserve">نسبة الأسر </w:t>
      </w:r>
      <w:r w:rsidR="00EB71E6" w:rsidRPr="00395112">
        <w:rPr>
          <w:rFonts w:ascii="Arial" w:hAnsi="Arial" w:hint="cs"/>
          <w:sz w:val="26"/>
          <w:szCs w:val="26"/>
          <w:rtl/>
        </w:rPr>
        <w:t xml:space="preserve">التي تستخدم مصدر مياه شرب </w:t>
      </w:r>
      <w:r w:rsidR="008F29C3" w:rsidRPr="00395112">
        <w:rPr>
          <w:rFonts w:ascii="Arial" w:hAnsi="Arial" w:hint="cs"/>
          <w:sz w:val="26"/>
          <w:szCs w:val="26"/>
          <w:rtl/>
        </w:rPr>
        <w:t>آمن</w:t>
      </w:r>
      <w:r w:rsidRPr="00395112">
        <w:rPr>
          <w:rFonts w:ascii="Arial" w:hAnsi="Arial"/>
          <w:sz w:val="26"/>
          <w:szCs w:val="26"/>
          <w:rtl/>
        </w:rPr>
        <w:t xml:space="preserve"> في </w:t>
      </w:r>
      <w:r w:rsidRPr="00395112">
        <w:rPr>
          <w:rFonts w:ascii="Arial" w:hAnsi="Arial" w:hint="cs"/>
          <w:sz w:val="26"/>
          <w:szCs w:val="26"/>
          <w:rtl/>
        </w:rPr>
        <w:t>فلسطين</w:t>
      </w:r>
      <w:r w:rsidRPr="00395112">
        <w:rPr>
          <w:rFonts w:ascii="Arial" w:hAnsi="Arial"/>
          <w:sz w:val="26"/>
          <w:szCs w:val="26"/>
          <w:rtl/>
        </w:rPr>
        <w:t xml:space="preserve"> حسب </w:t>
      </w:r>
      <w:r w:rsidR="00CC3BE7" w:rsidRPr="00395112">
        <w:rPr>
          <w:rFonts w:ascii="Arial" w:hAnsi="Arial" w:hint="cs"/>
          <w:sz w:val="26"/>
          <w:szCs w:val="26"/>
          <w:rtl/>
        </w:rPr>
        <w:t>المنطقة</w:t>
      </w:r>
      <w:r w:rsidRPr="00395112">
        <w:rPr>
          <w:rFonts w:ascii="Arial" w:hAnsi="Arial"/>
          <w:sz w:val="26"/>
          <w:szCs w:val="26"/>
          <w:rtl/>
        </w:rPr>
        <w:t xml:space="preserve">، </w:t>
      </w:r>
      <w:r w:rsidR="008F29C3" w:rsidRPr="00395112">
        <w:rPr>
          <w:rFonts w:ascii="Arial" w:hAnsi="Arial" w:hint="cs"/>
          <w:sz w:val="26"/>
          <w:szCs w:val="26"/>
          <w:rtl/>
        </w:rPr>
        <w:t>2017</w:t>
      </w:r>
    </w:p>
    <w:p w:rsidR="000401CC" w:rsidRPr="00E635FF" w:rsidRDefault="000401CC" w:rsidP="000401CC">
      <w:pPr>
        <w:pStyle w:val="Title"/>
        <w:tabs>
          <w:tab w:val="center" w:pos="4536"/>
        </w:tabs>
        <w:ind w:left="10"/>
        <w:rPr>
          <w:rFonts w:ascii="Arial" w:hAnsi="Arial"/>
          <w:sz w:val="18"/>
          <w:szCs w:val="18"/>
          <w:rtl/>
        </w:rPr>
      </w:pPr>
      <w:r w:rsidRPr="000401CC">
        <w:rPr>
          <w:rFonts w:ascii="Simplified Arabic" w:hAnsi="Simplified Arabic"/>
          <w:noProof/>
          <w:bdr w:val="single" w:sz="4" w:space="0" w:color="auto"/>
          <w:rtl/>
          <w:lang w:eastAsia="en-US"/>
        </w:rPr>
        <w:drawing>
          <wp:inline distT="0" distB="0" distL="0" distR="0">
            <wp:extent cx="3038475" cy="2124075"/>
            <wp:effectExtent l="0" t="0" r="0" b="0"/>
            <wp:docPr id="3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01CC" w:rsidRDefault="000401CC" w:rsidP="00395112">
      <w:pPr>
        <w:pStyle w:val="Title"/>
        <w:tabs>
          <w:tab w:val="center" w:pos="4536"/>
        </w:tabs>
        <w:jc w:val="left"/>
        <w:rPr>
          <w:rFonts w:ascii="Arial" w:hAnsi="Arial" w:hint="cs"/>
          <w:sz w:val="16"/>
          <w:szCs w:val="16"/>
          <w:rtl/>
        </w:rPr>
      </w:pPr>
    </w:p>
    <w:p w:rsidR="00395112" w:rsidRDefault="00395112" w:rsidP="00395112">
      <w:pPr>
        <w:pStyle w:val="Title"/>
        <w:tabs>
          <w:tab w:val="center" w:pos="4536"/>
        </w:tabs>
        <w:jc w:val="left"/>
        <w:rPr>
          <w:rFonts w:ascii="Arial" w:hAnsi="Arial" w:hint="cs"/>
          <w:sz w:val="16"/>
          <w:szCs w:val="16"/>
          <w:rtl/>
        </w:rPr>
      </w:pPr>
    </w:p>
    <w:p w:rsidR="00395112" w:rsidRDefault="00395112" w:rsidP="00395112">
      <w:pPr>
        <w:pStyle w:val="Title"/>
        <w:tabs>
          <w:tab w:val="center" w:pos="4536"/>
        </w:tabs>
        <w:jc w:val="left"/>
        <w:rPr>
          <w:rFonts w:ascii="Arial" w:hAnsi="Arial" w:hint="cs"/>
          <w:sz w:val="16"/>
          <w:szCs w:val="16"/>
          <w:rtl/>
        </w:rPr>
      </w:pPr>
    </w:p>
    <w:p w:rsidR="00395112" w:rsidRDefault="00395112" w:rsidP="00395112">
      <w:pPr>
        <w:pStyle w:val="Title"/>
        <w:tabs>
          <w:tab w:val="center" w:pos="4536"/>
        </w:tabs>
        <w:jc w:val="left"/>
        <w:rPr>
          <w:rFonts w:ascii="Arial" w:hAnsi="Arial" w:hint="cs"/>
          <w:sz w:val="16"/>
          <w:szCs w:val="16"/>
          <w:rtl/>
        </w:rPr>
      </w:pPr>
    </w:p>
    <w:p w:rsidR="00395112" w:rsidRDefault="00395112" w:rsidP="00395112">
      <w:pPr>
        <w:pStyle w:val="Title"/>
        <w:tabs>
          <w:tab w:val="center" w:pos="4536"/>
        </w:tabs>
        <w:jc w:val="left"/>
        <w:rPr>
          <w:rFonts w:ascii="Arial" w:hAnsi="Arial" w:hint="cs"/>
          <w:sz w:val="16"/>
          <w:szCs w:val="16"/>
          <w:rtl/>
        </w:rPr>
      </w:pPr>
    </w:p>
    <w:p w:rsidR="00395112" w:rsidRDefault="00395112" w:rsidP="00395112">
      <w:pPr>
        <w:pStyle w:val="Title"/>
        <w:tabs>
          <w:tab w:val="center" w:pos="4536"/>
        </w:tabs>
        <w:jc w:val="left"/>
        <w:rPr>
          <w:rFonts w:ascii="Arial" w:hAnsi="Arial" w:hint="cs"/>
          <w:sz w:val="16"/>
          <w:szCs w:val="16"/>
          <w:rtl/>
        </w:rPr>
      </w:pPr>
    </w:p>
    <w:p w:rsidR="00395112" w:rsidRDefault="00395112" w:rsidP="00395112">
      <w:pPr>
        <w:pStyle w:val="Title"/>
        <w:tabs>
          <w:tab w:val="center" w:pos="4536"/>
        </w:tabs>
        <w:jc w:val="left"/>
        <w:rPr>
          <w:rFonts w:ascii="Arial" w:hAnsi="Arial" w:hint="cs"/>
          <w:sz w:val="16"/>
          <w:szCs w:val="16"/>
          <w:rtl/>
        </w:rPr>
      </w:pPr>
    </w:p>
    <w:p w:rsidR="00395112" w:rsidRDefault="00395112" w:rsidP="00395112">
      <w:pPr>
        <w:pStyle w:val="Title"/>
        <w:tabs>
          <w:tab w:val="center" w:pos="4536"/>
        </w:tabs>
        <w:jc w:val="left"/>
        <w:rPr>
          <w:rFonts w:ascii="Arial" w:hAnsi="Arial" w:hint="cs"/>
          <w:sz w:val="16"/>
          <w:szCs w:val="16"/>
          <w:rtl/>
        </w:rPr>
      </w:pPr>
    </w:p>
    <w:p w:rsidR="00395112" w:rsidRPr="00395112" w:rsidRDefault="00395112" w:rsidP="00395112">
      <w:pPr>
        <w:pStyle w:val="Title"/>
        <w:tabs>
          <w:tab w:val="center" w:pos="4536"/>
        </w:tabs>
        <w:jc w:val="both"/>
        <w:rPr>
          <w:rFonts w:ascii="Arial" w:hAnsi="Arial"/>
          <w:sz w:val="16"/>
          <w:szCs w:val="16"/>
          <w:rtl/>
        </w:rPr>
      </w:pPr>
    </w:p>
    <w:p w:rsidR="00117EE9" w:rsidRPr="00395112" w:rsidRDefault="006F5B2E" w:rsidP="00395112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</w:pPr>
      <w:r w:rsidRPr="0039511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88</w:t>
      </w:r>
      <w:r w:rsidR="00CA4D37" w:rsidRPr="0039511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049C7" w:rsidRPr="00395112">
        <w:rPr>
          <w:rFonts w:ascii="Simplified Arabic" w:hAnsi="Simplified Arabic" w:cs="Simplified Arabic"/>
          <w:b/>
          <w:bCs/>
          <w:sz w:val="26"/>
          <w:szCs w:val="26"/>
          <w:rtl/>
        </w:rPr>
        <w:t>لتر في اليوم</w:t>
      </w:r>
      <w:r w:rsidR="00CA4D37" w:rsidRPr="0039511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معدل استهلاك الفرد الفلسطيني من المياه</w:t>
      </w:r>
    </w:p>
    <w:p w:rsidR="00957DD5" w:rsidRPr="00395112" w:rsidRDefault="002049C7" w:rsidP="00395112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بلغ معدل استهلاك الفرد الفلسطيني </w:t>
      </w:r>
      <w:r w:rsidR="00877AB4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8</w:t>
      </w:r>
      <w:r w:rsidR="006F5B2E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8.3</w:t>
      </w:r>
      <w:r w:rsidR="00117EE9" w:rsidRPr="0039511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95112">
        <w:rPr>
          <w:rFonts w:ascii="Simplified Arabic" w:hAnsi="Simplified Arabic" w:cs="Simplified Arabic" w:hint="cs"/>
          <w:sz w:val="24"/>
          <w:szCs w:val="24"/>
          <w:rtl/>
        </w:rPr>
        <w:t>لتر في اليوم</w:t>
      </w:r>
      <w:r w:rsidR="00117EE9" w:rsidRPr="00395112">
        <w:rPr>
          <w:rFonts w:ascii="Simplified Arabic" w:hAnsi="Simplified Arabic" w:cs="Simplified Arabic"/>
          <w:sz w:val="24"/>
          <w:szCs w:val="24"/>
          <w:rtl/>
        </w:rPr>
        <w:t xml:space="preserve"> من المياه في </w:t>
      </w:r>
      <w:proofErr w:type="spellStart"/>
      <w:r w:rsidR="00C11170" w:rsidRPr="00395112">
        <w:rPr>
          <w:rFonts w:ascii="Simplified Arabic" w:hAnsi="Simplified Arabic" w:cs="Simplified Arabic" w:hint="cs"/>
          <w:sz w:val="24"/>
          <w:szCs w:val="24"/>
          <w:rtl/>
        </w:rPr>
        <w:t>فلسطين</w:t>
      </w:r>
      <w:r w:rsidR="00117EE9" w:rsidRPr="00395112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117EE9" w:rsidRPr="0039511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81169" w:rsidRPr="00395112">
        <w:rPr>
          <w:rFonts w:ascii="Simplified Arabic" w:hAnsi="Simplified Arabic" w:cs="Simplified Arabic" w:hint="cs"/>
          <w:sz w:val="24"/>
          <w:szCs w:val="24"/>
          <w:rtl/>
        </w:rPr>
        <w:t>ويتساوى</w:t>
      </w:r>
      <w:r w:rsidR="00CA4D37" w:rsidRPr="00395112">
        <w:rPr>
          <w:rFonts w:ascii="Simplified Arabic" w:hAnsi="Simplified Arabic" w:cs="Simplified Arabic"/>
          <w:sz w:val="24"/>
          <w:szCs w:val="24"/>
          <w:rtl/>
        </w:rPr>
        <w:t xml:space="preserve"> هذا المعدل بين </w:t>
      </w:r>
      <w:r w:rsidR="00117EE9" w:rsidRPr="00395112">
        <w:rPr>
          <w:rFonts w:ascii="Simplified Arabic" w:hAnsi="Simplified Arabic" w:cs="Simplified Arabic"/>
          <w:sz w:val="24"/>
          <w:szCs w:val="24"/>
          <w:rtl/>
        </w:rPr>
        <w:t xml:space="preserve">الضفة </w:t>
      </w:r>
      <w:proofErr w:type="spellStart"/>
      <w:r w:rsidR="00117EE9" w:rsidRPr="00395112">
        <w:rPr>
          <w:rFonts w:ascii="Simplified Arabic" w:hAnsi="Simplified Arabic" w:cs="Simplified Arabic"/>
          <w:sz w:val="24"/>
          <w:szCs w:val="24"/>
          <w:rtl/>
        </w:rPr>
        <w:t>الغربية,</w:t>
      </w:r>
      <w:proofErr w:type="spellEnd"/>
      <w:r w:rsidR="006F5B2E" w:rsidRPr="00395112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6F5B2E" w:rsidRPr="00395112">
        <w:rPr>
          <w:rFonts w:ascii="Simplified Arabic" w:hAnsi="Simplified Arabic" w:cs="Simplified Arabic"/>
          <w:sz w:val="24"/>
          <w:szCs w:val="24"/>
          <w:rtl/>
        </w:rPr>
        <w:t>قطاع غزة</w:t>
      </w:r>
      <w:r w:rsidR="00117EE9" w:rsidRPr="0039511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C2A3E" w:rsidRPr="00395112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وذلك خلال العام </w:t>
      </w:r>
      <w:r w:rsidR="006F5B2E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2017</w:t>
      </w:r>
      <w:r w:rsidR="006C2A3E" w:rsidRPr="00395112">
        <w:rPr>
          <w:rFonts w:ascii="Simplified Arabic" w:eastAsia="Times New Roman" w:hAnsi="Simplified Arabic" w:cs="Simplified Arabic"/>
          <w:sz w:val="24"/>
          <w:szCs w:val="24"/>
          <w:rtl/>
        </w:rPr>
        <w:t>.</w:t>
      </w:r>
    </w:p>
    <w:p w:rsidR="00EF3525" w:rsidRPr="00395112" w:rsidRDefault="00EF3525" w:rsidP="00395112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57DD5" w:rsidRPr="00395112" w:rsidRDefault="00957DD5" w:rsidP="00395112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اخذين بعين الاعتبار أن هذا المعدل يعتبر معدلا ناجما عن كميات المياه المستهلكة مقسوما على عدد </w:t>
      </w:r>
      <w:proofErr w:type="spellStart"/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السكان،</w:t>
      </w:r>
      <w:proofErr w:type="spellEnd"/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حيث أن هناك بعض التجمعات السكانية التي لا يزيد فيها معدل استهلاك الفرد عن </w:t>
      </w:r>
      <w:r w:rsidR="006F5B2E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50.4</w:t>
      </w:r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r w:rsidR="002049C7" w:rsidRPr="00395112">
        <w:rPr>
          <w:rFonts w:ascii="Simplified Arabic" w:hAnsi="Simplified Arabic" w:cs="Simplified Arabic"/>
          <w:sz w:val="24"/>
          <w:szCs w:val="24"/>
          <w:rtl/>
        </w:rPr>
        <w:t xml:space="preserve">لتر في </w:t>
      </w:r>
      <w:proofErr w:type="spellStart"/>
      <w:r w:rsidR="002049C7" w:rsidRPr="00395112">
        <w:rPr>
          <w:rFonts w:ascii="Simplified Arabic" w:hAnsi="Simplified Arabic" w:cs="Simplified Arabic"/>
          <w:sz w:val="24"/>
          <w:szCs w:val="24"/>
          <w:rtl/>
        </w:rPr>
        <w:t>اليوم</w:t>
      </w:r>
      <w:r w:rsidR="00D40233" w:rsidRPr="00395112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39511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15291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بينما</w:t>
      </w:r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يزيد </w:t>
      </w:r>
      <w:r w:rsidR="00D40233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هذا المعدل عن</w:t>
      </w:r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r w:rsidR="006F5B2E"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150</w:t>
      </w:r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  <w:r w:rsidR="002049C7" w:rsidRPr="00395112">
        <w:rPr>
          <w:rFonts w:ascii="Simplified Arabic" w:hAnsi="Simplified Arabic" w:cs="Simplified Arabic"/>
          <w:sz w:val="24"/>
          <w:szCs w:val="24"/>
          <w:rtl/>
        </w:rPr>
        <w:t>لتر في اليوم</w:t>
      </w:r>
      <w:r w:rsidRPr="0039511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95112">
        <w:rPr>
          <w:rFonts w:ascii="Simplified Arabic" w:eastAsia="Times New Roman" w:hAnsi="Simplified Arabic" w:cs="Simplified Arabic" w:hint="cs"/>
          <w:sz w:val="24"/>
          <w:szCs w:val="24"/>
          <w:rtl/>
        </w:rPr>
        <w:t>في تجمعات أخرى كأريحا وبالتالي يشكل هدف تحقيق العدالة في التوزيع بين التجمعات السكانية احد التحديات الرئيسية التي تواجهها دولة فلسطين.</w:t>
      </w:r>
    </w:p>
    <w:p w:rsidR="00395112" w:rsidRPr="00395112" w:rsidRDefault="00395112" w:rsidP="00395112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11170" w:rsidRPr="00395112" w:rsidRDefault="00C11170" w:rsidP="0039511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9511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أكثر من </w:t>
      </w:r>
      <w:proofErr w:type="spellStart"/>
      <w:r w:rsidR="00EF76EA" w:rsidRPr="0039511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97</w:t>
      </w:r>
      <w:r w:rsidRPr="0039511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proofErr w:type="spellEnd"/>
      <w:r w:rsidRPr="0039511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من نوعية المياه التي يتم ضخها من الحوض الساحلي</w:t>
      </w:r>
      <w:r w:rsidRPr="0039511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39511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لا تتوافق </w:t>
      </w:r>
      <w:r w:rsidRPr="00395112">
        <w:rPr>
          <w:rFonts w:ascii="Simplified Arabic" w:hAnsi="Simplified Arabic" w:cs="Simplified Arabic"/>
          <w:b/>
          <w:bCs/>
          <w:sz w:val="26"/>
          <w:szCs w:val="26"/>
          <w:rtl/>
        </w:rPr>
        <w:t>مع معايير منظمة الصحة العالمية</w:t>
      </w:r>
    </w:p>
    <w:p w:rsidR="00117EE9" w:rsidRPr="00E635FF" w:rsidRDefault="00C11170" w:rsidP="00922F32">
      <w:pPr>
        <w:bidi/>
        <w:spacing w:after="0"/>
        <w:jc w:val="both"/>
        <w:rPr>
          <w:rFonts w:ascii="Simplified Arabic" w:hAnsi="Simplified Arabic" w:cs="Simplified Arabic"/>
          <w:rtl/>
        </w:rPr>
      </w:pPr>
      <w:r w:rsidRPr="00395112">
        <w:rPr>
          <w:rFonts w:cs="Simplified Arabic" w:hint="cs"/>
          <w:sz w:val="24"/>
          <w:szCs w:val="24"/>
          <w:rtl/>
        </w:rPr>
        <w:t>بلغت كمية ا</w:t>
      </w:r>
      <w:r w:rsidRPr="00395112">
        <w:rPr>
          <w:rFonts w:cs="Simplified Arabic"/>
          <w:sz w:val="24"/>
          <w:szCs w:val="24"/>
          <w:rtl/>
        </w:rPr>
        <w:t xml:space="preserve">لمياه </w:t>
      </w:r>
      <w:r w:rsidRPr="00395112">
        <w:rPr>
          <w:rFonts w:cs="Simplified Arabic" w:hint="cs"/>
          <w:sz w:val="24"/>
          <w:szCs w:val="24"/>
          <w:rtl/>
        </w:rPr>
        <w:t>المستخرجة</w:t>
      </w:r>
      <w:r w:rsidRPr="00395112">
        <w:rPr>
          <w:rFonts w:cs="Simplified Arabic"/>
          <w:sz w:val="24"/>
          <w:szCs w:val="24"/>
          <w:rtl/>
        </w:rPr>
        <w:t xml:space="preserve"> من الحوض الساحلي في قطاع غزة</w:t>
      </w:r>
      <w:r w:rsidRPr="00395112">
        <w:rPr>
          <w:rFonts w:cs="Simplified Arabic" w:hint="cs"/>
          <w:sz w:val="24"/>
          <w:szCs w:val="24"/>
          <w:rtl/>
        </w:rPr>
        <w:t xml:space="preserve"> </w:t>
      </w:r>
      <w:r w:rsidR="00EF76EA" w:rsidRPr="00395112">
        <w:rPr>
          <w:rFonts w:cs="Simplified Arabic" w:hint="cs"/>
          <w:sz w:val="24"/>
          <w:szCs w:val="24"/>
          <w:rtl/>
        </w:rPr>
        <w:t>1</w:t>
      </w:r>
      <w:r w:rsidR="00922F32" w:rsidRPr="00395112">
        <w:rPr>
          <w:rFonts w:cs="Simplified Arabic" w:hint="cs"/>
          <w:sz w:val="24"/>
          <w:szCs w:val="24"/>
          <w:rtl/>
        </w:rPr>
        <w:t>78</w:t>
      </w:r>
      <w:r w:rsidR="00EF76EA" w:rsidRPr="00395112">
        <w:rPr>
          <w:rFonts w:cs="Simplified Arabic" w:hint="cs"/>
          <w:sz w:val="24"/>
          <w:szCs w:val="24"/>
          <w:rtl/>
        </w:rPr>
        <w:t>.</w:t>
      </w:r>
      <w:r w:rsidR="00922F32" w:rsidRPr="00395112">
        <w:rPr>
          <w:rFonts w:cs="Simplified Arabic" w:hint="cs"/>
          <w:sz w:val="24"/>
          <w:szCs w:val="24"/>
          <w:rtl/>
        </w:rPr>
        <w:t>7</w:t>
      </w:r>
      <w:r w:rsidRPr="00395112">
        <w:rPr>
          <w:rFonts w:cs="Simplified Arabic" w:hint="cs"/>
          <w:sz w:val="24"/>
          <w:szCs w:val="24"/>
          <w:rtl/>
        </w:rPr>
        <w:t xml:space="preserve"> </w:t>
      </w:r>
      <w:r w:rsidR="00EF76EA" w:rsidRPr="00395112">
        <w:rPr>
          <w:rFonts w:cs="Simplified Arabic" w:hint="cs"/>
          <w:sz w:val="24"/>
          <w:szCs w:val="24"/>
          <w:rtl/>
        </w:rPr>
        <w:t>مليون</w:t>
      </w:r>
      <w:r w:rsidRPr="00395112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Pr="00395112">
        <w:rPr>
          <w:rFonts w:cs="Simplified Arabic" w:hint="cs"/>
          <w:sz w:val="24"/>
          <w:szCs w:val="24"/>
          <w:rtl/>
        </w:rPr>
        <w:t>م</w:t>
      </w:r>
      <w:r w:rsidRPr="00395112">
        <w:rPr>
          <w:rFonts w:cs="Simplified Arabic" w:hint="cs"/>
          <w:sz w:val="24"/>
          <w:szCs w:val="24"/>
          <w:vertAlign w:val="superscript"/>
          <w:rtl/>
        </w:rPr>
        <w:t>3</w:t>
      </w:r>
      <w:proofErr w:type="spellEnd"/>
      <w:r w:rsidRPr="00395112">
        <w:rPr>
          <w:rFonts w:cs="Simplified Arabic" w:hint="cs"/>
          <w:sz w:val="24"/>
          <w:szCs w:val="24"/>
          <w:rtl/>
        </w:rPr>
        <w:t xml:space="preserve"> عام </w:t>
      </w:r>
      <w:proofErr w:type="spellStart"/>
      <w:r w:rsidR="00922F32" w:rsidRPr="00395112">
        <w:rPr>
          <w:rFonts w:cs="Simplified Arabic" w:hint="cs"/>
          <w:sz w:val="24"/>
          <w:szCs w:val="24"/>
          <w:rtl/>
        </w:rPr>
        <w:t>2017</w:t>
      </w:r>
      <w:r w:rsidRPr="00395112">
        <w:rPr>
          <w:rFonts w:cs="Simplified Arabic" w:hint="cs"/>
          <w:sz w:val="24"/>
          <w:szCs w:val="24"/>
          <w:rtl/>
        </w:rPr>
        <w:t>,</w:t>
      </w:r>
      <w:proofErr w:type="spellEnd"/>
      <w:r w:rsidRPr="00395112">
        <w:rPr>
          <w:rFonts w:cs="Simplified Arabic" w:hint="cs"/>
          <w:sz w:val="24"/>
          <w:szCs w:val="24"/>
          <w:rtl/>
        </w:rPr>
        <w:t xml:space="preserve"> وتعتبر هذه الكمية ضخاً </w:t>
      </w:r>
      <w:proofErr w:type="spellStart"/>
      <w:r w:rsidRPr="00395112">
        <w:rPr>
          <w:rFonts w:cs="Simplified Arabic" w:hint="cs"/>
          <w:sz w:val="24"/>
          <w:szCs w:val="24"/>
          <w:rtl/>
        </w:rPr>
        <w:t>جائراً،</w:t>
      </w:r>
      <w:proofErr w:type="spellEnd"/>
      <w:r w:rsidRPr="00395112">
        <w:rPr>
          <w:rFonts w:cs="Simplified Arabic"/>
          <w:sz w:val="24"/>
          <w:szCs w:val="24"/>
          <w:rtl/>
        </w:rPr>
        <w:t xml:space="preserve"> </w:t>
      </w:r>
      <w:r w:rsidRPr="00395112">
        <w:rPr>
          <w:rFonts w:cs="Simplified Arabic" w:hint="cs"/>
          <w:sz w:val="24"/>
          <w:szCs w:val="24"/>
          <w:rtl/>
        </w:rPr>
        <w:t>علما بأن مقدار</w:t>
      </w:r>
      <w:r w:rsidRPr="00395112">
        <w:rPr>
          <w:rFonts w:cs="Simplified Arabic"/>
          <w:sz w:val="24"/>
          <w:szCs w:val="24"/>
          <w:rtl/>
        </w:rPr>
        <w:t xml:space="preserve"> الضخ</w:t>
      </w:r>
      <w:r w:rsidRPr="00395112">
        <w:rPr>
          <w:rFonts w:cs="Simplified Arabic" w:hint="cs"/>
          <w:sz w:val="24"/>
          <w:szCs w:val="24"/>
          <w:rtl/>
        </w:rPr>
        <w:t xml:space="preserve"> </w:t>
      </w:r>
      <w:r w:rsidRPr="00395112">
        <w:rPr>
          <w:rFonts w:cs="Simplified Arabic"/>
          <w:sz w:val="24"/>
          <w:szCs w:val="24"/>
          <w:rtl/>
        </w:rPr>
        <w:t>الآمن وطاقة الحوض المستدامة</w:t>
      </w:r>
      <w:r w:rsidRPr="00395112">
        <w:rPr>
          <w:rFonts w:cs="Simplified Arabic" w:hint="cs"/>
          <w:sz w:val="24"/>
          <w:szCs w:val="24"/>
          <w:rtl/>
        </w:rPr>
        <w:t xml:space="preserve"> هي</w:t>
      </w:r>
      <w:r w:rsidRPr="00395112">
        <w:rPr>
          <w:rFonts w:cs="Simplified Arabic"/>
          <w:sz w:val="24"/>
          <w:szCs w:val="24"/>
          <w:rtl/>
        </w:rPr>
        <w:t xml:space="preserve"> 50-60 مليون </w:t>
      </w:r>
      <w:proofErr w:type="spellStart"/>
      <w:r w:rsidRPr="00395112">
        <w:rPr>
          <w:rFonts w:cs="Simplified Arabic" w:hint="cs"/>
          <w:sz w:val="24"/>
          <w:szCs w:val="24"/>
          <w:rtl/>
        </w:rPr>
        <w:t>م</w:t>
      </w:r>
      <w:r w:rsidRPr="00395112">
        <w:rPr>
          <w:rFonts w:cs="Simplified Arabic" w:hint="cs"/>
          <w:sz w:val="24"/>
          <w:szCs w:val="24"/>
          <w:vertAlign w:val="superscript"/>
          <w:rtl/>
        </w:rPr>
        <w:t>3</w:t>
      </w:r>
      <w:proofErr w:type="spellEnd"/>
      <w:r w:rsidRPr="00395112">
        <w:rPr>
          <w:rFonts w:cs="Simplified Arabic" w:hint="cs"/>
          <w:sz w:val="24"/>
          <w:szCs w:val="24"/>
          <w:vertAlign w:val="superscript"/>
          <w:rtl/>
        </w:rPr>
        <w:t xml:space="preserve"> </w:t>
      </w:r>
      <w:proofErr w:type="spellStart"/>
      <w:r w:rsidRPr="00395112">
        <w:rPr>
          <w:rFonts w:cs="Simplified Arabic"/>
          <w:sz w:val="24"/>
          <w:szCs w:val="24"/>
          <w:rtl/>
        </w:rPr>
        <w:t>فقط</w:t>
      </w:r>
      <w:r w:rsidRPr="00395112">
        <w:rPr>
          <w:rFonts w:cs="Simplified Arabic" w:hint="cs"/>
          <w:sz w:val="24"/>
          <w:szCs w:val="24"/>
          <w:rtl/>
        </w:rPr>
        <w:t>،</w:t>
      </w:r>
      <w:proofErr w:type="spellEnd"/>
      <w:r w:rsidRPr="00395112">
        <w:rPr>
          <w:rFonts w:cs="Simplified Arabic" w:hint="cs"/>
          <w:sz w:val="24"/>
          <w:szCs w:val="24"/>
          <w:rtl/>
        </w:rPr>
        <w:t xml:space="preserve"> مما أدى إلى عدم توافق أكثر من </w:t>
      </w:r>
      <w:proofErr w:type="spellStart"/>
      <w:r w:rsidRPr="00395112">
        <w:rPr>
          <w:rFonts w:cs="Simplified Arabic" w:hint="cs"/>
          <w:sz w:val="24"/>
          <w:szCs w:val="24"/>
          <w:rtl/>
        </w:rPr>
        <w:t>9</w:t>
      </w:r>
      <w:r w:rsidR="00EF76EA" w:rsidRPr="00395112">
        <w:rPr>
          <w:rFonts w:cs="Simplified Arabic" w:hint="cs"/>
          <w:sz w:val="24"/>
          <w:szCs w:val="24"/>
          <w:rtl/>
        </w:rPr>
        <w:t>7</w:t>
      </w:r>
      <w:r w:rsidRPr="00395112">
        <w:rPr>
          <w:rFonts w:cs="Simplified Arabic" w:hint="cs"/>
          <w:sz w:val="24"/>
          <w:szCs w:val="24"/>
          <w:rtl/>
        </w:rPr>
        <w:t>%</w:t>
      </w:r>
      <w:proofErr w:type="spellEnd"/>
      <w:r w:rsidRPr="00395112">
        <w:rPr>
          <w:rFonts w:cs="Simplified Arabic" w:hint="cs"/>
          <w:sz w:val="24"/>
          <w:szCs w:val="24"/>
          <w:rtl/>
        </w:rPr>
        <w:t xml:space="preserve"> من نوعية المياه التي يتم ضخها من الحوض الساحلي</w:t>
      </w:r>
      <w:r w:rsidRPr="00395112">
        <w:rPr>
          <w:rFonts w:cs="Simplified Arabic"/>
          <w:sz w:val="24"/>
          <w:szCs w:val="24"/>
          <w:rtl/>
        </w:rPr>
        <w:t xml:space="preserve"> مع معايير منظمة الصحة </w:t>
      </w:r>
      <w:proofErr w:type="spellStart"/>
      <w:r w:rsidRPr="00395112">
        <w:rPr>
          <w:rFonts w:cs="Simplified Arabic"/>
          <w:sz w:val="24"/>
          <w:szCs w:val="24"/>
          <w:rtl/>
        </w:rPr>
        <w:t>العالمية</w:t>
      </w:r>
      <w:r w:rsidR="00EF76EA" w:rsidRPr="00395112">
        <w:rPr>
          <w:rFonts w:cs="Simplified Arabic" w:hint="cs"/>
          <w:sz w:val="24"/>
          <w:szCs w:val="24"/>
          <w:rtl/>
        </w:rPr>
        <w:t>،</w:t>
      </w:r>
      <w:proofErr w:type="spellEnd"/>
      <w:r w:rsidR="00EF76EA" w:rsidRPr="00395112">
        <w:rPr>
          <w:rFonts w:cs="Simplified Arabic" w:hint="cs"/>
          <w:sz w:val="24"/>
          <w:szCs w:val="24"/>
          <w:rtl/>
        </w:rPr>
        <w:t xml:space="preserve"> والذي يؤدي بدوره</w:t>
      </w:r>
      <w:r w:rsidR="00EF76EA" w:rsidRPr="00E635FF">
        <w:rPr>
          <w:rFonts w:cs="Simplified Arabic" w:hint="cs"/>
          <w:rtl/>
        </w:rPr>
        <w:t xml:space="preserve"> إلى نضوب مخزون المياه الجوفية حيث وصل مستوى المياه الجوفية في الخزان الساحلي إلى 19 متراً تحت مستوى سطح البحر</w:t>
      </w:r>
      <w:r w:rsidR="00EF76EA" w:rsidRPr="00E635FF">
        <w:rPr>
          <w:rFonts w:ascii="Simplified Arabic" w:hAnsi="Simplified Arabic" w:cs="Simplified Arabic" w:hint="cs"/>
          <w:rtl/>
        </w:rPr>
        <w:t>.</w:t>
      </w:r>
    </w:p>
    <w:p w:rsidR="00877AB4" w:rsidRPr="00395112" w:rsidRDefault="00877AB4" w:rsidP="00877AB4">
      <w:pPr>
        <w:bidi/>
        <w:spacing w:after="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42054" w:rsidRPr="00395112" w:rsidRDefault="00126758" w:rsidP="00395112">
      <w:pPr>
        <w:bidi/>
        <w:spacing w:after="0" w:line="240" w:lineRule="auto"/>
        <w:jc w:val="both"/>
        <w:rPr>
          <w:rFonts w:cs="Simplified Arabic"/>
          <w:sz w:val="26"/>
          <w:szCs w:val="26"/>
          <w:rtl/>
        </w:rPr>
      </w:pPr>
      <w:proofErr w:type="spellStart"/>
      <w:r w:rsidRPr="00395112">
        <w:rPr>
          <w:rFonts w:ascii="Times New Roman" w:hAnsi="Times New Roman" w:cs="Simplified Arabic" w:hint="cs"/>
          <w:b/>
          <w:bCs/>
          <w:sz w:val="26"/>
          <w:szCs w:val="26"/>
          <w:rtl/>
        </w:rPr>
        <w:t>77</w:t>
      </w:r>
      <w:r w:rsidR="006309C0" w:rsidRPr="00395112">
        <w:rPr>
          <w:rFonts w:ascii="Times New Roman" w:hAnsi="Times New Roman" w:cs="Simplified Arabic" w:hint="cs"/>
          <w:b/>
          <w:bCs/>
          <w:sz w:val="26"/>
          <w:szCs w:val="26"/>
          <w:rtl/>
        </w:rPr>
        <w:t>%</w:t>
      </w:r>
      <w:proofErr w:type="spellEnd"/>
      <w:r w:rsidR="006309C0" w:rsidRPr="00395112">
        <w:rPr>
          <w:rFonts w:ascii="Times New Roman" w:hAnsi="Times New Roman" w:cs="Simplified Arabic" w:hint="cs"/>
          <w:b/>
          <w:bCs/>
          <w:sz w:val="26"/>
          <w:szCs w:val="26"/>
          <w:rtl/>
        </w:rPr>
        <w:t xml:space="preserve"> من</w:t>
      </w:r>
      <w:r w:rsidR="00542054" w:rsidRPr="00395112">
        <w:rPr>
          <w:rFonts w:ascii="Times New Roman" w:hAnsi="Times New Roman" w:cs="Simplified Arabic" w:hint="cs"/>
          <w:b/>
          <w:bCs/>
          <w:sz w:val="26"/>
          <w:szCs w:val="26"/>
          <w:rtl/>
        </w:rPr>
        <w:t xml:space="preserve"> المياه المتاحة مأخوذة من المياه الجوفية</w:t>
      </w:r>
      <w:r w:rsidR="00F2226F" w:rsidRPr="00395112">
        <w:rPr>
          <w:rFonts w:ascii="Times New Roman" w:hAnsi="Times New Roman" w:cs="Simplified Arabic" w:hint="cs"/>
          <w:b/>
          <w:bCs/>
          <w:sz w:val="26"/>
          <w:szCs w:val="26"/>
          <w:rtl/>
        </w:rPr>
        <w:t xml:space="preserve"> والسطحية</w:t>
      </w:r>
    </w:p>
    <w:p w:rsidR="00CF7F3D" w:rsidRPr="00395112" w:rsidRDefault="00621A14" w:rsidP="00563B83">
      <w:pPr>
        <w:bidi/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395112">
        <w:rPr>
          <w:rFonts w:cs="Simplified Arabic" w:hint="cs"/>
          <w:sz w:val="24"/>
          <w:szCs w:val="24"/>
          <w:rtl/>
        </w:rPr>
        <w:t>تعتبر</w:t>
      </w:r>
      <w:r w:rsidR="00CF7F3D" w:rsidRPr="00395112">
        <w:rPr>
          <w:rFonts w:cs="Simplified Arabic" w:hint="cs"/>
          <w:sz w:val="24"/>
          <w:szCs w:val="24"/>
          <w:rtl/>
        </w:rPr>
        <w:t xml:space="preserve"> نسبة المياه المستخرجة </w:t>
      </w:r>
      <w:r w:rsidR="00CF7F3D" w:rsidRPr="00395112">
        <w:rPr>
          <w:rFonts w:cs="Simplified Arabic"/>
          <w:sz w:val="24"/>
          <w:szCs w:val="24"/>
          <w:rtl/>
        </w:rPr>
        <w:t xml:space="preserve">من المياه الجوفية والسطحية </w:t>
      </w:r>
      <w:r w:rsidR="00D06BF9" w:rsidRPr="00395112">
        <w:rPr>
          <w:rFonts w:cs="Simplified Arabic" w:hint="cs"/>
          <w:sz w:val="24"/>
          <w:szCs w:val="24"/>
          <w:rtl/>
        </w:rPr>
        <w:t xml:space="preserve">مرتفعة </w:t>
      </w:r>
      <w:r w:rsidR="00CF7F3D" w:rsidRPr="00395112">
        <w:rPr>
          <w:rFonts w:cs="Simplified Arabic" w:hint="cs"/>
          <w:sz w:val="24"/>
          <w:szCs w:val="24"/>
          <w:rtl/>
        </w:rPr>
        <w:t xml:space="preserve">نسبة </w:t>
      </w:r>
      <w:r w:rsidR="00446785" w:rsidRPr="00395112">
        <w:rPr>
          <w:rFonts w:cs="Simplified Arabic" w:hint="cs"/>
          <w:sz w:val="24"/>
          <w:szCs w:val="24"/>
          <w:rtl/>
        </w:rPr>
        <w:t>إلى</w:t>
      </w:r>
      <w:r w:rsidR="00CF7F3D" w:rsidRPr="00395112">
        <w:rPr>
          <w:rFonts w:cs="Simplified Arabic" w:hint="cs"/>
          <w:sz w:val="24"/>
          <w:szCs w:val="24"/>
          <w:rtl/>
        </w:rPr>
        <w:t xml:space="preserve"> المياه المتاحة في </w:t>
      </w:r>
      <w:proofErr w:type="spellStart"/>
      <w:r w:rsidR="00CF7F3D" w:rsidRPr="00395112">
        <w:rPr>
          <w:rFonts w:cs="Simplified Arabic" w:hint="cs"/>
          <w:sz w:val="24"/>
          <w:szCs w:val="24"/>
          <w:rtl/>
        </w:rPr>
        <w:t>فلسطين</w:t>
      </w:r>
      <w:r w:rsidR="00D06BF9" w:rsidRPr="00395112">
        <w:rPr>
          <w:rFonts w:cs="Simplified Arabic" w:hint="cs"/>
          <w:sz w:val="24"/>
          <w:szCs w:val="24"/>
          <w:rtl/>
        </w:rPr>
        <w:t>،</w:t>
      </w:r>
      <w:proofErr w:type="spellEnd"/>
      <w:r w:rsidR="00D06BF9" w:rsidRPr="00395112">
        <w:rPr>
          <w:rFonts w:cs="Simplified Arabic" w:hint="cs"/>
          <w:sz w:val="24"/>
          <w:szCs w:val="24"/>
          <w:rtl/>
        </w:rPr>
        <w:t xml:space="preserve"> حيث بلغ</w:t>
      </w:r>
      <w:r w:rsidR="00431F2C" w:rsidRPr="00395112">
        <w:rPr>
          <w:rFonts w:cs="Simplified Arabic" w:hint="cs"/>
          <w:sz w:val="24"/>
          <w:szCs w:val="24"/>
          <w:rtl/>
        </w:rPr>
        <w:t xml:space="preserve">ت </w:t>
      </w:r>
      <w:r w:rsidR="00D06BF9" w:rsidRPr="00395112">
        <w:rPr>
          <w:rFonts w:cs="Simplified Arabic" w:hint="cs"/>
          <w:sz w:val="24"/>
          <w:szCs w:val="24"/>
          <w:rtl/>
        </w:rPr>
        <w:t>هذه النسبة</w:t>
      </w:r>
      <w:r w:rsidR="00563B83" w:rsidRPr="00395112">
        <w:rPr>
          <w:rFonts w:cs="Simplified Arabic" w:hint="cs"/>
          <w:sz w:val="24"/>
          <w:szCs w:val="24"/>
          <w:rtl/>
        </w:rPr>
        <w:t xml:space="preserve"> حوالي</w:t>
      </w:r>
      <w:r w:rsidR="00D06BF9" w:rsidRPr="00395112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="00563B83" w:rsidRPr="00395112">
        <w:rPr>
          <w:rFonts w:cs="Simplified Arabic" w:hint="cs"/>
          <w:sz w:val="24"/>
          <w:szCs w:val="24"/>
          <w:rtl/>
        </w:rPr>
        <w:t>77</w:t>
      </w:r>
      <w:r w:rsidR="00D06BF9" w:rsidRPr="00395112">
        <w:rPr>
          <w:rFonts w:cs="Simplified Arabic" w:hint="cs"/>
          <w:sz w:val="24"/>
          <w:szCs w:val="24"/>
          <w:rtl/>
        </w:rPr>
        <w:t>%</w:t>
      </w:r>
      <w:proofErr w:type="spellEnd"/>
      <w:r w:rsidR="00CF7F3D" w:rsidRPr="00395112">
        <w:rPr>
          <w:rFonts w:cs="Simplified Arabic" w:hint="cs"/>
          <w:sz w:val="24"/>
          <w:szCs w:val="24"/>
          <w:rtl/>
        </w:rPr>
        <w:t xml:space="preserve"> </w:t>
      </w:r>
      <w:r w:rsidR="0061645A" w:rsidRPr="00395112">
        <w:rPr>
          <w:rFonts w:cs="Simplified Arabic" w:hint="cs"/>
          <w:sz w:val="24"/>
          <w:szCs w:val="24"/>
          <w:rtl/>
        </w:rPr>
        <w:t xml:space="preserve">للعام </w:t>
      </w:r>
      <w:proofErr w:type="spellStart"/>
      <w:r w:rsidR="00922F32" w:rsidRPr="00395112">
        <w:rPr>
          <w:rFonts w:cs="Simplified Arabic" w:hint="cs"/>
          <w:sz w:val="24"/>
          <w:szCs w:val="24"/>
          <w:rtl/>
        </w:rPr>
        <w:t>2017</w:t>
      </w:r>
      <w:r w:rsidR="0061645A" w:rsidRPr="00395112">
        <w:rPr>
          <w:rFonts w:cs="Simplified Arabic" w:hint="cs"/>
          <w:sz w:val="24"/>
          <w:szCs w:val="24"/>
          <w:rtl/>
        </w:rPr>
        <w:t>,</w:t>
      </w:r>
      <w:proofErr w:type="spellEnd"/>
      <w:r w:rsidR="0061645A" w:rsidRPr="00395112">
        <w:rPr>
          <w:rFonts w:cs="Simplified Arabic" w:hint="cs"/>
          <w:sz w:val="24"/>
          <w:szCs w:val="24"/>
          <w:rtl/>
        </w:rPr>
        <w:t xml:space="preserve"> </w:t>
      </w:r>
      <w:r w:rsidR="00C5765C" w:rsidRPr="00395112">
        <w:rPr>
          <w:rFonts w:cs="Simplified Arabic" w:hint="cs"/>
          <w:sz w:val="24"/>
          <w:szCs w:val="24"/>
          <w:rtl/>
        </w:rPr>
        <w:t xml:space="preserve">ناهيك عن أن </w:t>
      </w:r>
      <w:r w:rsidR="00126758" w:rsidRPr="00395112">
        <w:rPr>
          <w:rFonts w:cs="Simplified Arabic" w:hint="cs"/>
          <w:sz w:val="24"/>
          <w:szCs w:val="24"/>
          <w:rtl/>
        </w:rPr>
        <w:t>الاحتلال الإسرائيلي</w:t>
      </w:r>
      <w:r w:rsidR="00C5765C" w:rsidRPr="00395112">
        <w:rPr>
          <w:rFonts w:cs="Simplified Arabic" w:hint="cs"/>
          <w:sz w:val="24"/>
          <w:szCs w:val="24"/>
          <w:rtl/>
        </w:rPr>
        <w:t xml:space="preserve"> </w:t>
      </w:r>
      <w:r w:rsidR="00126758" w:rsidRPr="00395112">
        <w:rPr>
          <w:rFonts w:cs="Simplified Arabic" w:hint="cs"/>
          <w:sz w:val="24"/>
          <w:szCs w:val="24"/>
          <w:rtl/>
        </w:rPr>
        <w:t>ي</w:t>
      </w:r>
      <w:r w:rsidR="00B35D4E" w:rsidRPr="00395112">
        <w:rPr>
          <w:rFonts w:cs="Simplified Arabic" w:hint="cs"/>
          <w:sz w:val="24"/>
          <w:szCs w:val="24"/>
          <w:rtl/>
        </w:rPr>
        <w:t>حرم</w:t>
      </w:r>
      <w:r w:rsidR="00C5765C" w:rsidRPr="00395112">
        <w:rPr>
          <w:rFonts w:cs="Simplified Arabic" w:hint="cs"/>
          <w:sz w:val="24"/>
          <w:szCs w:val="24"/>
          <w:rtl/>
        </w:rPr>
        <w:t xml:space="preserve"> الفلسطينيين من استغلال حقهم من مياه نهر الأردن منذ العام 1967 والتي تقدر </w:t>
      </w:r>
      <w:r w:rsidR="00C5765C" w:rsidRPr="00395112">
        <w:rPr>
          <w:rFonts w:cs="Simplified Arabic"/>
          <w:sz w:val="24"/>
          <w:szCs w:val="24"/>
          <w:rtl/>
        </w:rPr>
        <w:t>بحوالي</w:t>
      </w:r>
      <w:r w:rsidR="00C5765C" w:rsidRPr="00395112">
        <w:rPr>
          <w:rFonts w:cs="Simplified Arabic" w:hint="cs"/>
          <w:sz w:val="24"/>
          <w:szCs w:val="24"/>
          <w:rtl/>
        </w:rPr>
        <w:t xml:space="preserve"> </w:t>
      </w:r>
      <w:r w:rsidR="00C5765C" w:rsidRPr="00395112">
        <w:rPr>
          <w:rFonts w:cs="Simplified Arabic"/>
          <w:sz w:val="24"/>
          <w:szCs w:val="24"/>
          <w:rtl/>
        </w:rPr>
        <w:t>2</w:t>
      </w:r>
      <w:r w:rsidR="00C5765C" w:rsidRPr="00395112">
        <w:rPr>
          <w:rFonts w:cs="Simplified Arabic" w:hint="cs"/>
          <w:sz w:val="24"/>
          <w:szCs w:val="24"/>
          <w:rtl/>
        </w:rPr>
        <w:t>50</w:t>
      </w:r>
      <w:r w:rsidR="00C5765C" w:rsidRPr="00395112">
        <w:rPr>
          <w:rFonts w:cs="Simplified Arabic"/>
          <w:sz w:val="24"/>
          <w:szCs w:val="24"/>
          <w:rtl/>
        </w:rPr>
        <w:t xml:space="preserve"> مليون </w:t>
      </w:r>
      <w:proofErr w:type="spellStart"/>
      <w:r w:rsidR="00C5765C" w:rsidRPr="00395112">
        <w:rPr>
          <w:rFonts w:cs="Simplified Arabic" w:hint="cs"/>
          <w:sz w:val="24"/>
          <w:szCs w:val="24"/>
          <w:rtl/>
        </w:rPr>
        <w:t>م</w:t>
      </w:r>
      <w:r w:rsidR="00C5765C" w:rsidRPr="00395112">
        <w:rPr>
          <w:rFonts w:cs="Simplified Arabic" w:hint="cs"/>
          <w:sz w:val="24"/>
          <w:szCs w:val="24"/>
          <w:vertAlign w:val="superscript"/>
          <w:rtl/>
        </w:rPr>
        <w:t>3</w:t>
      </w:r>
      <w:proofErr w:type="spellEnd"/>
      <w:r w:rsidR="00C5765C" w:rsidRPr="00395112">
        <w:rPr>
          <w:rFonts w:cs="Simplified Arabic" w:hint="cs"/>
          <w:sz w:val="24"/>
          <w:szCs w:val="24"/>
          <w:rtl/>
        </w:rPr>
        <w:t xml:space="preserve"> سنويا.</w:t>
      </w:r>
    </w:p>
    <w:p w:rsidR="003A0A15" w:rsidRPr="00395112" w:rsidRDefault="003A0A15" w:rsidP="003A0A15">
      <w:pPr>
        <w:bidi/>
        <w:spacing w:after="0" w:line="240" w:lineRule="auto"/>
        <w:jc w:val="both"/>
        <w:rPr>
          <w:rFonts w:cs="Simplified Arabic"/>
          <w:sz w:val="24"/>
          <w:szCs w:val="24"/>
          <w:rtl/>
        </w:rPr>
      </w:pPr>
    </w:p>
    <w:p w:rsidR="00C5765C" w:rsidRPr="00395112" w:rsidRDefault="00C5765C" w:rsidP="00563B83">
      <w:pPr>
        <w:bidi/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395112">
        <w:rPr>
          <w:rFonts w:cs="Simplified Arabic" w:hint="cs"/>
          <w:sz w:val="24"/>
          <w:szCs w:val="24"/>
          <w:rtl/>
        </w:rPr>
        <w:t xml:space="preserve">من جانب آخر بلغت كمية </w:t>
      </w:r>
      <w:r w:rsidRPr="00395112">
        <w:rPr>
          <w:rFonts w:cs="Simplified Arabic"/>
          <w:sz w:val="24"/>
          <w:szCs w:val="24"/>
          <w:rtl/>
        </w:rPr>
        <w:t xml:space="preserve">المياه </w:t>
      </w:r>
      <w:r w:rsidR="00A34B0B" w:rsidRPr="00395112">
        <w:rPr>
          <w:rFonts w:cs="Simplified Arabic" w:hint="cs"/>
          <w:sz w:val="24"/>
          <w:szCs w:val="24"/>
          <w:rtl/>
        </w:rPr>
        <w:t>المضخوخة</w:t>
      </w:r>
      <w:r w:rsidRPr="00395112">
        <w:rPr>
          <w:rFonts w:cs="Simplified Arabic" w:hint="cs"/>
          <w:sz w:val="24"/>
          <w:szCs w:val="24"/>
          <w:rtl/>
        </w:rPr>
        <w:t xml:space="preserve"> من</w:t>
      </w:r>
      <w:r w:rsidRPr="00395112">
        <w:rPr>
          <w:rFonts w:cs="Simplified Arabic"/>
          <w:sz w:val="24"/>
          <w:szCs w:val="24"/>
          <w:rtl/>
        </w:rPr>
        <w:t xml:space="preserve"> </w:t>
      </w:r>
      <w:r w:rsidRPr="00395112">
        <w:rPr>
          <w:rFonts w:cs="Simplified Arabic" w:hint="cs"/>
          <w:sz w:val="24"/>
          <w:szCs w:val="24"/>
          <w:rtl/>
        </w:rPr>
        <w:t xml:space="preserve">آبار </w:t>
      </w:r>
      <w:r w:rsidRPr="00395112">
        <w:rPr>
          <w:rFonts w:cs="Simplified Arabic"/>
          <w:sz w:val="24"/>
          <w:szCs w:val="24"/>
          <w:rtl/>
        </w:rPr>
        <w:t>ال</w:t>
      </w:r>
      <w:r w:rsidRPr="00395112">
        <w:rPr>
          <w:rFonts w:cs="Simplified Arabic" w:hint="cs"/>
          <w:sz w:val="24"/>
          <w:szCs w:val="24"/>
          <w:rtl/>
        </w:rPr>
        <w:t>أ</w:t>
      </w:r>
      <w:r w:rsidRPr="00395112">
        <w:rPr>
          <w:rFonts w:cs="Simplified Arabic"/>
          <w:sz w:val="24"/>
          <w:szCs w:val="24"/>
          <w:rtl/>
        </w:rPr>
        <w:t>حواض الجوفية</w:t>
      </w:r>
      <w:r w:rsidRPr="00395112">
        <w:rPr>
          <w:rFonts w:cs="Simplified Arabic" w:hint="cs"/>
          <w:sz w:val="24"/>
          <w:szCs w:val="24"/>
          <w:rtl/>
        </w:rPr>
        <w:t xml:space="preserve"> (</w:t>
      </w:r>
      <w:r w:rsidR="00126758" w:rsidRPr="00395112">
        <w:rPr>
          <w:rFonts w:cs="Simplified Arabic" w:hint="cs"/>
          <w:sz w:val="24"/>
          <w:szCs w:val="24"/>
          <w:rtl/>
        </w:rPr>
        <w:t>ا</w:t>
      </w:r>
      <w:r w:rsidRPr="00395112">
        <w:rPr>
          <w:rFonts w:cs="Simplified Arabic" w:hint="cs"/>
          <w:sz w:val="24"/>
          <w:szCs w:val="24"/>
          <w:rtl/>
        </w:rPr>
        <w:t xml:space="preserve">لحوض </w:t>
      </w:r>
      <w:proofErr w:type="spellStart"/>
      <w:r w:rsidRPr="00395112">
        <w:rPr>
          <w:rFonts w:cs="Simplified Arabic" w:hint="cs"/>
          <w:sz w:val="24"/>
          <w:szCs w:val="24"/>
          <w:rtl/>
        </w:rPr>
        <w:t>الشرقي،</w:t>
      </w:r>
      <w:proofErr w:type="spellEnd"/>
      <w:r w:rsidRPr="00395112">
        <w:rPr>
          <w:rFonts w:cs="Simplified Arabic" w:hint="cs"/>
          <w:sz w:val="24"/>
          <w:szCs w:val="24"/>
          <w:rtl/>
        </w:rPr>
        <w:t xml:space="preserve"> والحوض </w:t>
      </w:r>
      <w:proofErr w:type="spellStart"/>
      <w:r w:rsidRPr="00395112">
        <w:rPr>
          <w:rFonts w:cs="Simplified Arabic" w:hint="cs"/>
          <w:sz w:val="24"/>
          <w:szCs w:val="24"/>
          <w:rtl/>
        </w:rPr>
        <w:t>الغربي،</w:t>
      </w:r>
      <w:proofErr w:type="spellEnd"/>
      <w:r w:rsidRPr="00395112">
        <w:rPr>
          <w:rFonts w:cs="Simplified Arabic" w:hint="cs"/>
          <w:sz w:val="24"/>
          <w:szCs w:val="24"/>
          <w:rtl/>
        </w:rPr>
        <w:t xml:space="preserve"> والحوض الشمالي الشرقي</w:t>
      </w:r>
      <w:proofErr w:type="spellStart"/>
      <w:r w:rsidRPr="00395112">
        <w:rPr>
          <w:rFonts w:cs="Simplified Arabic" w:hint="cs"/>
          <w:sz w:val="24"/>
          <w:szCs w:val="24"/>
          <w:rtl/>
        </w:rPr>
        <w:t>)</w:t>
      </w:r>
      <w:proofErr w:type="spellEnd"/>
      <w:r w:rsidRPr="00395112">
        <w:rPr>
          <w:rFonts w:cs="Simplified Arabic" w:hint="cs"/>
          <w:sz w:val="24"/>
          <w:szCs w:val="24"/>
          <w:rtl/>
        </w:rPr>
        <w:t xml:space="preserve"> في الضفة الغربية للعام </w:t>
      </w:r>
      <w:r w:rsidR="00922F32" w:rsidRPr="00395112">
        <w:rPr>
          <w:rFonts w:cs="Simplified Arabic" w:hint="cs"/>
          <w:sz w:val="24"/>
          <w:szCs w:val="24"/>
          <w:rtl/>
        </w:rPr>
        <w:t>2017</w:t>
      </w:r>
      <w:r w:rsidRPr="00395112">
        <w:rPr>
          <w:rFonts w:cs="Simplified Arabic" w:hint="cs"/>
          <w:sz w:val="24"/>
          <w:szCs w:val="24"/>
          <w:rtl/>
        </w:rPr>
        <w:t xml:space="preserve"> نحو </w:t>
      </w:r>
      <w:r w:rsidR="00563B83" w:rsidRPr="00395112">
        <w:rPr>
          <w:rFonts w:cs="Simplified Arabic" w:hint="cs"/>
          <w:sz w:val="24"/>
          <w:szCs w:val="24"/>
          <w:rtl/>
        </w:rPr>
        <w:t>86</w:t>
      </w:r>
      <w:r w:rsidRPr="00395112">
        <w:rPr>
          <w:rFonts w:cs="Simplified Arabic" w:hint="cs"/>
          <w:sz w:val="24"/>
          <w:szCs w:val="24"/>
          <w:rtl/>
        </w:rPr>
        <w:t xml:space="preserve"> مليون </w:t>
      </w:r>
      <w:proofErr w:type="spellStart"/>
      <w:r w:rsidRPr="00395112">
        <w:rPr>
          <w:rFonts w:cs="Simplified Arabic" w:hint="cs"/>
          <w:sz w:val="24"/>
          <w:szCs w:val="24"/>
          <w:rtl/>
        </w:rPr>
        <w:t>م</w:t>
      </w:r>
      <w:r w:rsidRPr="00395112">
        <w:rPr>
          <w:rFonts w:cs="Simplified Arabic" w:hint="cs"/>
          <w:sz w:val="24"/>
          <w:szCs w:val="24"/>
          <w:vertAlign w:val="superscript"/>
          <w:rtl/>
        </w:rPr>
        <w:t>3</w:t>
      </w:r>
      <w:proofErr w:type="spellEnd"/>
      <w:r w:rsidRPr="00395112">
        <w:rPr>
          <w:rFonts w:cs="Simplified Arabic" w:hint="cs"/>
          <w:sz w:val="24"/>
          <w:szCs w:val="24"/>
          <w:rtl/>
        </w:rPr>
        <w:t>.</w:t>
      </w:r>
    </w:p>
    <w:p w:rsidR="00167DC2" w:rsidRPr="00E635FF" w:rsidRDefault="00167DC2" w:rsidP="00542054">
      <w:pPr>
        <w:bidi/>
        <w:spacing w:after="0" w:line="240" w:lineRule="auto"/>
        <w:jc w:val="both"/>
        <w:rPr>
          <w:rFonts w:cs="Simplified Arabic"/>
          <w:sz w:val="18"/>
          <w:szCs w:val="18"/>
          <w:rtl/>
        </w:rPr>
      </w:pPr>
    </w:p>
    <w:p w:rsidR="00CF7F3D" w:rsidRPr="00395112" w:rsidRDefault="002C62DC" w:rsidP="00395112">
      <w:pPr>
        <w:spacing w:after="0" w:line="240" w:lineRule="auto"/>
        <w:jc w:val="center"/>
        <w:rPr>
          <w:rFonts w:cs="Simplified Arabic"/>
          <w:b/>
          <w:bCs/>
          <w:sz w:val="26"/>
          <w:szCs w:val="26"/>
          <w:lang w:bidi="ar-JO"/>
        </w:rPr>
      </w:pPr>
      <w:r w:rsidRPr="00395112">
        <w:rPr>
          <w:rFonts w:cs="Simplified Arabic"/>
          <w:b/>
          <w:bCs/>
          <w:sz w:val="26"/>
          <w:szCs w:val="26"/>
          <w:rtl/>
        </w:rPr>
        <w:t>نسبة</w:t>
      </w:r>
      <w:r w:rsidRPr="00395112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395112">
        <w:rPr>
          <w:rFonts w:cs="Simplified Arabic"/>
          <w:b/>
          <w:bCs/>
          <w:sz w:val="26"/>
          <w:szCs w:val="26"/>
          <w:rtl/>
        </w:rPr>
        <w:t>المياه الجوفية والسطحية</w:t>
      </w:r>
      <w:r w:rsidRPr="00395112">
        <w:rPr>
          <w:rFonts w:cs="Simplified Arabic" w:hint="cs"/>
          <w:b/>
          <w:bCs/>
          <w:sz w:val="26"/>
          <w:szCs w:val="26"/>
          <w:rtl/>
        </w:rPr>
        <w:t xml:space="preserve"> المستخرجة</w:t>
      </w:r>
      <w:r w:rsidRPr="00395112">
        <w:rPr>
          <w:rFonts w:cs="Simplified Arabic"/>
          <w:b/>
          <w:bCs/>
          <w:sz w:val="26"/>
          <w:szCs w:val="26"/>
          <w:rtl/>
        </w:rPr>
        <w:t xml:space="preserve"> من المياه المتاحة في </w:t>
      </w:r>
      <w:proofErr w:type="spellStart"/>
      <w:r w:rsidRPr="00395112">
        <w:rPr>
          <w:rFonts w:cs="Simplified Arabic" w:hint="cs"/>
          <w:b/>
          <w:bCs/>
          <w:sz w:val="26"/>
          <w:szCs w:val="26"/>
          <w:rtl/>
        </w:rPr>
        <w:t>فلسطين</w:t>
      </w:r>
      <w:r w:rsidRPr="00395112">
        <w:rPr>
          <w:rFonts w:cs="Simplified Arabic"/>
          <w:b/>
          <w:bCs/>
          <w:sz w:val="26"/>
          <w:szCs w:val="26"/>
          <w:rtl/>
        </w:rPr>
        <w:t>،</w:t>
      </w:r>
      <w:proofErr w:type="spellEnd"/>
      <w:r w:rsidRPr="00395112">
        <w:rPr>
          <w:rFonts w:cs="Simplified Arabic"/>
          <w:b/>
          <w:bCs/>
          <w:sz w:val="26"/>
          <w:szCs w:val="26"/>
          <w:rtl/>
        </w:rPr>
        <w:t xml:space="preserve"> </w:t>
      </w:r>
      <w:r w:rsidR="00542054" w:rsidRPr="00395112">
        <w:rPr>
          <w:rFonts w:cs="Simplified Arabic" w:hint="cs"/>
          <w:b/>
          <w:bCs/>
          <w:sz w:val="26"/>
          <w:szCs w:val="26"/>
          <w:rtl/>
        </w:rPr>
        <w:t>2009</w:t>
      </w:r>
      <w:r w:rsidRPr="00395112">
        <w:rPr>
          <w:rFonts w:cs="Simplified Arabic"/>
          <w:b/>
          <w:bCs/>
          <w:sz w:val="26"/>
          <w:szCs w:val="26"/>
          <w:rtl/>
        </w:rPr>
        <w:t>-</w:t>
      </w:r>
      <w:r w:rsidR="00922F32" w:rsidRPr="00395112">
        <w:rPr>
          <w:rFonts w:cs="Simplified Arabic" w:hint="cs"/>
          <w:b/>
          <w:bCs/>
          <w:sz w:val="26"/>
          <w:szCs w:val="26"/>
          <w:rtl/>
        </w:rPr>
        <w:t>2017</w:t>
      </w:r>
    </w:p>
    <w:p w:rsidR="0091133D" w:rsidRPr="00E635FF" w:rsidRDefault="00CF7F3D" w:rsidP="00395112">
      <w:pPr>
        <w:keepLines/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cs="Simplified Arabic"/>
          <w:lang w:bidi="ar-JO"/>
        </w:rPr>
      </w:pPr>
      <w:r w:rsidRPr="00E635FF">
        <w:rPr>
          <w:rFonts w:cs="Simplified Arabic"/>
          <w:noProof/>
          <w:bdr w:val="single" w:sz="4" w:space="0" w:color="auto"/>
          <w:rtl/>
        </w:rPr>
        <w:drawing>
          <wp:inline distT="0" distB="0" distL="0" distR="0">
            <wp:extent cx="2933700" cy="2028825"/>
            <wp:effectExtent l="0" t="0" r="0" b="0"/>
            <wp:docPr id="1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6AF2" w:rsidRDefault="00A56AF2" w:rsidP="00A56AF2">
      <w:pPr>
        <w:bidi/>
        <w:spacing w:after="0" w:line="240" w:lineRule="auto"/>
        <w:jc w:val="both"/>
        <w:rPr>
          <w:rFonts w:ascii="Times New Roman" w:hAnsi="Times New Roman" w:cs="Simplified Arabic" w:hint="cs"/>
          <w:b/>
          <w:bCs/>
          <w:sz w:val="16"/>
          <w:szCs w:val="16"/>
          <w:rtl/>
        </w:rPr>
      </w:pPr>
    </w:p>
    <w:p w:rsidR="00395112" w:rsidRDefault="00395112" w:rsidP="00395112">
      <w:pPr>
        <w:bidi/>
        <w:spacing w:after="0" w:line="240" w:lineRule="auto"/>
        <w:jc w:val="both"/>
        <w:rPr>
          <w:rFonts w:ascii="Times New Roman" w:hAnsi="Times New Roman" w:cs="Simplified Arabic" w:hint="cs"/>
          <w:b/>
          <w:bCs/>
          <w:sz w:val="16"/>
          <w:szCs w:val="16"/>
          <w:rtl/>
        </w:rPr>
      </w:pPr>
    </w:p>
    <w:p w:rsidR="00395112" w:rsidRDefault="00395112" w:rsidP="00395112">
      <w:pPr>
        <w:bidi/>
        <w:spacing w:after="0" w:line="240" w:lineRule="auto"/>
        <w:jc w:val="both"/>
        <w:rPr>
          <w:rFonts w:ascii="Times New Roman" w:hAnsi="Times New Roman" w:cs="Simplified Arabic" w:hint="cs"/>
          <w:b/>
          <w:bCs/>
          <w:sz w:val="16"/>
          <w:szCs w:val="16"/>
          <w:rtl/>
        </w:rPr>
      </w:pPr>
    </w:p>
    <w:p w:rsidR="00395112" w:rsidRDefault="00395112" w:rsidP="00395112">
      <w:pPr>
        <w:bidi/>
        <w:spacing w:after="0" w:line="240" w:lineRule="auto"/>
        <w:jc w:val="both"/>
        <w:rPr>
          <w:rFonts w:ascii="Times New Roman" w:hAnsi="Times New Roman" w:cs="Simplified Arabic" w:hint="cs"/>
          <w:b/>
          <w:bCs/>
          <w:sz w:val="16"/>
          <w:szCs w:val="16"/>
          <w:rtl/>
        </w:rPr>
      </w:pPr>
    </w:p>
    <w:p w:rsidR="00395112" w:rsidRDefault="00395112" w:rsidP="00395112">
      <w:pPr>
        <w:bidi/>
        <w:spacing w:after="0" w:line="240" w:lineRule="auto"/>
        <w:jc w:val="both"/>
        <w:rPr>
          <w:rFonts w:ascii="Times New Roman" w:hAnsi="Times New Roman" w:cs="Simplified Arabic" w:hint="cs"/>
          <w:b/>
          <w:bCs/>
          <w:sz w:val="16"/>
          <w:szCs w:val="16"/>
          <w:rtl/>
        </w:rPr>
      </w:pPr>
    </w:p>
    <w:p w:rsidR="00395112" w:rsidRDefault="00395112" w:rsidP="00395112">
      <w:pPr>
        <w:bidi/>
        <w:spacing w:after="0" w:line="240" w:lineRule="auto"/>
        <w:jc w:val="both"/>
        <w:rPr>
          <w:rFonts w:ascii="Times New Roman" w:hAnsi="Times New Roman" w:cs="Simplified Arabic" w:hint="cs"/>
          <w:b/>
          <w:bCs/>
          <w:sz w:val="16"/>
          <w:szCs w:val="16"/>
          <w:rtl/>
        </w:rPr>
      </w:pPr>
    </w:p>
    <w:p w:rsidR="00395112" w:rsidRPr="00395112" w:rsidRDefault="00395112" w:rsidP="00395112">
      <w:pPr>
        <w:bidi/>
        <w:spacing w:after="0" w:line="240" w:lineRule="auto"/>
        <w:jc w:val="both"/>
        <w:rPr>
          <w:rFonts w:ascii="Times New Roman" w:hAnsi="Times New Roman" w:cs="Simplified Arabic"/>
          <w:b/>
          <w:bCs/>
          <w:sz w:val="16"/>
          <w:szCs w:val="16"/>
          <w:rtl/>
        </w:rPr>
      </w:pPr>
    </w:p>
    <w:p w:rsidR="004035DE" w:rsidRPr="00395112" w:rsidRDefault="00A35761" w:rsidP="00395112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Times New Roman" w:hAnsi="Times New Roman" w:cs="Simplified Arabic"/>
          <w:b/>
          <w:bCs/>
          <w:sz w:val="26"/>
          <w:szCs w:val="26"/>
          <w:rtl/>
        </w:rPr>
      </w:pPr>
      <w:proofErr w:type="spellStart"/>
      <w:r w:rsidRPr="00395112">
        <w:rPr>
          <w:rFonts w:ascii="Times New Roman" w:hAnsi="Times New Roman" w:cs="Simplified Arabic" w:hint="cs"/>
          <w:b/>
          <w:bCs/>
          <w:sz w:val="26"/>
          <w:szCs w:val="26"/>
          <w:rtl/>
        </w:rPr>
        <w:t>22</w:t>
      </w:r>
      <w:r w:rsidR="004035DE" w:rsidRPr="00395112">
        <w:rPr>
          <w:rFonts w:ascii="Times New Roman" w:hAnsi="Times New Roman" w:cs="Simplified Arabic" w:hint="cs"/>
          <w:b/>
          <w:bCs/>
          <w:sz w:val="26"/>
          <w:szCs w:val="26"/>
          <w:rtl/>
        </w:rPr>
        <w:t>%</w:t>
      </w:r>
      <w:proofErr w:type="spellEnd"/>
      <w:r w:rsidR="004035DE" w:rsidRPr="00395112">
        <w:rPr>
          <w:rFonts w:ascii="Times New Roman" w:hAnsi="Times New Roman" w:cs="Simplified Arabic" w:hint="cs"/>
          <w:b/>
          <w:bCs/>
          <w:sz w:val="26"/>
          <w:szCs w:val="26"/>
          <w:rtl/>
        </w:rPr>
        <w:t xml:space="preserve"> من المياه المتاحة في فلسطين يتم شراؤها من شركة المياه الإسرائيلية "</w:t>
      </w:r>
      <w:proofErr w:type="spellStart"/>
      <w:r w:rsidR="004035DE" w:rsidRPr="00395112">
        <w:rPr>
          <w:rFonts w:ascii="Times New Roman" w:hAnsi="Times New Roman" w:cs="Simplified Arabic" w:hint="cs"/>
          <w:b/>
          <w:bCs/>
          <w:sz w:val="26"/>
          <w:szCs w:val="26"/>
          <w:rtl/>
        </w:rPr>
        <w:t>ميكروت"</w:t>
      </w:r>
      <w:proofErr w:type="spellEnd"/>
    </w:p>
    <w:p w:rsidR="004035DE" w:rsidRPr="00395112" w:rsidRDefault="0037422F" w:rsidP="00563B83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395112">
        <w:rPr>
          <w:rFonts w:ascii="Times New Roman" w:hAnsi="Times New Roman" w:cs="Simplified Arabic" w:hint="cs"/>
          <w:sz w:val="24"/>
          <w:szCs w:val="24"/>
          <w:rtl/>
        </w:rPr>
        <w:t>تسهم الإجراءات الإسرائيلية بالحد من قدرة الفلسطينيي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ن</w:t>
      </w:r>
      <w:r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cs"/>
          <w:sz w:val="24"/>
          <w:szCs w:val="24"/>
          <w:rtl/>
        </w:rPr>
        <w:t>من استغلال مواردهم الطبيعية وخصوصا المياه وإجبارهم على تعويض النقص ب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شراء المياه من شركة المياه الإسرائيلية "</w:t>
      </w:r>
      <w:proofErr w:type="spellStart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ميكروت</w:t>
      </w:r>
      <w:r w:rsidR="00563B83" w:rsidRPr="00395112">
        <w:rPr>
          <w:rFonts w:ascii="Times New Roman" w:hAnsi="Times New Roman" w:cs="Simplified Arabic" w:hint="cs"/>
          <w:sz w:val="24"/>
          <w:szCs w:val="24"/>
          <w:rtl/>
        </w:rPr>
        <w:t>",</w:t>
      </w:r>
      <w:proofErr w:type="spellEnd"/>
      <w:r w:rsidR="00563B83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حيث وصلت كمية المياه المشتراة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للاستخدام المنزلي </w:t>
      </w:r>
      <w:r w:rsidR="00A35761" w:rsidRPr="00395112">
        <w:rPr>
          <w:rFonts w:ascii="Times New Roman" w:hAnsi="Times New Roman" w:cs="Simplified Arabic" w:hint="cs"/>
          <w:sz w:val="24"/>
          <w:szCs w:val="24"/>
          <w:rtl/>
        </w:rPr>
        <w:t>83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مليون </w:t>
      </w:r>
      <w:proofErr w:type="spellStart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م</w:t>
      </w:r>
      <w:r w:rsidR="004035DE" w:rsidRPr="00395112">
        <w:rPr>
          <w:rFonts w:ascii="Times New Roman" w:hAnsi="Times New Roman" w:cs="Simplified Arabic" w:hint="cs"/>
          <w:sz w:val="24"/>
          <w:szCs w:val="24"/>
          <w:vertAlign w:val="superscript"/>
          <w:rtl/>
        </w:rPr>
        <w:t>3</w:t>
      </w:r>
      <w:proofErr w:type="spellEnd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عام </w:t>
      </w:r>
      <w:proofErr w:type="spellStart"/>
      <w:r w:rsidR="00A35761" w:rsidRPr="00395112">
        <w:rPr>
          <w:rFonts w:ascii="Times New Roman" w:hAnsi="Times New Roman" w:cs="Simplified Arabic" w:hint="cs"/>
          <w:sz w:val="24"/>
          <w:szCs w:val="24"/>
          <w:rtl/>
        </w:rPr>
        <w:t>2017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،</w:t>
      </w:r>
      <w:proofErr w:type="spellEnd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وهي تشكل ما نسبته </w:t>
      </w:r>
      <w:proofErr w:type="spellStart"/>
      <w:r w:rsidR="00A35761" w:rsidRPr="00395112">
        <w:rPr>
          <w:rFonts w:ascii="Times New Roman" w:hAnsi="Times New Roman" w:cs="Simplified Arabic" w:hint="cs"/>
          <w:sz w:val="24"/>
          <w:szCs w:val="24"/>
          <w:rtl/>
        </w:rPr>
        <w:t>22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%</w:t>
      </w:r>
      <w:proofErr w:type="spellEnd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من كمية المياه المتاحة التي بلغت 3</w:t>
      </w:r>
      <w:r w:rsidR="00A35761" w:rsidRPr="00395112">
        <w:rPr>
          <w:rFonts w:ascii="Times New Roman" w:hAnsi="Times New Roman" w:cs="Simplified Arabic" w:hint="cs"/>
          <w:sz w:val="24"/>
          <w:szCs w:val="24"/>
          <w:rtl/>
        </w:rPr>
        <w:t>75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مليون </w:t>
      </w:r>
      <w:proofErr w:type="spellStart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م</w:t>
      </w:r>
      <w:r w:rsidR="004035DE" w:rsidRPr="00395112">
        <w:rPr>
          <w:rFonts w:ascii="Times New Roman" w:hAnsi="Times New Roman" w:cs="Simplified Arabic" w:hint="cs"/>
          <w:sz w:val="24"/>
          <w:szCs w:val="24"/>
          <w:vertAlign w:val="superscript"/>
          <w:rtl/>
        </w:rPr>
        <w:t>3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،</w:t>
      </w:r>
      <w:proofErr w:type="spellEnd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بالإضافة إلى </w:t>
      </w:r>
      <w:r w:rsidR="00A35761" w:rsidRPr="00395112">
        <w:rPr>
          <w:rFonts w:ascii="Times New Roman" w:hAnsi="Times New Roman" w:cs="Simplified Arabic" w:hint="cs"/>
          <w:sz w:val="24"/>
          <w:szCs w:val="24"/>
          <w:rtl/>
        </w:rPr>
        <w:t>2</w:t>
      </w:r>
      <w:r w:rsidR="00507E31" w:rsidRPr="00395112">
        <w:rPr>
          <w:rFonts w:ascii="Times New Roman" w:hAnsi="Times New Roman" w:cs="Simplified Arabic" w:hint="cs"/>
          <w:sz w:val="24"/>
          <w:szCs w:val="24"/>
          <w:rtl/>
        </w:rPr>
        <w:t>3</w:t>
      </w:r>
      <w:r w:rsidR="00A35761" w:rsidRPr="00395112">
        <w:rPr>
          <w:rFonts w:ascii="Times New Roman" w:hAnsi="Times New Roman" w:cs="Simplified Arabic" w:hint="cs"/>
          <w:sz w:val="24"/>
          <w:szCs w:val="24"/>
          <w:rtl/>
        </w:rPr>
        <w:t>.5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مليون </w:t>
      </w:r>
      <w:proofErr w:type="spellStart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م</w:t>
      </w:r>
      <w:r w:rsidR="004035DE" w:rsidRPr="00395112">
        <w:rPr>
          <w:rFonts w:ascii="Times New Roman" w:hAnsi="Times New Roman" w:cs="Simplified Arabic" w:hint="cs"/>
          <w:sz w:val="24"/>
          <w:szCs w:val="24"/>
          <w:vertAlign w:val="superscript"/>
          <w:rtl/>
        </w:rPr>
        <w:t>3</w:t>
      </w:r>
      <w:proofErr w:type="spellEnd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مياه متدفقة من الينابيع الفلسطينية </w:t>
      </w:r>
      <w:proofErr w:type="spellStart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و2</w:t>
      </w:r>
      <w:r w:rsidR="00A35761" w:rsidRPr="00395112">
        <w:rPr>
          <w:rFonts w:ascii="Times New Roman" w:hAnsi="Times New Roman" w:cs="Simplified Arabic" w:hint="cs"/>
          <w:sz w:val="24"/>
          <w:szCs w:val="24"/>
          <w:rtl/>
        </w:rPr>
        <w:t>64</w:t>
      </w:r>
      <w:proofErr w:type="spellEnd"/>
      <w:r w:rsidR="00A35761" w:rsidRPr="00395112">
        <w:rPr>
          <w:rFonts w:ascii="Times New Roman" w:hAnsi="Times New Roman" w:cs="Simplified Arabic" w:hint="cs"/>
          <w:sz w:val="24"/>
          <w:szCs w:val="24"/>
          <w:rtl/>
        </w:rPr>
        <w:t>.5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مليون </w:t>
      </w:r>
      <w:proofErr w:type="spellStart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م</w:t>
      </w:r>
      <w:r w:rsidR="004035DE" w:rsidRPr="00395112">
        <w:rPr>
          <w:rFonts w:ascii="Times New Roman" w:hAnsi="Times New Roman" w:cs="Simplified Arabic" w:hint="cs"/>
          <w:sz w:val="24"/>
          <w:szCs w:val="24"/>
          <w:vertAlign w:val="superscript"/>
          <w:rtl/>
        </w:rPr>
        <w:t>3</w:t>
      </w:r>
      <w:proofErr w:type="spellEnd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مياه متدفقة من الآبار </w:t>
      </w:r>
      <w:proofErr w:type="spellStart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الجوفية،</w:t>
      </w:r>
      <w:proofErr w:type="spellEnd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proofErr w:type="spellStart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و4</w:t>
      </w:r>
      <w:proofErr w:type="spellEnd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.</w:t>
      </w:r>
      <w:r w:rsidR="00A35761" w:rsidRPr="00395112">
        <w:rPr>
          <w:rFonts w:ascii="Times New Roman" w:hAnsi="Times New Roman" w:cs="Simplified Arabic" w:hint="cs"/>
          <w:sz w:val="24"/>
          <w:szCs w:val="24"/>
          <w:rtl/>
        </w:rPr>
        <w:t>0</w:t>
      </w:r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مليون </w:t>
      </w:r>
      <w:proofErr w:type="spellStart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>م</w:t>
      </w:r>
      <w:r w:rsidR="004035DE" w:rsidRPr="00395112">
        <w:rPr>
          <w:rFonts w:ascii="Times New Roman" w:hAnsi="Times New Roman" w:cs="Simplified Arabic" w:hint="cs"/>
          <w:sz w:val="24"/>
          <w:szCs w:val="24"/>
          <w:vertAlign w:val="superscript"/>
          <w:rtl/>
        </w:rPr>
        <w:t>3</w:t>
      </w:r>
      <w:proofErr w:type="spellEnd"/>
      <w:r w:rsidR="004035DE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مياه شرب محلاة.</w:t>
      </w:r>
    </w:p>
    <w:p w:rsidR="00651752" w:rsidRPr="00395112" w:rsidRDefault="00651752" w:rsidP="00651752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Times New Roman" w:hAnsi="Times New Roman" w:cs="Simplified Arabic"/>
          <w:sz w:val="24"/>
          <w:szCs w:val="24"/>
          <w:rtl/>
        </w:rPr>
      </w:pPr>
    </w:p>
    <w:p w:rsidR="00651752" w:rsidRDefault="00651752" w:rsidP="00596589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Times New Roman" w:hAnsi="Times New Roman" w:cs="Simplified Arabic" w:hint="cs"/>
          <w:sz w:val="24"/>
          <w:szCs w:val="24"/>
          <w:rtl/>
        </w:rPr>
      </w:pPr>
      <w:proofErr w:type="spellStart"/>
      <w:r w:rsidRPr="00395112">
        <w:rPr>
          <w:rFonts w:ascii="Times New Roman" w:hAnsi="Times New Roman" w:cs="Simplified Arabic" w:hint="cs"/>
          <w:sz w:val="24"/>
          <w:szCs w:val="24"/>
          <w:rtl/>
        </w:rPr>
        <w:t>ملاحظة:</w:t>
      </w:r>
      <w:proofErr w:type="spellEnd"/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البيانات</w:t>
      </w:r>
      <w:r w:rsidR="00596589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الواردة في البيان</w:t>
      </w:r>
      <w:r w:rsidR="00BF0E51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الصحفي</w:t>
      </w:r>
      <w:r w:rsidR="00596589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لا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تشمل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ذلك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الجزء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من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محافظة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القدس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الذي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ضمته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إسرائيل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عنوة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بعيد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احتلالها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للضفة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الغربية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في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</w:t>
      </w:r>
      <w:r w:rsidRPr="00395112">
        <w:rPr>
          <w:rFonts w:ascii="Times New Roman" w:hAnsi="Times New Roman" w:cs="Simplified Arabic" w:hint="eastAsia"/>
          <w:sz w:val="24"/>
          <w:szCs w:val="24"/>
          <w:rtl/>
        </w:rPr>
        <w:t>عام</w:t>
      </w:r>
      <w:r w:rsidRPr="00395112">
        <w:rPr>
          <w:rFonts w:ascii="Times New Roman" w:hAnsi="Times New Roman" w:cs="Simplified Arabic"/>
          <w:sz w:val="24"/>
          <w:szCs w:val="24"/>
          <w:rtl/>
        </w:rPr>
        <w:t xml:space="preserve"> 1967</w:t>
      </w:r>
      <w:r w:rsidR="00596589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 باستثناء </w:t>
      </w:r>
      <w:r w:rsidR="006D4409" w:rsidRPr="00395112">
        <w:rPr>
          <w:rFonts w:ascii="Times New Roman" w:hAnsi="Times New Roman" w:cs="Simplified Arabic" w:hint="cs"/>
          <w:sz w:val="24"/>
          <w:szCs w:val="24"/>
          <w:rtl/>
        </w:rPr>
        <w:t xml:space="preserve">بيانات </w:t>
      </w:r>
      <w:r w:rsidR="00596589" w:rsidRPr="00395112">
        <w:rPr>
          <w:rFonts w:ascii="Times New Roman" w:hAnsi="Times New Roman" w:cs="Simplified Arabic" w:hint="cs"/>
          <w:sz w:val="24"/>
          <w:szCs w:val="24"/>
          <w:rtl/>
        </w:rPr>
        <w:t>مصدر مياه الشرب الآمن.</w:t>
      </w:r>
    </w:p>
    <w:p w:rsidR="00395112" w:rsidRDefault="00395112" w:rsidP="00395112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Times New Roman" w:hAnsi="Times New Roman" w:cs="Simplified Arabic" w:hint="cs"/>
          <w:sz w:val="24"/>
          <w:szCs w:val="24"/>
          <w:rtl/>
        </w:rPr>
      </w:pPr>
    </w:p>
    <w:p w:rsidR="00395112" w:rsidRDefault="00395112" w:rsidP="00395112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Times New Roman" w:hAnsi="Times New Roman" w:cs="Simplified Arabic" w:hint="cs"/>
          <w:sz w:val="24"/>
          <w:szCs w:val="24"/>
          <w:rtl/>
        </w:rPr>
      </w:pPr>
    </w:p>
    <w:p w:rsidR="00395112" w:rsidRDefault="00395112" w:rsidP="00395112">
      <w:pPr>
        <w:tabs>
          <w:tab w:val="left" w:pos="4768"/>
        </w:tabs>
        <w:bidi/>
        <w:spacing w:after="0" w:line="240" w:lineRule="auto"/>
        <w:ind w:left="-52"/>
        <w:jc w:val="center"/>
        <w:rPr>
          <w:rFonts w:ascii="Times New Roman" w:hAnsi="Times New Roman" w:cs="Simplified Arabic" w:hint="cs"/>
          <w:sz w:val="24"/>
          <w:szCs w:val="24"/>
          <w:rtl/>
        </w:rPr>
      </w:pPr>
      <w:r w:rsidRPr="00395112">
        <w:rPr>
          <w:rFonts w:ascii="Times New Roman" w:hAnsi="Times New Roman" w:cs="Simplified Arabic" w:hint="cs"/>
          <w:sz w:val="24"/>
          <w:szCs w:val="24"/>
          <w:rtl/>
        </w:rPr>
        <w:drawing>
          <wp:inline distT="0" distB="0" distL="0" distR="0">
            <wp:extent cx="952500" cy="1057275"/>
            <wp:effectExtent l="19050" t="0" r="0" b="0"/>
            <wp:docPr id="2" name="Picture 14" descr="شعار 7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7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659" cy="106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112">
        <w:rPr>
          <w:rFonts w:ascii="Times New Roman" w:hAnsi="Times New Roman" w:cs="Simplified Arabic"/>
          <w:sz w:val="24"/>
          <w:szCs w:val="24"/>
          <w:rtl/>
        </w:rPr>
        <w:drawing>
          <wp:inline distT="0" distB="0" distL="0" distR="0">
            <wp:extent cx="742023" cy="1057275"/>
            <wp:effectExtent l="19050" t="0" r="927" b="0"/>
            <wp:docPr id="4" name="Picture 0" descr="القدس عاصمة الثقافة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قدس عاصمة الثقاف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64" cy="106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112" w:rsidRDefault="00395112" w:rsidP="00395112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Times New Roman" w:hAnsi="Times New Roman" w:cs="Simplified Arabic" w:hint="cs"/>
          <w:sz w:val="24"/>
          <w:szCs w:val="24"/>
          <w:rtl/>
        </w:rPr>
      </w:pPr>
    </w:p>
    <w:p w:rsidR="00395112" w:rsidRPr="00395112" w:rsidRDefault="00395112" w:rsidP="00395112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Times New Roman" w:hAnsi="Times New Roman" w:cs="Simplified Arabic"/>
          <w:sz w:val="24"/>
          <w:szCs w:val="24"/>
          <w:rtl/>
        </w:rPr>
      </w:pPr>
    </w:p>
    <w:p w:rsidR="004035DE" w:rsidRPr="004035DE" w:rsidRDefault="004035DE" w:rsidP="004035DE">
      <w:pPr>
        <w:bidi/>
        <w:spacing w:after="0" w:line="240" w:lineRule="auto"/>
        <w:jc w:val="both"/>
        <w:rPr>
          <w:rFonts w:ascii="Times New Roman" w:hAnsi="Times New Roman" w:cs="Simplified Arabic"/>
          <w:b/>
          <w:bCs/>
          <w:sz w:val="18"/>
          <w:szCs w:val="18"/>
          <w:rtl/>
        </w:rPr>
      </w:pPr>
    </w:p>
    <w:p w:rsidR="00166DF4" w:rsidRDefault="00166DF4" w:rsidP="00C85499">
      <w:pPr>
        <w:bidi/>
        <w:spacing w:after="0" w:line="240" w:lineRule="auto"/>
        <w:rPr>
          <w:rFonts w:ascii="Times New Roman" w:hAnsi="Times New Roman" w:cs="Simplified Arabic"/>
          <w:sz w:val="18"/>
          <w:szCs w:val="18"/>
          <w:rtl/>
        </w:rPr>
      </w:pPr>
    </w:p>
    <w:p w:rsidR="00C85499" w:rsidRPr="00C85499" w:rsidRDefault="00C85499" w:rsidP="00C85499">
      <w:pPr>
        <w:bidi/>
        <w:spacing w:after="0" w:line="240" w:lineRule="auto"/>
        <w:rPr>
          <w:rFonts w:ascii="Times New Roman" w:hAnsi="Times New Roman" w:cs="Simplified Arabic"/>
          <w:sz w:val="18"/>
          <w:szCs w:val="18"/>
          <w:rtl/>
        </w:rPr>
      </w:pPr>
    </w:p>
    <w:sectPr w:rsidR="00C85499" w:rsidRPr="00C85499" w:rsidSect="00395112">
      <w:footerReference w:type="default" r:id="rId12"/>
      <w:type w:val="continuous"/>
      <w:pgSz w:w="12240" w:h="15840" w:code="1"/>
      <w:pgMar w:top="720" w:right="720" w:bottom="720" w:left="720" w:header="426" w:footer="416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8A" w:rsidRDefault="00B6768A" w:rsidP="00520006">
      <w:pPr>
        <w:spacing w:after="0" w:line="240" w:lineRule="auto"/>
      </w:pPr>
      <w:r>
        <w:separator/>
      </w:r>
    </w:p>
  </w:endnote>
  <w:endnote w:type="continuationSeparator" w:id="0">
    <w:p w:rsidR="00B6768A" w:rsidRDefault="00B6768A" w:rsidP="0052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23438"/>
      <w:docPartObj>
        <w:docPartGallery w:val="Page Numbers (Bottom of Page)"/>
        <w:docPartUnique/>
      </w:docPartObj>
    </w:sdtPr>
    <w:sdtContent>
      <w:p w:rsidR="00EF3525" w:rsidRDefault="00BD3BFA">
        <w:pPr>
          <w:pStyle w:val="Footer"/>
          <w:jc w:val="center"/>
        </w:pPr>
        <w:fldSimple w:instr=" PAGE   \* MERGEFORMAT ">
          <w:r w:rsidR="00C06B61">
            <w:rPr>
              <w:noProof/>
            </w:rPr>
            <w:t>1</w:t>
          </w:r>
        </w:fldSimple>
      </w:p>
    </w:sdtContent>
  </w:sdt>
  <w:p w:rsidR="00384C8B" w:rsidRDefault="00384C8B" w:rsidP="003E0096">
    <w:pPr>
      <w:pStyle w:val="Footer"/>
      <w:jc w:val="right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8A" w:rsidRDefault="00B6768A" w:rsidP="00520006">
      <w:pPr>
        <w:spacing w:after="0" w:line="240" w:lineRule="auto"/>
      </w:pPr>
      <w:r>
        <w:separator/>
      </w:r>
    </w:p>
  </w:footnote>
  <w:footnote w:type="continuationSeparator" w:id="0">
    <w:p w:rsidR="00B6768A" w:rsidRDefault="00B6768A" w:rsidP="0052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E0E"/>
    <w:multiLevelType w:val="hybridMultilevel"/>
    <w:tmpl w:val="8C7E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B68B5"/>
    <w:multiLevelType w:val="hybridMultilevel"/>
    <w:tmpl w:val="C430E97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E512DC3"/>
    <w:multiLevelType w:val="multilevel"/>
    <w:tmpl w:val="E7403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4713F2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righ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4">
    <w:nsid w:val="720A4173"/>
    <w:multiLevelType w:val="hybridMultilevel"/>
    <w:tmpl w:val="54220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5604"/>
    <w:rsid w:val="000020E5"/>
    <w:rsid w:val="000033C8"/>
    <w:rsid w:val="00006B6C"/>
    <w:rsid w:val="00021DD6"/>
    <w:rsid w:val="00023DA5"/>
    <w:rsid w:val="00027976"/>
    <w:rsid w:val="000350B7"/>
    <w:rsid w:val="000401CC"/>
    <w:rsid w:val="0004137A"/>
    <w:rsid w:val="000477AC"/>
    <w:rsid w:val="00052E9D"/>
    <w:rsid w:val="000533A6"/>
    <w:rsid w:val="00054EC8"/>
    <w:rsid w:val="00054F40"/>
    <w:rsid w:val="00056DBC"/>
    <w:rsid w:val="000573BE"/>
    <w:rsid w:val="000610EB"/>
    <w:rsid w:val="00062E4E"/>
    <w:rsid w:val="00063F0E"/>
    <w:rsid w:val="000669EC"/>
    <w:rsid w:val="00072173"/>
    <w:rsid w:val="00076361"/>
    <w:rsid w:val="00082897"/>
    <w:rsid w:val="000860C8"/>
    <w:rsid w:val="00087267"/>
    <w:rsid w:val="0009460D"/>
    <w:rsid w:val="00094FE8"/>
    <w:rsid w:val="00096BB4"/>
    <w:rsid w:val="000A7004"/>
    <w:rsid w:val="000B3E50"/>
    <w:rsid w:val="000C09E0"/>
    <w:rsid w:val="000C1E0C"/>
    <w:rsid w:val="000D3C3B"/>
    <w:rsid w:val="000D646C"/>
    <w:rsid w:val="000E079E"/>
    <w:rsid w:val="000E642E"/>
    <w:rsid w:val="000F28EB"/>
    <w:rsid w:val="000F2D0E"/>
    <w:rsid w:val="000F5B99"/>
    <w:rsid w:val="000F6BC4"/>
    <w:rsid w:val="000F73EA"/>
    <w:rsid w:val="00107254"/>
    <w:rsid w:val="0010766A"/>
    <w:rsid w:val="001131DE"/>
    <w:rsid w:val="00115489"/>
    <w:rsid w:val="00115B43"/>
    <w:rsid w:val="00117EE9"/>
    <w:rsid w:val="0012062A"/>
    <w:rsid w:val="00126758"/>
    <w:rsid w:val="00130328"/>
    <w:rsid w:val="0013352F"/>
    <w:rsid w:val="00140A80"/>
    <w:rsid w:val="001424AA"/>
    <w:rsid w:val="00143502"/>
    <w:rsid w:val="001461FA"/>
    <w:rsid w:val="00147F61"/>
    <w:rsid w:val="00151391"/>
    <w:rsid w:val="00152778"/>
    <w:rsid w:val="00155625"/>
    <w:rsid w:val="00155B59"/>
    <w:rsid w:val="00161DCC"/>
    <w:rsid w:val="00165D4A"/>
    <w:rsid w:val="00166DF4"/>
    <w:rsid w:val="00167DC2"/>
    <w:rsid w:val="00170FB1"/>
    <w:rsid w:val="00171EC1"/>
    <w:rsid w:val="00175A3A"/>
    <w:rsid w:val="0017724F"/>
    <w:rsid w:val="001944B6"/>
    <w:rsid w:val="001A3841"/>
    <w:rsid w:val="001A4A5D"/>
    <w:rsid w:val="001A64CE"/>
    <w:rsid w:val="001A765C"/>
    <w:rsid w:val="001A7782"/>
    <w:rsid w:val="001B0733"/>
    <w:rsid w:val="001B4445"/>
    <w:rsid w:val="001B5190"/>
    <w:rsid w:val="001C08C7"/>
    <w:rsid w:val="001C23E6"/>
    <w:rsid w:val="001C5A5D"/>
    <w:rsid w:val="001C70B1"/>
    <w:rsid w:val="001C79A6"/>
    <w:rsid w:val="001D0B5A"/>
    <w:rsid w:val="001D21EB"/>
    <w:rsid w:val="001D41CE"/>
    <w:rsid w:val="001D5A9D"/>
    <w:rsid w:val="001E0090"/>
    <w:rsid w:val="001E02D8"/>
    <w:rsid w:val="001E2C8D"/>
    <w:rsid w:val="001E3324"/>
    <w:rsid w:val="001E4FD2"/>
    <w:rsid w:val="001E5110"/>
    <w:rsid w:val="001E58F3"/>
    <w:rsid w:val="001E74B5"/>
    <w:rsid w:val="001F155C"/>
    <w:rsid w:val="001F20F2"/>
    <w:rsid w:val="001F56E4"/>
    <w:rsid w:val="002049C7"/>
    <w:rsid w:val="0020542C"/>
    <w:rsid w:val="00205888"/>
    <w:rsid w:val="00206EC2"/>
    <w:rsid w:val="002073B3"/>
    <w:rsid w:val="00211642"/>
    <w:rsid w:val="00212B92"/>
    <w:rsid w:val="00216CAB"/>
    <w:rsid w:val="002200A2"/>
    <w:rsid w:val="00232731"/>
    <w:rsid w:val="00233AE8"/>
    <w:rsid w:val="00235954"/>
    <w:rsid w:val="002442EB"/>
    <w:rsid w:val="002467B1"/>
    <w:rsid w:val="002556FA"/>
    <w:rsid w:val="002632BF"/>
    <w:rsid w:val="0026398C"/>
    <w:rsid w:val="00265E1C"/>
    <w:rsid w:val="00267920"/>
    <w:rsid w:val="00280134"/>
    <w:rsid w:val="00281C0A"/>
    <w:rsid w:val="0028340A"/>
    <w:rsid w:val="00287AE0"/>
    <w:rsid w:val="00293AC5"/>
    <w:rsid w:val="002958E1"/>
    <w:rsid w:val="00295C6A"/>
    <w:rsid w:val="00297050"/>
    <w:rsid w:val="002A026F"/>
    <w:rsid w:val="002A0913"/>
    <w:rsid w:val="002A0D43"/>
    <w:rsid w:val="002A232D"/>
    <w:rsid w:val="002A647C"/>
    <w:rsid w:val="002B12AD"/>
    <w:rsid w:val="002B2405"/>
    <w:rsid w:val="002B3326"/>
    <w:rsid w:val="002B630B"/>
    <w:rsid w:val="002B6F9F"/>
    <w:rsid w:val="002C0FE2"/>
    <w:rsid w:val="002C1AC4"/>
    <w:rsid w:val="002C5211"/>
    <w:rsid w:val="002C62DC"/>
    <w:rsid w:val="002D2588"/>
    <w:rsid w:val="002D262F"/>
    <w:rsid w:val="002D3D4D"/>
    <w:rsid w:val="002D60BA"/>
    <w:rsid w:val="002E3936"/>
    <w:rsid w:val="002E66B0"/>
    <w:rsid w:val="00300C96"/>
    <w:rsid w:val="003027A1"/>
    <w:rsid w:val="003042CD"/>
    <w:rsid w:val="003053F0"/>
    <w:rsid w:val="00306ADE"/>
    <w:rsid w:val="00307406"/>
    <w:rsid w:val="00313707"/>
    <w:rsid w:val="0031563D"/>
    <w:rsid w:val="00317FEB"/>
    <w:rsid w:val="003274C8"/>
    <w:rsid w:val="003420D0"/>
    <w:rsid w:val="003502EE"/>
    <w:rsid w:val="0035236C"/>
    <w:rsid w:val="003523FC"/>
    <w:rsid w:val="00356B4D"/>
    <w:rsid w:val="0037011D"/>
    <w:rsid w:val="0037408B"/>
    <w:rsid w:val="0037422F"/>
    <w:rsid w:val="003773A0"/>
    <w:rsid w:val="00377DDC"/>
    <w:rsid w:val="00381169"/>
    <w:rsid w:val="003821A0"/>
    <w:rsid w:val="00384C8B"/>
    <w:rsid w:val="003867EC"/>
    <w:rsid w:val="003945E2"/>
    <w:rsid w:val="00395112"/>
    <w:rsid w:val="00396660"/>
    <w:rsid w:val="003974C1"/>
    <w:rsid w:val="003A0763"/>
    <w:rsid w:val="003A0795"/>
    <w:rsid w:val="003A0A15"/>
    <w:rsid w:val="003A14BE"/>
    <w:rsid w:val="003A1B9D"/>
    <w:rsid w:val="003A219F"/>
    <w:rsid w:val="003A400D"/>
    <w:rsid w:val="003A5D75"/>
    <w:rsid w:val="003B0E35"/>
    <w:rsid w:val="003B47C5"/>
    <w:rsid w:val="003C09B5"/>
    <w:rsid w:val="003C1AE2"/>
    <w:rsid w:val="003C3916"/>
    <w:rsid w:val="003E0096"/>
    <w:rsid w:val="003E02D1"/>
    <w:rsid w:val="003E0BB1"/>
    <w:rsid w:val="003E2A2D"/>
    <w:rsid w:val="003E2DE5"/>
    <w:rsid w:val="003E2E3A"/>
    <w:rsid w:val="003E4049"/>
    <w:rsid w:val="003E4372"/>
    <w:rsid w:val="003E5CD1"/>
    <w:rsid w:val="003E69DE"/>
    <w:rsid w:val="003E7FED"/>
    <w:rsid w:val="003F30AF"/>
    <w:rsid w:val="003F34F9"/>
    <w:rsid w:val="00402BAA"/>
    <w:rsid w:val="004035DE"/>
    <w:rsid w:val="00414B58"/>
    <w:rsid w:val="00417EEB"/>
    <w:rsid w:val="0042108C"/>
    <w:rsid w:val="0042181F"/>
    <w:rsid w:val="004236D7"/>
    <w:rsid w:val="00431A11"/>
    <w:rsid w:val="00431F2C"/>
    <w:rsid w:val="004357EB"/>
    <w:rsid w:val="00442D93"/>
    <w:rsid w:val="0044632B"/>
    <w:rsid w:val="00446785"/>
    <w:rsid w:val="00446E43"/>
    <w:rsid w:val="004472C5"/>
    <w:rsid w:val="00451498"/>
    <w:rsid w:val="00452776"/>
    <w:rsid w:val="00452CF2"/>
    <w:rsid w:val="00454708"/>
    <w:rsid w:val="00462499"/>
    <w:rsid w:val="004626F0"/>
    <w:rsid w:val="004628AF"/>
    <w:rsid w:val="00463A56"/>
    <w:rsid w:val="00465604"/>
    <w:rsid w:val="00466F25"/>
    <w:rsid w:val="00470166"/>
    <w:rsid w:val="004718AF"/>
    <w:rsid w:val="00471F1F"/>
    <w:rsid w:val="0047227D"/>
    <w:rsid w:val="00473BA5"/>
    <w:rsid w:val="00473E78"/>
    <w:rsid w:val="00492D01"/>
    <w:rsid w:val="00497962"/>
    <w:rsid w:val="004A3EA7"/>
    <w:rsid w:val="004A4078"/>
    <w:rsid w:val="004A66D0"/>
    <w:rsid w:val="004A79C5"/>
    <w:rsid w:val="004A7BC1"/>
    <w:rsid w:val="004B6373"/>
    <w:rsid w:val="004C3CBB"/>
    <w:rsid w:val="004C4D77"/>
    <w:rsid w:val="004C5AE7"/>
    <w:rsid w:val="004C5C8E"/>
    <w:rsid w:val="004C778F"/>
    <w:rsid w:val="004D3906"/>
    <w:rsid w:val="004D3C4E"/>
    <w:rsid w:val="004D4F1D"/>
    <w:rsid w:val="004D6177"/>
    <w:rsid w:val="004E4DD3"/>
    <w:rsid w:val="004E58B2"/>
    <w:rsid w:val="004F0273"/>
    <w:rsid w:val="004F20AB"/>
    <w:rsid w:val="004F223B"/>
    <w:rsid w:val="004F28CC"/>
    <w:rsid w:val="004F7459"/>
    <w:rsid w:val="00500927"/>
    <w:rsid w:val="00501456"/>
    <w:rsid w:val="00507E31"/>
    <w:rsid w:val="00512C93"/>
    <w:rsid w:val="0051560D"/>
    <w:rsid w:val="00515B7B"/>
    <w:rsid w:val="00517203"/>
    <w:rsid w:val="00517579"/>
    <w:rsid w:val="00520006"/>
    <w:rsid w:val="00522876"/>
    <w:rsid w:val="0052605F"/>
    <w:rsid w:val="00530903"/>
    <w:rsid w:val="00542054"/>
    <w:rsid w:val="005436B6"/>
    <w:rsid w:val="0055540B"/>
    <w:rsid w:val="00556AB5"/>
    <w:rsid w:val="00561163"/>
    <w:rsid w:val="0056374C"/>
    <w:rsid w:val="00563B83"/>
    <w:rsid w:val="00565F88"/>
    <w:rsid w:val="00566E23"/>
    <w:rsid w:val="0056752E"/>
    <w:rsid w:val="00571934"/>
    <w:rsid w:val="00584F80"/>
    <w:rsid w:val="00585A0C"/>
    <w:rsid w:val="00585E87"/>
    <w:rsid w:val="00587704"/>
    <w:rsid w:val="00592B0C"/>
    <w:rsid w:val="005933E1"/>
    <w:rsid w:val="005960EE"/>
    <w:rsid w:val="00596589"/>
    <w:rsid w:val="005A25FD"/>
    <w:rsid w:val="005A54CA"/>
    <w:rsid w:val="005A5F7D"/>
    <w:rsid w:val="005A6D09"/>
    <w:rsid w:val="005A73A8"/>
    <w:rsid w:val="005B050E"/>
    <w:rsid w:val="005B3CD0"/>
    <w:rsid w:val="005C01BB"/>
    <w:rsid w:val="005C6F40"/>
    <w:rsid w:val="005D3134"/>
    <w:rsid w:val="005E6D97"/>
    <w:rsid w:val="005F00A6"/>
    <w:rsid w:val="005F45BB"/>
    <w:rsid w:val="005F5825"/>
    <w:rsid w:val="005F7B1A"/>
    <w:rsid w:val="0060746D"/>
    <w:rsid w:val="00610E32"/>
    <w:rsid w:val="00613E31"/>
    <w:rsid w:val="0061435C"/>
    <w:rsid w:val="0061645A"/>
    <w:rsid w:val="00621A14"/>
    <w:rsid w:val="006237DA"/>
    <w:rsid w:val="0062574A"/>
    <w:rsid w:val="00625D55"/>
    <w:rsid w:val="006309C0"/>
    <w:rsid w:val="00633E15"/>
    <w:rsid w:val="006342DA"/>
    <w:rsid w:val="00641B05"/>
    <w:rsid w:val="0064404E"/>
    <w:rsid w:val="00644451"/>
    <w:rsid w:val="00650937"/>
    <w:rsid w:val="00651752"/>
    <w:rsid w:val="00653176"/>
    <w:rsid w:val="006553A7"/>
    <w:rsid w:val="006579F7"/>
    <w:rsid w:val="00661FB8"/>
    <w:rsid w:val="006649A1"/>
    <w:rsid w:val="00671175"/>
    <w:rsid w:val="006734E3"/>
    <w:rsid w:val="00680E31"/>
    <w:rsid w:val="0068166A"/>
    <w:rsid w:val="00685259"/>
    <w:rsid w:val="00685777"/>
    <w:rsid w:val="0069398B"/>
    <w:rsid w:val="006A00FD"/>
    <w:rsid w:val="006A6181"/>
    <w:rsid w:val="006B056C"/>
    <w:rsid w:val="006B3DBB"/>
    <w:rsid w:val="006B44DC"/>
    <w:rsid w:val="006C1FA2"/>
    <w:rsid w:val="006C2A3E"/>
    <w:rsid w:val="006C58B0"/>
    <w:rsid w:val="006D00CF"/>
    <w:rsid w:val="006D113D"/>
    <w:rsid w:val="006D4409"/>
    <w:rsid w:val="006D63F5"/>
    <w:rsid w:val="006E043A"/>
    <w:rsid w:val="006F3809"/>
    <w:rsid w:val="006F5B2E"/>
    <w:rsid w:val="006F6ABD"/>
    <w:rsid w:val="0070085F"/>
    <w:rsid w:val="00701850"/>
    <w:rsid w:val="00704E03"/>
    <w:rsid w:val="0071452B"/>
    <w:rsid w:val="00720833"/>
    <w:rsid w:val="007211F6"/>
    <w:rsid w:val="00721ED5"/>
    <w:rsid w:val="00723D74"/>
    <w:rsid w:val="00723F8F"/>
    <w:rsid w:val="00735F94"/>
    <w:rsid w:val="0073650F"/>
    <w:rsid w:val="00742DA2"/>
    <w:rsid w:val="007534A9"/>
    <w:rsid w:val="00756996"/>
    <w:rsid w:val="00757299"/>
    <w:rsid w:val="00765042"/>
    <w:rsid w:val="00770BD2"/>
    <w:rsid w:val="00780358"/>
    <w:rsid w:val="0078164A"/>
    <w:rsid w:val="00782AB5"/>
    <w:rsid w:val="007830CA"/>
    <w:rsid w:val="007842A8"/>
    <w:rsid w:val="007849B1"/>
    <w:rsid w:val="00790D04"/>
    <w:rsid w:val="007912B0"/>
    <w:rsid w:val="007A11D9"/>
    <w:rsid w:val="007A126C"/>
    <w:rsid w:val="007A200B"/>
    <w:rsid w:val="007A4103"/>
    <w:rsid w:val="007A4682"/>
    <w:rsid w:val="007A6FC9"/>
    <w:rsid w:val="007B0AB9"/>
    <w:rsid w:val="007B6E76"/>
    <w:rsid w:val="007B786B"/>
    <w:rsid w:val="007B79EA"/>
    <w:rsid w:val="007C4394"/>
    <w:rsid w:val="007C6950"/>
    <w:rsid w:val="007E035F"/>
    <w:rsid w:val="007E1927"/>
    <w:rsid w:val="007E7022"/>
    <w:rsid w:val="007F4063"/>
    <w:rsid w:val="00801C01"/>
    <w:rsid w:val="0080373F"/>
    <w:rsid w:val="00803C3F"/>
    <w:rsid w:val="00807745"/>
    <w:rsid w:val="00810636"/>
    <w:rsid w:val="00813734"/>
    <w:rsid w:val="00814EB0"/>
    <w:rsid w:val="008166A2"/>
    <w:rsid w:val="00823C86"/>
    <w:rsid w:val="0082596C"/>
    <w:rsid w:val="00826168"/>
    <w:rsid w:val="00827E53"/>
    <w:rsid w:val="00842EB8"/>
    <w:rsid w:val="00845655"/>
    <w:rsid w:val="008458F5"/>
    <w:rsid w:val="0084662F"/>
    <w:rsid w:val="00847098"/>
    <w:rsid w:val="00850076"/>
    <w:rsid w:val="008518FA"/>
    <w:rsid w:val="00851D89"/>
    <w:rsid w:val="00857BCF"/>
    <w:rsid w:val="008663FF"/>
    <w:rsid w:val="0087233D"/>
    <w:rsid w:val="008744AE"/>
    <w:rsid w:val="00877AB4"/>
    <w:rsid w:val="0088140B"/>
    <w:rsid w:val="00890C09"/>
    <w:rsid w:val="00890E84"/>
    <w:rsid w:val="00891A5C"/>
    <w:rsid w:val="00893C42"/>
    <w:rsid w:val="008963C5"/>
    <w:rsid w:val="008A018E"/>
    <w:rsid w:val="008A0558"/>
    <w:rsid w:val="008A2472"/>
    <w:rsid w:val="008A3286"/>
    <w:rsid w:val="008A37D4"/>
    <w:rsid w:val="008B458D"/>
    <w:rsid w:val="008B530E"/>
    <w:rsid w:val="008C034D"/>
    <w:rsid w:val="008C0F4E"/>
    <w:rsid w:val="008C46CF"/>
    <w:rsid w:val="008C529D"/>
    <w:rsid w:val="008E15B5"/>
    <w:rsid w:val="008E249B"/>
    <w:rsid w:val="008E371C"/>
    <w:rsid w:val="008E50BF"/>
    <w:rsid w:val="008E543D"/>
    <w:rsid w:val="008E5C89"/>
    <w:rsid w:val="008F18D9"/>
    <w:rsid w:val="008F29C3"/>
    <w:rsid w:val="008F2FC8"/>
    <w:rsid w:val="00900339"/>
    <w:rsid w:val="009008F9"/>
    <w:rsid w:val="009053B3"/>
    <w:rsid w:val="00906404"/>
    <w:rsid w:val="00907385"/>
    <w:rsid w:val="009077B4"/>
    <w:rsid w:val="00910C29"/>
    <w:rsid w:val="0091133D"/>
    <w:rsid w:val="00912016"/>
    <w:rsid w:val="00912E54"/>
    <w:rsid w:val="00922F32"/>
    <w:rsid w:val="0092372F"/>
    <w:rsid w:val="00925B49"/>
    <w:rsid w:val="0093447C"/>
    <w:rsid w:val="00935942"/>
    <w:rsid w:val="00940D65"/>
    <w:rsid w:val="00944EC9"/>
    <w:rsid w:val="00947ECF"/>
    <w:rsid w:val="00951456"/>
    <w:rsid w:val="009536E3"/>
    <w:rsid w:val="00953AAC"/>
    <w:rsid w:val="00957DD5"/>
    <w:rsid w:val="00960495"/>
    <w:rsid w:val="00961F19"/>
    <w:rsid w:val="00962A24"/>
    <w:rsid w:val="00964D02"/>
    <w:rsid w:val="009655F1"/>
    <w:rsid w:val="00971F35"/>
    <w:rsid w:val="00974467"/>
    <w:rsid w:val="00975654"/>
    <w:rsid w:val="00975AF5"/>
    <w:rsid w:val="00981E6B"/>
    <w:rsid w:val="00983B1D"/>
    <w:rsid w:val="00983C73"/>
    <w:rsid w:val="00985318"/>
    <w:rsid w:val="0098652B"/>
    <w:rsid w:val="00986F4C"/>
    <w:rsid w:val="009873B7"/>
    <w:rsid w:val="009909BC"/>
    <w:rsid w:val="00997621"/>
    <w:rsid w:val="009A10FB"/>
    <w:rsid w:val="009B4694"/>
    <w:rsid w:val="009C0B11"/>
    <w:rsid w:val="009C115E"/>
    <w:rsid w:val="009C2DAD"/>
    <w:rsid w:val="009D303C"/>
    <w:rsid w:val="009E2029"/>
    <w:rsid w:val="009E2129"/>
    <w:rsid w:val="009F5DB6"/>
    <w:rsid w:val="009F6BD4"/>
    <w:rsid w:val="009F741D"/>
    <w:rsid w:val="00A0207E"/>
    <w:rsid w:val="00A05625"/>
    <w:rsid w:val="00A10B93"/>
    <w:rsid w:val="00A1165E"/>
    <w:rsid w:val="00A12AAF"/>
    <w:rsid w:val="00A12C10"/>
    <w:rsid w:val="00A15291"/>
    <w:rsid w:val="00A1613B"/>
    <w:rsid w:val="00A17963"/>
    <w:rsid w:val="00A211C9"/>
    <w:rsid w:val="00A2450A"/>
    <w:rsid w:val="00A27D34"/>
    <w:rsid w:val="00A31EA4"/>
    <w:rsid w:val="00A3209C"/>
    <w:rsid w:val="00A34B0B"/>
    <w:rsid w:val="00A35761"/>
    <w:rsid w:val="00A35F85"/>
    <w:rsid w:val="00A4275D"/>
    <w:rsid w:val="00A4523D"/>
    <w:rsid w:val="00A51B86"/>
    <w:rsid w:val="00A5580B"/>
    <w:rsid w:val="00A55E1A"/>
    <w:rsid w:val="00A56AF2"/>
    <w:rsid w:val="00A66D03"/>
    <w:rsid w:val="00A67C5E"/>
    <w:rsid w:val="00A715E0"/>
    <w:rsid w:val="00A748F9"/>
    <w:rsid w:val="00A74EA6"/>
    <w:rsid w:val="00A81A10"/>
    <w:rsid w:val="00A81AD3"/>
    <w:rsid w:val="00A82A6C"/>
    <w:rsid w:val="00A91D37"/>
    <w:rsid w:val="00A947A8"/>
    <w:rsid w:val="00A94F04"/>
    <w:rsid w:val="00AA27EB"/>
    <w:rsid w:val="00AA55CB"/>
    <w:rsid w:val="00AB0ABB"/>
    <w:rsid w:val="00AC367B"/>
    <w:rsid w:val="00AC4701"/>
    <w:rsid w:val="00AC5A68"/>
    <w:rsid w:val="00AD442D"/>
    <w:rsid w:val="00AE1AB5"/>
    <w:rsid w:val="00AE2330"/>
    <w:rsid w:val="00AE39C0"/>
    <w:rsid w:val="00AF2F22"/>
    <w:rsid w:val="00B05517"/>
    <w:rsid w:val="00B109FD"/>
    <w:rsid w:val="00B11F0E"/>
    <w:rsid w:val="00B16C07"/>
    <w:rsid w:val="00B2447E"/>
    <w:rsid w:val="00B24C27"/>
    <w:rsid w:val="00B32CA3"/>
    <w:rsid w:val="00B35D4E"/>
    <w:rsid w:val="00B365C2"/>
    <w:rsid w:val="00B45D4E"/>
    <w:rsid w:val="00B50915"/>
    <w:rsid w:val="00B53E71"/>
    <w:rsid w:val="00B5639F"/>
    <w:rsid w:val="00B56D4C"/>
    <w:rsid w:val="00B56EB0"/>
    <w:rsid w:val="00B5701D"/>
    <w:rsid w:val="00B57717"/>
    <w:rsid w:val="00B6768A"/>
    <w:rsid w:val="00B701A1"/>
    <w:rsid w:val="00B70BB8"/>
    <w:rsid w:val="00B71960"/>
    <w:rsid w:val="00B7350E"/>
    <w:rsid w:val="00B744A5"/>
    <w:rsid w:val="00B74B46"/>
    <w:rsid w:val="00B7642B"/>
    <w:rsid w:val="00B82BEE"/>
    <w:rsid w:val="00B971AD"/>
    <w:rsid w:val="00BA53B0"/>
    <w:rsid w:val="00BB3025"/>
    <w:rsid w:val="00BC013C"/>
    <w:rsid w:val="00BC4778"/>
    <w:rsid w:val="00BD038E"/>
    <w:rsid w:val="00BD0FE1"/>
    <w:rsid w:val="00BD3BFA"/>
    <w:rsid w:val="00BE1F0A"/>
    <w:rsid w:val="00BE44FA"/>
    <w:rsid w:val="00BE5371"/>
    <w:rsid w:val="00BE570A"/>
    <w:rsid w:val="00BE731B"/>
    <w:rsid w:val="00BE7D0D"/>
    <w:rsid w:val="00BF0D3B"/>
    <w:rsid w:val="00BF0E51"/>
    <w:rsid w:val="00BF4078"/>
    <w:rsid w:val="00BF47CF"/>
    <w:rsid w:val="00BF6222"/>
    <w:rsid w:val="00BF6813"/>
    <w:rsid w:val="00C06241"/>
    <w:rsid w:val="00C06B61"/>
    <w:rsid w:val="00C11170"/>
    <w:rsid w:val="00C130A5"/>
    <w:rsid w:val="00C14015"/>
    <w:rsid w:val="00C1425A"/>
    <w:rsid w:val="00C17ADC"/>
    <w:rsid w:val="00C30B85"/>
    <w:rsid w:val="00C33E77"/>
    <w:rsid w:val="00C343A0"/>
    <w:rsid w:val="00C35245"/>
    <w:rsid w:val="00C37D53"/>
    <w:rsid w:val="00C42290"/>
    <w:rsid w:val="00C4249E"/>
    <w:rsid w:val="00C44FCC"/>
    <w:rsid w:val="00C4631F"/>
    <w:rsid w:val="00C46B87"/>
    <w:rsid w:val="00C547DA"/>
    <w:rsid w:val="00C54B19"/>
    <w:rsid w:val="00C5765C"/>
    <w:rsid w:val="00C61E89"/>
    <w:rsid w:val="00C66EB6"/>
    <w:rsid w:val="00C709D9"/>
    <w:rsid w:val="00C71B46"/>
    <w:rsid w:val="00C7232A"/>
    <w:rsid w:val="00C74F32"/>
    <w:rsid w:val="00C80BA2"/>
    <w:rsid w:val="00C81FF0"/>
    <w:rsid w:val="00C82C0F"/>
    <w:rsid w:val="00C84881"/>
    <w:rsid w:val="00C85499"/>
    <w:rsid w:val="00C900FF"/>
    <w:rsid w:val="00C92714"/>
    <w:rsid w:val="00C94C0D"/>
    <w:rsid w:val="00C95E60"/>
    <w:rsid w:val="00CA3A28"/>
    <w:rsid w:val="00CA4C52"/>
    <w:rsid w:val="00CA4D37"/>
    <w:rsid w:val="00CB3B59"/>
    <w:rsid w:val="00CB4640"/>
    <w:rsid w:val="00CB6B43"/>
    <w:rsid w:val="00CC2C21"/>
    <w:rsid w:val="00CC3BE7"/>
    <w:rsid w:val="00CC43F5"/>
    <w:rsid w:val="00CC7860"/>
    <w:rsid w:val="00CD1625"/>
    <w:rsid w:val="00CD3372"/>
    <w:rsid w:val="00CD42B8"/>
    <w:rsid w:val="00CD4758"/>
    <w:rsid w:val="00CD6C46"/>
    <w:rsid w:val="00CD78A6"/>
    <w:rsid w:val="00CE060D"/>
    <w:rsid w:val="00CE399C"/>
    <w:rsid w:val="00CE4916"/>
    <w:rsid w:val="00CF2C3B"/>
    <w:rsid w:val="00CF4925"/>
    <w:rsid w:val="00CF5786"/>
    <w:rsid w:val="00CF7F3D"/>
    <w:rsid w:val="00D0275C"/>
    <w:rsid w:val="00D02770"/>
    <w:rsid w:val="00D033A0"/>
    <w:rsid w:val="00D042DF"/>
    <w:rsid w:val="00D06493"/>
    <w:rsid w:val="00D06BF9"/>
    <w:rsid w:val="00D119D8"/>
    <w:rsid w:val="00D12347"/>
    <w:rsid w:val="00D15F7B"/>
    <w:rsid w:val="00D16C89"/>
    <w:rsid w:val="00D16D5F"/>
    <w:rsid w:val="00D3161C"/>
    <w:rsid w:val="00D35144"/>
    <w:rsid w:val="00D40233"/>
    <w:rsid w:val="00D41DE7"/>
    <w:rsid w:val="00D42A89"/>
    <w:rsid w:val="00D47D60"/>
    <w:rsid w:val="00D53C34"/>
    <w:rsid w:val="00D55071"/>
    <w:rsid w:val="00D555E1"/>
    <w:rsid w:val="00D56E9B"/>
    <w:rsid w:val="00D577E3"/>
    <w:rsid w:val="00D578CF"/>
    <w:rsid w:val="00D60ADB"/>
    <w:rsid w:val="00D7663E"/>
    <w:rsid w:val="00D82032"/>
    <w:rsid w:val="00D85B38"/>
    <w:rsid w:val="00D870C1"/>
    <w:rsid w:val="00D87EC8"/>
    <w:rsid w:val="00D93BDC"/>
    <w:rsid w:val="00D93C05"/>
    <w:rsid w:val="00D962E6"/>
    <w:rsid w:val="00DB1FA9"/>
    <w:rsid w:val="00DB42B0"/>
    <w:rsid w:val="00DB475F"/>
    <w:rsid w:val="00DC086D"/>
    <w:rsid w:val="00DC45ED"/>
    <w:rsid w:val="00DC4946"/>
    <w:rsid w:val="00DC55E7"/>
    <w:rsid w:val="00DC7189"/>
    <w:rsid w:val="00DD0D16"/>
    <w:rsid w:val="00DD4196"/>
    <w:rsid w:val="00DD5973"/>
    <w:rsid w:val="00DE1A34"/>
    <w:rsid w:val="00DE4817"/>
    <w:rsid w:val="00DE749C"/>
    <w:rsid w:val="00DF45F1"/>
    <w:rsid w:val="00E00271"/>
    <w:rsid w:val="00E018F2"/>
    <w:rsid w:val="00E0228F"/>
    <w:rsid w:val="00E0359B"/>
    <w:rsid w:val="00E06977"/>
    <w:rsid w:val="00E06A7C"/>
    <w:rsid w:val="00E16260"/>
    <w:rsid w:val="00E20D99"/>
    <w:rsid w:val="00E2628F"/>
    <w:rsid w:val="00E32DF4"/>
    <w:rsid w:val="00E33EFC"/>
    <w:rsid w:val="00E35487"/>
    <w:rsid w:val="00E36BA5"/>
    <w:rsid w:val="00E377B1"/>
    <w:rsid w:val="00E41648"/>
    <w:rsid w:val="00E52976"/>
    <w:rsid w:val="00E6110A"/>
    <w:rsid w:val="00E611C1"/>
    <w:rsid w:val="00E628FB"/>
    <w:rsid w:val="00E635FF"/>
    <w:rsid w:val="00E63BC3"/>
    <w:rsid w:val="00E6521C"/>
    <w:rsid w:val="00E65868"/>
    <w:rsid w:val="00E757FF"/>
    <w:rsid w:val="00E76D22"/>
    <w:rsid w:val="00E86C96"/>
    <w:rsid w:val="00E9362C"/>
    <w:rsid w:val="00E93B6A"/>
    <w:rsid w:val="00E977CF"/>
    <w:rsid w:val="00EA1935"/>
    <w:rsid w:val="00EA24DB"/>
    <w:rsid w:val="00EA2FD9"/>
    <w:rsid w:val="00EA5A37"/>
    <w:rsid w:val="00EB27C7"/>
    <w:rsid w:val="00EB4BC3"/>
    <w:rsid w:val="00EB59A3"/>
    <w:rsid w:val="00EB71E6"/>
    <w:rsid w:val="00EB74CE"/>
    <w:rsid w:val="00EB799F"/>
    <w:rsid w:val="00EC1BE9"/>
    <w:rsid w:val="00EC214D"/>
    <w:rsid w:val="00ED29D1"/>
    <w:rsid w:val="00ED6C2F"/>
    <w:rsid w:val="00ED732B"/>
    <w:rsid w:val="00EE225C"/>
    <w:rsid w:val="00EE263B"/>
    <w:rsid w:val="00EE56E1"/>
    <w:rsid w:val="00EE6651"/>
    <w:rsid w:val="00EE6C2C"/>
    <w:rsid w:val="00EF032A"/>
    <w:rsid w:val="00EF2F68"/>
    <w:rsid w:val="00EF3525"/>
    <w:rsid w:val="00EF47EF"/>
    <w:rsid w:val="00EF4AB9"/>
    <w:rsid w:val="00EF5A9F"/>
    <w:rsid w:val="00EF62EF"/>
    <w:rsid w:val="00EF76EA"/>
    <w:rsid w:val="00F0639B"/>
    <w:rsid w:val="00F1160C"/>
    <w:rsid w:val="00F1238F"/>
    <w:rsid w:val="00F1464D"/>
    <w:rsid w:val="00F15EBC"/>
    <w:rsid w:val="00F1753F"/>
    <w:rsid w:val="00F20B75"/>
    <w:rsid w:val="00F216FF"/>
    <w:rsid w:val="00F2226F"/>
    <w:rsid w:val="00F251B7"/>
    <w:rsid w:val="00F321D2"/>
    <w:rsid w:val="00F44247"/>
    <w:rsid w:val="00F45383"/>
    <w:rsid w:val="00F47998"/>
    <w:rsid w:val="00F50F28"/>
    <w:rsid w:val="00F51D3E"/>
    <w:rsid w:val="00F57DB2"/>
    <w:rsid w:val="00F60536"/>
    <w:rsid w:val="00F61064"/>
    <w:rsid w:val="00F6413D"/>
    <w:rsid w:val="00F65A88"/>
    <w:rsid w:val="00F73B23"/>
    <w:rsid w:val="00F7411E"/>
    <w:rsid w:val="00F758A8"/>
    <w:rsid w:val="00F75953"/>
    <w:rsid w:val="00F76375"/>
    <w:rsid w:val="00F83C4B"/>
    <w:rsid w:val="00F85353"/>
    <w:rsid w:val="00F903B8"/>
    <w:rsid w:val="00F95D3A"/>
    <w:rsid w:val="00FA3146"/>
    <w:rsid w:val="00FA40E0"/>
    <w:rsid w:val="00FB27D2"/>
    <w:rsid w:val="00FB46B6"/>
    <w:rsid w:val="00FB4CA5"/>
    <w:rsid w:val="00FC1A32"/>
    <w:rsid w:val="00FC3290"/>
    <w:rsid w:val="00FC3C68"/>
    <w:rsid w:val="00FC4A5D"/>
    <w:rsid w:val="00FD1FC3"/>
    <w:rsid w:val="00FD3D29"/>
    <w:rsid w:val="00FD63C2"/>
    <w:rsid w:val="00FE57BD"/>
    <w:rsid w:val="00FF3AAD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65"/>
  </w:style>
  <w:style w:type="paragraph" w:styleId="Heading1">
    <w:name w:val="heading 1"/>
    <w:basedOn w:val="Normal"/>
    <w:next w:val="Normal"/>
    <w:link w:val="Heading1Char"/>
    <w:qFormat/>
    <w:rsid w:val="00C44FCC"/>
    <w:pPr>
      <w:keepNext/>
      <w:numPr>
        <w:numId w:val="5"/>
      </w:numPr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44FCC"/>
    <w:pPr>
      <w:keepNext/>
      <w:numPr>
        <w:ilvl w:val="1"/>
        <w:numId w:val="5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44FCC"/>
    <w:pPr>
      <w:keepNext/>
      <w:numPr>
        <w:ilvl w:val="2"/>
        <w:numId w:val="5"/>
      </w:numPr>
      <w:bidi/>
      <w:spacing w:after="0" w:line="240" w:lineRule="auto"/>
      <w:ind w:right="0"/>
      <w:jc w:val="lowKashida"/>
      <w:outlineLvl w:val="2"/>
    </w:pPr>
    <w:rPr>
      <w:rFonts w:ascii="Arial" w:eastAsia="Times New Roman" w:hAnsi="Arial" w:cs="Simplified Arabic"/>
      <w:b/>
      <w:bCs/>
      <w:color w:val="000000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44FCC"/>
    <w:pPr>
      <w:keepNext/>
      <w:numPr>
        <w:ilvl w:val="3"/>
        <w:numId w:val="5"/>
      </w:numPr>
      <w:bidi/>
      <w:spacing w:before="240" w:after="60" w:line="240" w:lineRule="auto"/>
      <w:ind w:right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44FCC"/>
    <w:pPr>
      <w:keepNext/>
      <w:numPr>
        <w:ilvl w:val="4"/>
        <w:numId w:val="5"/>
      </w:numPr>
      <w:bidi/>
      <w:spacing w:after="0" w:line="240" w:lineRule="auto"/>
      <w:ind w:right="0"/>
      <w:jc w:val="center"/>
      <w:outlineLvl w:val="4"/>
    </w:pPr>
    <w:rPr>
      <w:rFonts w:ascii="Times New Roman" w:eastAsia="Times New Roman" w:hAnsi="Times New Roman" w:cs="Simplified Arabic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C44FCC"/>
    <w:pPr>
      <w:keepNext/>
      <w:numPr>
        <w:ilvl w:val="5"/>
        <w:numId w:val="5"/>
      </w:numPr>
      <w:bidi/>
      <w:spacing w:after="0" w:line="240" w:lineRule="auto"/>
      <w:ind w:right="0"/>
      <w:jc w:val="center"/>
      <w:outlineLvl w:val="5"/>
    </w:pPr>
    <w:rPr>
      <w:rFonts w:ascii="Times New Roman" w:eastAsia="Times New Roman" w:hAnsi="Times New Roman" w:cs="Simplified Arabic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C44FCC"/>
    <w:pPr>
      <w:keepNext/>
      <w:numPr>
        <w:ilvl w:val="6"/>
        <w:numId w:val="5"/>
      </w:numPr>
      <w:bidi/>
      <w:spacing w:after="0" w:line="240" w:lineRule="auto"/>
      <w:ind w:right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32"/>
    </w:rPr>
  </w:style>
  <w:style w:type="paragraph" w:styleId="Heading8">
    <w:name w:val="heading 8"/>
    <w:basedOn w:val="Normal"/>
    <w:next w:val="Normal"/>
    <w:link w:val="Heading8Char"/>
    <w:qFormat/>
    <w:rsid w:val="00C44FCC"/>
    <w:pPr>
      <w:keepNext/>
      <w:numPr>
        <w:ilvl w:val="7"/>
        <w:numId w:val="5"/>
      </w:numPr>
      <w:overflowPunct w:val="0"/>
      <w:autoSpaceDE w:val="0"/>
      <w:autoSpaceDN w:val="0"/>
      <w:bidi/>
      <w:adjustRightInd w:val="0"/>
      <w:spacing w:after="0" w:line="240" w:lineRule="auto"/>
      <w:ind w:right="0"/>
      <w:jc w:val="center"/>
      <w:textAlignment w:val="baseline"/>
      <w:outlineLvl w:val="7"/>
    </w:pPr>
    <w:rPr>
      <w:rFonts w:ascii="Times New Roman" w:eastAsia="Times New Roman" w:hAnsi="Times New Roman" w:cs="Simplified Arabic"/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qFormat/>
    <w:rsid w:val="00C44FCC"/>
    <w:pPr>
      <w:keepNext/>
      <w:numPr>
        <w:ilvl w:val="8"/>
        <w:numId w:val="5"/>
      </w:numPr>
      <w:bidi/>
      <w:spacing w:after="0"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46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B1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467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154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06"/>
  </w:style>
  <w:style w:type="paragraph" w:styleId="Footer">
    <w:name w:val="footer"/>
    <w:basedOn w:val="Normal"/>
    <w:link w:val="Foot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06"/>
  </w:style>
  <w:style w:type="character" w:styleId="Hyperlink">
    <w:name w:val="Hyperlink"/>
    <w:basedOn w:val="DefaultParagraphFont"/>
    <w:uiPriority w:val="99"/>
    <w:rsid w:val="0013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3C2"/>
    <w:rPr>
      <w:b/>
      <w:bCs/>
      <w:sz w:val="20"/>
      <w:szCs w:val="20"/>
    </w:rPr>
  </w:style>
  <w:style w:type="paragraph" w:customStyle="1" w:styleId="xl27">
    <w:name w:val="xl27"/>
    <w:basedOn w:val="Normal"/>
    <w:rsid w:val="00FC1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Simplified Arabic" w:hint="cs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F28C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F28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4F28C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C44FCC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Heading2Char">
    <w:name w:val="Heading 2 Char"/>
    <w:basedOn w:val="DefaultParagraphFont"/>
    <w:link w:val="Heading2"/>
    <w:rsid w:val="00C44F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44FCC"/>
    <w:rPr>
      <w:rFonts w:ascii="Arial" w:eastAsia="Times New Roman" w:hAnsi="Arial" w:cs="Simplified Arabic"/>
      <w:b/>
      <w:bCs/>
      <w:color w:val="000000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C44FC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C44FCC"/>
    <w:rPr>
      <w:rFonts w:ascii="Times New Roman" w:eastAsia="Times New Roman" w:hAnsi="Times New Roman" w:cs="Simplified Arabic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C44FCC"/>
    <w:rPr>
      <w:rFonts w:ascii="Times New Roman" w:eastAsia="Times New Roman" w:hAnsi="Times New Roman" w:cs="Simplified Arabic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C44FCC"/>
    <w:rPr>
      <w:rFonts w:ascii="Times New Roman" w:eastAsia="Times New Roman" w:hAnsi="Times New Roman" w:cs="Times New Roman"/>
      <w:b/>
      <w:bCs/>
      <w:sz w:val="20"/>
      <w:szCs w:val="32"/>
    </w:rPr>
  </w:style>
  <w:style w:type="character" w:customStyle="1" w:styleId="Heading8Char">
    <w:name w:val="Heading 8 Char"/>
    <w:basedOn w:val="DefaultParagraphFont"/>
    <w:link w:val="Heading8"/>
    <w:rsid w:val="00C44FCC"/>
    <w:rPr>
      <w:rFonts w:ascii="Times New Roman" w:eastAsia="Times New Roman" w:hAnsi="Times New Roman" w:cs="Simplified Arabic"/>
      <w:b/>
      <w:bCs/>
      <w:sz w:val="40"/>
      <w:szCs w:val="40"/>
    </w:rPr>
  </w:style>
  <w:style w:type="character" w:customStyle="1" w:styleId="Heading9Char">
    <w:name w:val="Heading 9 Char"/>
    <w:basedOn w:val="DefaultParagraphFont"/>
    <w:link w:val="Heading9"/>
    <w:rsid w:val="00C44FCC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highlight">
    <w:name w:val="highlight"/>
    <w:basedOn w:val="DefaultParagraphFont"/>
    <w:rsid w:val="00893C42"/>
    <w:rPr>
      <w:shd w:val="clear" w:color="auto" w:fill="DDDDDD"/>
    </w:rPr>
  </w:style>
  <w:style w:type="character" w:styleId="Emphasis">
    <w:name w:val="Emphasis"/>
    <w:basedOn w:val="DefaultParagraphFont"/>
    <w:uiPriority w:val="20"/>
    <w:qFormat/>
    <w:rsid w:val="0042108C"/>
    <w:rPr>
      <w:i/>
      <w:iCs/>
    </w:rPr>
  </w:style>
  <w:style w:type="character" w:customStyle="1" w:styleId="apple-converted-space">
    <w:name w:val="apple-converted-space"/>
    <w:basedOn w:val="DefaultParagraphFont"/>
    <w:rsid w:val="0042108C"/>
  </w:style>
  <w:style w:type="paragraph" w:styleId="BodyText">
    <w:name w:val="Body Text"/>
    <w:basedOn w:val="Normal"/>
    <w:link w:val="BodyTextChar"/>
    <w:uiPriority w:val="99"/>
    <w:semiHidden/>
    <w:rsid w:val="00935942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942"/>
    <w:rPr>
      <w:rFonts w:ascii="Times New Roman" w:eastAsia="Times New Roman" w:hAnsi="Times New Roman" w:cs="Simplified Arabic"/>
      <w:sz w:val="20"/>
      <w:szCs w:val="20"/>
    </w:rPr>
  </w:style>
  <w:style w:type="paragraph" w:styleId="Title">
    <w:name w:val="Title"/>
    <w:basedOn w:val="Normal"/>
    <w:link w:val="TitleChar"/>
    <w:qFormat/>
    <w:rsid w:val="00935942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935942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lockText">
    <w:name w:val="Block Text"/>
    <w:basedOn w:val="Normal"/>
    <w:uiPriority w:val="99"/>
    <w:semiHidden/>
    <w:rsid w:val="00935942"/>
    <w:pPr>
      <w:bidi/>
      <w:spacing w:after="0" w:line="240" w:lineRule="auto"/>
      <w:ind w:left="566" w:right="567"/>
      <w:jc w:val="both"/>
    </w:pPr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94F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FE8"/>
    <w:rPr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BF4078"/>
    <w:pPr>
      <w:bidi/>
      <w:spacing w:after="120" w:line="48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4078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2020092316047"/>
          <c:y val="0.10363185371059402"/>
          <c:w val="0.84656457597972656"/>
          <c:h val="0.6664353757810730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6530">
              <a:solidFill>
                <a:srgbClr val="000000"/>
              </a:solidFill>
              <a:prstDash val="solid"/>
            </a:ln>
          </c:spPr>
          <c:dLbls>
            <c:spPr>
              <a:noFill/>
              <a:ln w="25366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3"/>
                <c:pt idx="0" formatCode="General">
                  <c:v>62.4</c:v>
                </c:pt>
                <c:pt idx="1">
                  <c:v>95.1</c:v>
                </c:pt>
                <c:pt idx="2">
                  <c:v>11.4</c:v>
                </c:pt>
              </c:numCache>
            </c:numRef>
          </c:val>
        </c:ser>
        <c:dLbls>
          <c:showVal val="1"/>
        </c:dLbls>
        <c:axId val="47788032"/>
        <c:axId val="48689536"/>
      </c:barChart>
      <c:catAx>
        <c:axId val="47788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المنطقة</a:t>
                </a:r>
              </a:p>
            </c:rich>
          </c:tx>
          <c:layout>
            <c:manualLayout>
              <c:xMode val="edge"/>
              <c:yMode val="edge"/>
              <c:x val="0.4628918454158748"/>
              <c:y val="0.90880159210869238"/>
            </c:manualLayout>
          </c:layout>
          <c:spPr>
            <a:noFill/>
            <a:ln w="25366">
              <a:noFill/>
            </a:ln>
          </c:spPr>
        </c:title>
        <c:numFmt formatCode="General" sourceLinked="1"/>
        <c:tickLblPos val="nextTo"/>
        <c:spPr>
          <a:ln w="16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48689536"/>
        <c:crosses val="autoZero"/>
        <c:auto val="1"/>
        <c:lblAlgn val="ctr"/>
        <c:lblOffset val="100"/>
        <c:tickLblSkip val="1"/>
        <c:tickMarkSkip val="1"/>
      </c:catAx>
      <c:valAx>
        <c:axId val="48689536"/>
        <c:scaling>
          <c:orientation val="minMax"/>
          <c:max val="100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%</a:t>
                </a:r>
              </a:p>
            </c:rich>
          </c:tx>
        </c:title>
        <c:numFmt formatCode="0" sourceLinked="0"/>
        <c:tickLblPos val="nextTo"/>
        <c:spPr>
          <a:ln w="16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47788032"/>
        <c:crosses val="autoZero"/>
        <c:crossBetween val="between"/>
        <c:majorUnit val="20"/>
        <c:minorUnit val="5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43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5467498380884206"/>
          <c:y val="0.1641620149593977"/>
          <c:w val="0.79075740532433469"/>
          <c:h val="0.56188582061045544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الأراضي الفلسطينية</c:v>
                </c:pt>
              </c:strCache>
            </c:strRef>
          </c:tx>
          <c:dLbls>
            <c:dLbl>
              <c:idx val="0"/>
              <c:layout>
                <c:manualLayout>
                  <c:x val="-5.3415823022122326E-2"/>
                  <c:y val="-7.73196308207955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571462658076826E-2"/>
                  <c:y val="7.785195864601432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87967413164313E-2"/>
                  <c:y val="-8.474264660579401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866346252173248E-2"/>
                  <c:y val="6.904587630771505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1520605378873087E-2"/>
                  <c:y val="-6.882111567040034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6455670313938092E-2"/>
                  <c:y val="5.24372481608813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4467396120939583E-2"/>
                  <c:y val="-7.583404187152678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672734090056924E-2"/>
                  <c:y val="6.630931696918167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6767222279033412E-2"/>
                  <c:y val="-9.354872894409356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81.8</c:v>
                </c:pt>
                <c:pt idx="1">
                  <c:v>81.8</c:v>
                </c:pt>
                <c:pt idx="2">
                  <c:v>82.4</c:v>
                </c:pt>
                <c:pt idx="3">
                  <c:v>83.8</c:v>
                </c:pt>
                <c:pt idx="4">
                  <c:v>82.6</c:v>
                </c:pt>
                <c:pt idx="5">
                  <c:v>80.099999999999994</c:v>
                </c:pt>
                <c:pt idx="6">
                  <c:v>79.7</c:v>
                </c:pt>
                <c:pt idx="7">
                  <c:v>77.2</c:v>
                </c:pt>
                <c:pt idx="8">
                  <c:v>76.8</c:v>
                </c:pt>
              </c:numCache>
            </c:numRef>
          </c:val>
        </c:ser>
        <c:marker val="1"/>
        <c:axId val="49270144"/>
        <c:axId val="49276416"/>
      </c:lineChart>
      <c:catAx>
        <c:axId val="49270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ar-SA">
                    <a:latin typeface="Arial" pitchFamily="34" charset="0"/>
                    <a:cs typeface="Arial" pitchFamily="34" charset="0"/>
                  </a:rPr>
                  <a:t>السنة</a:t>
                </a:r>
              </a:p>
            </c:rich>
          </c:tx>
          <c:layout>
            <c:manualLayout>
              <c:xMode val="edge"/>
              <c:yMode val="edge"/>
              <c:x val="0.4567692674779289"/>
              <c:y val="0.90945624479866238"/>
            </c:manualLayout>
          </c:layout>
        </c:title>
        <c:numFmt formatCode="General" sourceLinked="1"/>
        <c:tickLblPos val="nextTo"/>
        <c:txPr>
          <a:bodyPr rot="2100000" vert="horz"/>
          <a:lstStyle/>
          <a:p>
            <a:pPr>
              <a:defRPr/>
            </a:pPr>
            <a:endParaRPr lang="ar-SA"/>
          </a:p>
        </c:txPr>
        <c:crossAx val="49276416"/>
        <c:crosses val="autoZero"/>
        <c:auto val="1"/>
        <c:lblAlgn val="ctr"/>
        <c:lblOffset val="100"/>
        <c:tickLblSkip val="1"/>
        <c:tickMarkSkip val="1"/>
      </c:catAx>
      <c:valAx>
        <c:axId val="49276416"/>
        <c:scaling>
          <c:orientation val="minMax"/>
          <c:max val="100"/>
          <c:min val="5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SA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9792688957358704E-3"/>
              <c:y val="0.33537812446342941"/>
            </c:manualLayout>
          </c:layout>
        </c:title>
        <c:numFmt formatCode="#,##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49270144"/>
        <c:crosses val="autoZero"/>
        <c:crossBetween val="between"/>
        <c:majorUnit val="10"/>
        <c:minorUnit val="1"/>
      </c:valAx>
    </c:plotArea>
    <c:plotVisOnly val="1"/>
    <c:dispBlanksAs val="zero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85A2A-BEA6-4E03-A88C-DBCB2CCC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</dc:creator>
  <cp:lastModifiedBy>hbadran</cp:lastModifiedBy>
  <cp:revision>4</cp:revision>
  <cp:lastPrinted>2019-03-20T12:47:00Z</cp:lastPrinted>
  <dcterms:created xsi:type="dcterms:W3CDTF">2019-03-20T12:50:00Z</dcterms:created>
  <dcterms:modified xsi:type="dcterms:W3CDTF">2019-03-20T12:50:00Z</dcterms:modified>
</cp:coreProperties>
</file>