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6F" w:rsidRDefault="0039396F" w:rsidP="00C34EF2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39396F" w:rsidRDefault="00C34EF2" w:rsidP="0039396F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39396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الاحـصـــــاء الفلـسـطينـــي يـسـتعــــرض واقع اللاجئين الفلسطينيين بمناسبة </w:t>
      </w:r>
    </w:p>
    <w:p w:rsidR="00C34EF2" w:rsidRPr="0039396F" w:rsidRDefault="00C34EF2" w:rsidP="0039396F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39396F">
        <w:rPr>
          <w:rFonts w:ascii="Simplified Arabic" w:hAnsi="Simplified Arabic" w:cs="Simplified Arabic"/>
          <w:b/>
          <w:bCs/>
          <w:sz w:val="32"/>
          <w:szCs w:val="32"/>
          <w:rtl/>
        </w:rPr>
        <w:t>اليوم العالمي للاجئين 20/06/</w:t>
      </w:r>
      <w:r w:rsidRPr="003939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2019</w:t>
      </w:r>
    </w:p>
    <w:p w:rsidR="00C34EF2" w:rsidRPr="00C34EF2" w:rsidRDefault="00C34EF2" w:rsidP="003A2EEC">
      <w:pPr>
        <w:jc w:val="center"/>
        <w:rPr>
          <w:rFonts w:cs="Simplified Arabic" w:hint="cs"/>
          <w:b/>
          <w:bCs/>
          <w:sz w:val="16"/>
          <w:szCs w:val="16"/>
          <w:vertAlign w:val="superscript"/>
          <w:rtl/>
        </w:rPr>
      </w:pPr>
    </w:p>
    <w:p w:rsidR="001003F1" w:rsidRPr="00C34EF2" w:rsidRDefault="001003F1" w:rsidP="001003F1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تطهير عرقي وإحلال سكاني وسيطرة على الأرض</w:t>
      </w:r>
    </w:p>
    <w:p w:rsidR="000D3DC7" w:rsidRPr="00C34EF2" w:rsidRDefault="000D3DC7" w:rsidP="001003F1">
      <w:pPr>
        <w:jc w:val="lowKashida"/>
        <w:rPr>
          <w:rFonts w:ascii="Simplified Arabic" w:hAnsi="Simplified Arabic" w:cs="Simplified Arabic"/>
          <w:rtl/>
          <w:lang w:eastAsia="en-US"/>
        </w:rPr>
      </w:pPr>
      <w:r w:rsidRPr="00C34EF2">
        <w:rPr>
          <w:rFonts w:ascii="Simplified Arabic" w:hAnsi="Simplified Arabic" w:cs="Simplified Arabic"/>
          <w:rtl/>
          <w:lang w:eastAsia="en-US"/>
        </w:rPr>
        <w:t xml:space="preserve">شكلت أحداث نكبة فلسطين وما تلاها من تهجير مأساة كبرى للشعب </w:t>
      </w:r>
      <w:proofErr w:type="spellStart"/>
      <w:r w:rsidRPr="00C34EF2">
        <w:rPr>
          <w:rFonts w:ascii="Simplified Arabic" w:hAnsi="Simplified Arabic" w:cs="Simplified Arabic"/>
          <w:rtl/>
          <w:lang w:eastAsia="en-US"/>
        </w:rPr>
        <w:t>الفلسطيني،</w:t>
      </w:r>
      <w:proofErr w:type="spellEnd"/>
      <w:r w:rsidRPr="00C34EF2">
        <w:rPr>
          <w:rFonts w:ascii="Simplified Arabic" w:hAnsi="Simplified Arabic" w:cs="Simplified Arabic"/>
          <w:rtl/>
          <w:lang w:eastAsia="en-US"/>
        </w:rPr>
        <w:t xml:space="preserve"> لما مثلته وما زالت هذه النكبة من عملية تطهير عرقي حيث تم تدمير وطرد لشعب بكامله وإحلال جماعات وأفراد من شتى بقاع العالم </w:t>
      </w:r>
      <w:proofErr w:type="spellStart"/>
      <w:r w:rsidRPr="00C34EF2">
        <w:rPr>
          <w:rFonts w:ascii="Simplified Arabic" w:hAnsi="Simplified Arabic" w:cs="Simplified Arabic"/>
          <w:rtl/>
          <w:lang w:eastAsia="en-US"/>
        </w:rPr>
        <w:t>مكانه،</w:t>
      </w:r>
      <w:proofErr w:type="spellEnd"/>
      <w:r w:rsidRPr="00C34EF2">
        <w:rPr>
          <w:rFonts w:ascii="Simplified Arabic" w:hAnsi="Simplified Arabic" w:cs="Simplified Arabic"/>
          <w:rtl/>
          <w:lang w:eastAsia="en-US"/>
        </w:rPr>
        <w:t xml:space="preserve"> وتشريد ما يربو عن 800 ألف فلسطيني من قراهم ومدنهم من أصل 1.4 مليون فلسطيني كانوا يقيمون في فلسطين التاريخية عام 1948 في 1,300 قرية ومدينة فلسطينية</w:t>
      </w:r>
      <w:r w:rsidR="001003F1" w:rsidRPr="00C34EF2">
        <w:rPr>
          <w:rFonts w:ascii="Simplified Arabic" w:hAnsi="Simplified Arabic" w:cs="Simplified Arabic"/>
          <w:rtl/>
          <w:lang w:eastAsia="en-US"/>
        </w:rPr>
        <w:t>.</w:t>
      </w:r>
    </w:p>
    <w:p w:rsidR="00471326" w:rsidRPr="0039396F" w:rsidRDefault="00471326" w:rsidP="00471326">
      <w:pPr>
        <w:tabs>
          <w:tab w:val="num" w:pos="430"/>
        </w:tabs>
        <w:ind w:left="70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471326" w:rsidRPr="00C34EF2" w:rsidRDefault="00AE65FC" w:rsidP="00471326">
      <w:pPr>
        <w:tabs>
          <w:tab w:val="num" w:pos="430"/>
        </w:tabs>
        <w:ind w:left="70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أعداد </w:t>
      </w:r>
      <w:r w:rsidR="00471326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المخيمات الفلسطينية الرسمية التي تعترف </w:t>
      </w:r>
      <w:proofErr w:type="spellStart"/>
      <w:r w:rsidR="00471326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بها</w:t>
      </w:r>
      <w:proofErr w:type="spellEnd"/>
      <w:r w:rsidR="00471326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وكالة الغوث</w:t>
      </w:r>
      <w:r w:rsidR="002132A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حسب دولة الاقامة</w:t>
      </w:r>
    </w:p>
    <w:tbl>
      <w:tblPr>
        <w:tblStyle w:val="TableGrid"/>
        <w:bidiVisual/>
        <w:tblW w:w="0" w:type="auto"/>
        <w:jc w:val="center"/>
        <w:tblInd w:w="-5" w:type="dxa"/>
        <w:tblLook w:val="04A0"/>
      </w:tblPr>
      <w:tblGrid>
        <w:gridCol w:w="4686"/>
      </w:tblGrid>
      <w:tr w:rsidR="00411431" w:rsidRPr="006C19EA" w:rsidTr="00C34EF2">
        <w:trPr>
          <w:jc w:val="center"/>
        </w:trPr>
        <w:tc>
          <w:tcPr>
            <w:tcW w:w="4686" w:type="dxa"/>
          </w:tcPr>
          <w:p w:rsidR="00411431" w:rsidRPr="006C19EA" w:rsidRDefault="00411431" w:rsidP="00471326">
            <w:pPr>
              <w:tabs>
                <w:tab w:val="num" w:pos="430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6C19EA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2752725" cy="1762125"/>
                  <wp:effectExtent l="19050" t="0" r="0" b="0"/>
                  <wp:docPr id="2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200B5" w:rsidRPr="00C34EF2" w:rsidRDefault="00E9723E" w:rsidP="00030C00">
      <w:pPr>
        <w:tabs>
          <w:tab w:val="num" w:pos="430"/>
        </w:tabs>
        <w:ind w:left="70"/>
        <w:jc w:val="lowKashida"/>
        <w:rPr>
          <w:rFonts w:cs="Simplified Arabic"/>
          <w:sz w:val="20"/>
          <w:szCs w:val="20"/>
          <w:rtl/>
          <w:lang w:eastAsia="en-US"/>
        </w:rPr>
      </w:pPr>
      <w:proofErr w:type="spellStart"/>
      <w:r w:rsidRPr="00C34EF2">
        <w:rPr>
          <w:rFonts w:cs="Simplified Arabic"/>
          <w:b/>
          <w:bCs/>
          <w:sz w:val="20"/>
          <w:szCs w:val="20"/>
          <w:rtl/>
          <w:lang w:eastAsia="en-US"/>
        </w:rPr>
        <w:t>المصدر</w:t>
      </w:r>
      <w:r w:rsidRPr="00C34EF2">
        <w:rPr>
          <w:rFonts w:cs="Simplified Arabic"/>
          <w:sz w:val="20"/>
          <w:szCs w:val="20"/>
          <w:rtl/>
          <w:lang w:eastAsia="en-US"/>
        </w:rPr>
        <w:t>:</w:t>
      </w:r>
      <w:proofErr w:type="spellEnd"/>
      <w:r w:rsidRPr="00C34EF2">
        <w:rPr>
          <w:rFonts w:cs="Simplified Arabic"/>
          <w:sz w:val="20"/>
          <w:szCs w:val="20"/>
          <w:rtl/>
          <w:lang w:eastAsia="en-US"/>
        </w:rPr>
        <w:t xml:space="preserve"> وكالة الامم المتحدة </w:t>
      </w:r>
      <w:proofErr w:type="spellStart"/>
      <w:r w:rsidRPr="00C34EF2">
        <w:rPr>
          <w:rFonts w:cs="Simplified Arabic"/>
          <w:sz w:val="20"/>
          <w:szCs w:val="20"/>
          <w:rtl/>
          <w:lang w:eastAsia="en-US"/>
        </w:rPr>
        <w:t>لاغاثة</w:t>
      </w:r>
      <w:proofErr w:type="spellEnd"/>
      <w:r w:rsidRPr="00C34EF2">
        <w:rPr>
          <w:rFonts w:cs="Simplified Arabic"/>
          <w:sz w:val="20"/>
          <w:szCs w:val="20"/>
          <w:rtl/>
          <w:lang w:eastAsia="en-US"/>
        </w:rPr>
        <w:t xml:space="preserve"> وتشغيل اللاجئين الفلسطينيين في الشرق الادنى</w:t>
      </w:r>
      <w:r w:rsidR="003D3A7B" w:rsidRPr="00C34EF2">
        <w:rPr>
          <w:rFonts w:cs="Simplified Arabic" w:hint="cs"/>
          <w:sz w:val="20"/>
          <w:szCs w:val="20"/>
          <w:rtl/>
          <w:lang w:eastAsia="en-US"/>
        </w:rPr>
        <w:t xml:space="preserve"> (</w:t>
      </w:r>
      <w:proofErr w:type="spellStart"/>
      <w:r w:rsidR="003D3A7B" w:rsidRPr="00C34EF2">
        <w:rPr>
          <w:rFonts w:cs="Simplified Arabic" w:hint="cs"/>
          <w:sz w:val="20"/>
          <w:szCs w:val="20"/>
          <w:rtl/>
          <w:lang w:eastAsia="en-US"/>
        </w:rPr>
        <w:t>الاونروا)</w:t>
      </w:r>
      <w:proofErr w:type="spellEnd"/>
      <w:r w:rsidRPr="00C34EF2">
        <w:rPr>
          <w:rFonts w:cs="Simplified Arabic"/>
          <w:sz w:val="20"/>
          <w:szCs w:val="20"/>
          <w:rtl/>
          <w:lang w:eastAsia="en-US"/>
        </w:rPr>
        <w:t xml:space="preserve"> </w:t>
      </w:r>
    </w:p>
    <w:p w:rsidR="00030C00" w:rsidRPr="0039396F" w:rsidRDefault="00030C00" w:rsidP="00030C00">
      <w:pPr>
        <w:tabs>
          <w:tab w:val="num" w:pos="430"/>
        </w:tabs>
        <w:ind w:left="70"/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471326" w:rsidRPr="00C34EF2" w:rsidRDefault="00471326" w:rsidP="007C20D7">
      <w:pPr>
        <w:tabs>
          <w:tab w:val="num" w:pos="430"/>
        </w:tabs>
        <w:jc w:val="lowKashida"/>
        <w:rPr>
          <w:rFonts w:ascii="Simplified Arabic" w:hAnsi="Simplified Arabic" w:cs="Simplified Arabic"/>
          <w:color w:val="000000" w:themeColor="text1"/>
          <w:rtl/>
          <w:lang w:eastAsia="en-US"/>
        </w:rPr>
      </w:pP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وقد صدرت عدة تقديرات رسمية حول أعداد اللاجئين الفلسطينيين </w:t>
      </w:r>
      <w:r w:rsidR="007C20D7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نتيجة</w:t>
      </w:r>
      <w:r w:rsidR="00A2027B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</w:t>
      </w:r>
      <w:r w:rsidR="007C20D7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ل</w:t>
      </w:r>
      <w:r w:rsidR="00A2027B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حرب عام 1948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من مصادر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مختلفة</w:t>
      </w:r>
      <w:r w:rsidR="00440CEB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</w:t>
      </w:r>
      <w:r w:rsidR="007C20D7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ووفق تقديرات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</w:t>
      </w:r>
      <w:r w:rsidR="007C20D7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ا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لأمم المتحدة </w:t>
      </w:r>
      <w:r w:rsidR="007C20D7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لعام 1950 فقد</w:t>
      </w:r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</w:t>
      </w:r>
      <w:r w:rsidR="007C20D7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بلغ عدد اللاجئين الفلسطينيين 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957</w:t>
      </w:r>
      <w:r w:rsidR="00000AD9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ألف لاجئ</w:t>
      </w:r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في حينه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.  </w:t>
      </w:r>
    </w:p>
    <w:p w:rsidR="0096610A" w:rsidRPr="0039396F" w:rsidRDefault="0096610A" w:rsidP="00F313A7">
      <w:pPr>
        <w:pStyle w:val="Heading3"/>
        <w:jc w:val="both"/>
        <w:rPr>
          <w:sz w:val="16"/>
          <w:szCs w:val="16"/>
          <w:rtl/>
          <w:lang w:eastAsia="en-US"/>
        </w:rPr>
      </w:pPr>
    </w:p>
    <w:p w:rsidR="00AD6533" w:rsidRPr="00C34EF2" w:rsidRDefault="00EC21A0" w:rsidP="009849DA">
      <w:pPr>
        <w:pStyle w:val="Heading3"/>
        <w:jc w:val="both"/>
        <w:rPr>
          <w:rFonts w:ascii="Simplified Arabic" w:hAnsi="Simplified Arabic"/>
          <w:sz w:val="26"/>
          <w:szCs w:val="26"/>
          <w:rtl/>
          <w:lang w:eastAsia="en-US"/>
        </w:rPr>
      </w:pPr>
      <w:r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6 </w:t>
      </w:r>
      <w:r w:rsidR="00356CE0"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مليون لاجئ مسجل </w:t>
      </w:r>
      <w:r w:rsidR="009849DA"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لدى </w:t>
      </w:r>
      <w:r w:rsidR="00356CE0" w:rsidRPr="00C34EF2">
        <w:rPr>
          <w:rFonts w:ascii="Simplified Arabic" w:hAnsi="Simplified Arabic"/>
          <w:sz w:val="26"/>
          <w:szCs w:val="26"/>
          <w:rtl/>
          <w:lang w:eastAsia="en-US"/>
        </w:rPr>
        <w:t>وكالة الغوث</w:t>
      </w:r>
      <w:r w:rsidR="00E90C4B"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 </w:t>
      </w:r>
      <w:r w:rsidR="00AA25DA" w:rsidRPr="00C34EF2">
        <w:rPr>
          <w:rFonts w:ascii="Simplified Arabic" w:hAnsi="Simplified Arabic"/>
          <w:sz w:val="26"/>
          <w:szCs w:val="26"/>
          <w:rtl/>
          <w:lang w:eastAsia="en-US"/>
        </w:rPr>
        <w:t>في فلسطين والشتات</w:t>
      </w:r>
      <w:r w:rsidR="00C124F6"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 </w:t>
      </w:r>
    </w:p>
    <w:p w:rsidR="000A2143" w:rsidRPr="00C34EF2" w:rsidRDefault="00AD6533" w:rsidP="003F46FB">
      <w:pPr>
        <w:jc w:val="both"/>
        <w:rPr>
          <w:rFonts w:ascii="Simplified Arabic" w:hAnsi="Simplified Arabic" w:cs="Simplified Arabic"/>
          <w:rtl/>
          <w:lang w:eastAsia="en-US"/>
        </w:rPr>
      </w:pPr>
      <w:r w:rsidRPr="00C34EF2">
        <w:rPr>
          <w:rFonts w:ascii="Simplified Arabic" w:hAnsi="Simplified Arabic" w:cs="Simplified Arabic"/>
          <w:rtl/>
          <w:lang w:eastAsia="en-US"/>
        </w:rPr>
        <w:t>تشير سجلات وكالة الغوث (</w:t>
      </w:r>
      <w:proofErr w:type="spellStart"/>
      <w:r w:rsidRPr="00C34EF2">
        <w:rPr>
          <w:rFonts w:ascii="Simplified Arabic" w:hAnsi="Simplified Arabic" w:cs="Simplified Arabic"/>
          <w:rtl/>
          <w:lang w:eastAsia="en-US"/>
        </w:rPr>
        <w:t>ا</w:t>
      </w:r>
      <w:r w:rsidR="00FA5814" w:rsidRPr="00C34EF2">
        <w:rPr>
          <w:rFonts w:ascii="Simplified Arabic" w:hAnsi="Simplified Arabic" w:cs="Simplified Arabic"/>
          <w:rtl/>
          <w:lang w:eastAsia="en-US"/>
        </w:rPr>
        <w:t>لأ</w:t>
      </w:r>
      <w:r w:rsidR="00055ABD" w:rsidRPr="00C34EF2">
        <w:rPr>
          <w:rFonts w:ascii="Simplified Arabic" w:hAnsi="Simplified Arabic" w:cs="Simplified Arabic"/>
          <w:rtl/>
          <w:lang w:eastAsia="en-US"/>
        </w:rPr>
        <w:t>و</w:t>
      </w:r>
      <w:r w:rsidRPr="00C34EF2">
        <w:rPr>
          <w:rFonts w:ascii="Simplified Arabic" w:hAnsi="Simplified Arabic" w:cs="Simplified Arabic"/>
          <w:rtl/>
          <w:lang w:eastAsia="en-US"/>
        </w:rPr>
        <w:t>نروا)</w:t>
      </w:r>
      <w:proofErr w:type="spellEnd"/>
      <w:r w:rsidRPr="00C34EF2">
        <w:rPr>
          <w:rFonts w:ascii="Simplified Arabic" w:hAnsi="Simplified Arabic" w:cs="Simplified Arabic"/>
          <w:rtl/>
          <w:lang w:eastAsia="en-US"/>
        </w:rPr>
        <w:t xml:space="preserve"> إلى ان عدد اللاجئين الفلسطينيين</w:t>
      </w:r>
      <w:r w:rsidR="005675D1" w:rsidRPr="00C34EF2">
        <w:rPr>
          <w:rFonts w:ascii="Simplified Arabic" w:hAnsi="Simplified Arabic" w:cs="Simplified Arabic"/>
          <w:rtl/>
          <w:lang w:eastAsia="en-US"/>
        </w:rPr>
        <w:t xml:space="preserve"> المسجلين لديها</w:t>
      </w:r>
      <w:r w:rsidRPr="00C34EF2">
        <w:rPr>
          <w:rFonts w:ascii="Simplified Arabic" w:hAnsi="Simplified Arabic" w:cs="Simplified Arabic"/>
          <w:rtl/>
          <w:lang w:eastAsia="en-US"/>
        </w:rPr>
        <w:t xml:space="preserve"> </w:t>
      </w:r>
      <w:r w:rsidR="006E677B" w:rsidRPr="00C34EF2">
        <w:rPr>
          <w:rFonts w:ascii="Simplified Arabic" w:hAnsi="Simplified Arabic" w:cs="Simplified Arabic"/>
          <w:rtl/>
          <w:lang w:eastAsia="en-US"/>
        </w:rPr>
        <w:t xml:space="preserve">في </w:t>
      </w:r>
      <w:r w:rsidRPr="00C34EF2">
        <w:rPr>
          <w:rFonts w:ascii="Simplified Arabic" w:hAnsi="Simplified Arabic" w:cs="Simplified Arabic"/>
          <w:rtl/>
          <w:lang w:eastAsia="en-US"/>
        </w:rPr>
        <w:t xml:space="preserve">عام </w:t>
      </w:r>
      <w:r w:rsidR="00354B9B" w:rsidRPr="00C34EF2">
        <w:rPr>
          <w:rFonts w:ascii="Simplified Arabic" w:hAnsi="Simplified Arabic" w:cs="Simplified Arabic"/>
          <w:rtl/>
          <w:lang w:eastAsia="en-US"/>
        </w:rPr>
        <w:t>2018</w:t>
      </w:r>
      <w:r w:rsidRPr="00C34EF2">
        <w:rPr>
          <w:rFonts w:ascii="Simplified Arabic" w:hAnsi="Simplified Arabic" w:cs="Simplified Arabic"/>
          <w:rtl/>
          <w:lang w:eastAsia="en-US"/>
        </w:rPr>
        <w:t xml:space="preserve"> نحو </w:t>
      </w:r>
      <w:r w:rsidR="00354B9B" w:rsidRPr="00C34EF2">
        <w:rPr>
          <w:rFonts w:ascii="Simplified Arabic" w:hAnsi="Simplified Arabic" w:cs="Simplified Arabic"/>
          <w:rtl/>
          <w:lang w:eastAsia="en-US"/>
        </w:rPr>
        <w:t>6</w:t>
      </w:r>
      <w:r w:rsidRPr="00C34EF2">
        <w:rPr>
          <w:rFonts w:ascii="Simplified Arabic" w:hAnsi="Simplified Arabic" w:cs="Simplified Arabic"/>
          <w:rtl/>
          <w:lang w:eastAsia="en-US"/>
        </w:rPr>
        <w:t xml:space="preserve"> مليون</w:t>
      </w:r>
      <w:r w:rsidR="001740A4" w:rsidRPr="00C34EF2">
        <w:rPr>
          <w:rFonts w:ascii="Simplified Arabic" w:hAnsi="Simplified Arabic" w:cs="Simplified Arabic"/>
          <w:rtl/>
          <w:lang w:eastAsia="en-US"/>
        </w:rPr>
        <w:t xml:space="preserve"> لاجئ </w:t>
      </w:r>
      <w:r w:rsidR="001740A4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وهذه الارقام تمثل الحد الأ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دنى لعدد اللاجئين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الفلسطينيين،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</w:t>
      </w:r>
      <w:r w:rsidR="00523905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وهم بذلك يشكلون </w:t>
      </w:r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ما يقرب</w:t>
      </w:r>
      <w:r w:rsidR="00523905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من نصف الفلسطينيين في العالم والبالغ عددهم نحو 13 مليون</w:t>
      </w:r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</w:t>
      </w:r>
      <w:proofErr w:type="spellStart"/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نسمة</w:t>
      </w:r>
      <w:r w:rsidR="00523905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،</w:t>
      </w:r>
      <w:proofErr w:type="spellEnd"/>
      <w:r w:rsidR="00523905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كما بلغت نسبة اللاجئين المسجلين لدى وكالة الغوث في الضفة الغربية في العام 2018 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ما نسبته </w:t>
      </w:r>
      <w:proofErr w:type="spellStart"/>
      <w:r w:rsidR="006E677B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17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%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</w:t>
      </w:r>
      <w:r w:rsidR="009B53EF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من</w:t>
      </w:r>
      <w:r w:rsidR="009B53EF" w:rsidRPr="00C34EF2">
        <w:rPr>
          <w:rFonts w:ascii="Simplified Arabic" w:hAnsi="Simplified Arabic" w:cs="Simplified Arabic"/>
          <w:rtl/>
          <w:lang w:eastAsia="en-US"/>
        </w:rPr>
        <w:t xml:space="preserve"> إجمالي اللاجئين المسجلين لدى وكالة الغوث مقابل </w:t>
      </w:r>
      <w:proofErr w:type="spellStart"/>
      <w:r w:rsidR="00354B9B" w:rsidRPr="00C34EF2">
        <w:rPr>
          <w:rFonts w:ascii="Simplified Arabic" w:hAnsi="Simplified Arabic" w:cs="Simplified Arabic"/>
          <w:rtl/>
          <w:lang w:eastAsia="en-US"/>
        </w:rPr>
        <w:t>25</w:t>
      </w:r>
      <w:r w:rsidRPr="00C34EF2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C34EF2">
        <w:rPr>
          <w:rFonts w:ascii="Simplified Arabic" w:hAnsi="Simplified Arabic" w:cs="Simplified Arabic"/>
          <w:rtl/>
          <w:lang w:eastAsia="en-US"/>
        </w:rPr>
        <w:t xml:space="preserve"> </w:t>
      </w:r>
      <w:r w:rsidR="000A2143" w:rsidRPr="00C34EF2">
        <w:rPr>
          <w:rFonts w:ascii="Simplified Arabic" w:hAnsi="Simplified Arabic" w:cs="Simplified Arabic"/>
          <w:rtl/>
          <w:lang w:eastAsia="en-US"/>
        </w:rPr>
        <w:t>في قطاع غزة</w:t>
      </w:r>
      <w:r w:rsidRPr="00C34EF2">
        <w:rPr>
          <w:rFonts w:ascii="Simplified Arabic" w:hAnsi="Simplified Arabic" w:cs="Simplified Arabic"/>
          <w:rtl/>
          <w:lang w:eastAsia="en-US"/>
        </w:rPr>
        <w:t xml:space="preserve">.  أما على مستوى الدول </w:t>
      </w:r>
      <w:proofErr w:type="spellStart"/>
      <w:r w:rsidRPr="00C34EF2">
        <w:rPr>
          <w:rFonts w:ascii="Simplified Arabic" w:hAnsi="Simplified Arabic" w:cs="Simplified Arabic"/>
          <w:rtl/>
          <w:lang w:eastAsia="en-US"/>
        </w:rPr>
        <w:t>العربية،</w:t>
      </w:r>
      <w:proofErr w:type="spellEnd"/>
      <w:r w:rsidRPr="00C34EF2">
        <w:rPr>
          <w:rFonts w:ascii="Simplified Arabic" w:hAnsi="Simplified Arabic" w:cs="Simplified Arabic"/>
          <w:rtl/>
          <w:lang w:eastAsia="en-US"/>
        </w:rPr>
        <w:t xml:space="preserve"> فقد بلغت نسبة اللاجئين</w:t>
      </w:r>
      <w:r w:rsidR="00AC064B" w:rsidRPr="00C34EF2">
        <w:rPr>
          <w:rFonts w:ascii="Simplified Arabic" w:hAnsi="Simplified Arabic" w:cs="Simplified Arabic"/>
          <w:rtl/>
          <w:lang w:eastAsia="en-US"/>
        </w:rPr>
        <w:t xml:space="preserve"> الفلسطينيين</w:t>
      </w:r>
      <w:r w:rsidRPr="00C34EF2">
        <w:rPr>
          <w:rFonts w:ascii="Simplified Arabic" w:hAnsi="Simplified Arabic" w:cs="Simplified Arabic"/>
          <w:rtl/>
          <w:lang w:eastAsia="en-US"/>
        </w:rPr>
        <w:t xml:space="preserve"> الم</w:t>
      </w:r>
      <w:r w:rsidR="009A4CB0" w:rsidRPr="00C34EF2">
        <w:rPr>
          <w:rFonts w:ascii="Simplified Arabic" w:hAnsi="Simplified Arabic" w:cs="Simplified Arabic"/>
          <w:rtl/>
          <w:lang w:eastAsia="en-US"/>
        </w:rPr>
        <w:t xml:space="preserve">سجلين لدى وكالة الغوث في الأردن </w:t>
      </w:r>
      <w:r w:rsidR="00EA44C1" w:rsidRPr="00C34EF2">
        <w:rPr>
          <w:rFonts w:ascii="Simplified Arabic" w:hAnsi="Simplified Arabic" w:cs="Simplified Arabic"/>
          <w:rtl/>
          <w:lang w:eastAsia="en-US"/>
        </w:rPr>
        <w:t xml:space="preserve">حوالي </w:t>
      </w:r>
      <w:proofErr w:type="spellStart"/>
      <w:r w:rsidR="00EA44C1" w:rsidRPr="00C34EF2">
        <w:rPr>
          <w:rFonts w:ascii="Simplified Arabic" w:hAnsi="Simplified Arabic" w:cs="Simplified Arabic"/>
          <w:rtl/>
          <w:lang w:eastAsia="en-US"/>
        </w:rPr>
        <w:t>39</w:t>
      </w:r>
      <w:r w:rsidRPr="00C34EF2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Pr="00C34EF2">
        <w:rPr>
          <w:rFonts w:ascii="Simplified Arabic" w:hAnsi="Simplified Arabic" w:cs="Simplified Arabic"/>
          <w:rtl/>
          <w:lang w:eastAsia="en-US"/>
        </w:rPr>
        <w:t xml:space="preserve"> من إجمالي اللاجئين </w:t>
      </w:r>
      <w:proofErr w:type="spellStart"/>
      <w:r w:rsidRPr="00C34EF2">
        <w:rPr>
          <w:rFonts w:ascii="Simplified Arabic" w:hAnsi="Simplified Arabic" w:cs="Simplified Arabic"/>
          <w:rtl/>
          <w:lang w:eastAsia="en-US"/>
        </w:rPr>
        <w:t>الفلسطينين</w:t>
      </w:r>
      <w:proofErr w:type="spellEnd"/>
      <w:r w:rsidRPr="00C34EF2">
        <w:rPr>
          <w:rFonts w:ascii="Simplified Arabic" w:hAnsi="Simplified Arabic" w:cs="Simplified Arabic"/>
          <w:rtl/>
          <w:lang w:eastAsia="en-US"/>
        </w:rPr>
        <w:t xml:space="preserve"> في حين بلغت </w:t>
      </w:r>
      <w:r w:rsidR="00EA44C1" w:rsidRPr="00C34EF2">
        <w:rPr>
          <w:rFonts w:ascii="Simplified Arabic" w:hAnsi="Simplified Arabic" w:cs="Simplified Arabic"/>
          <w:rtl/>
          <w:lang w:eastAsia="en-US"/>
        </w:rPr>
        <w:t xml:space="preserve">هذه </w:t>
      </w:r>
      <w:r w:rsidRPr="00C34EF2">
        <w:rPr>
          <w:rFonts w:ascii="Simplified Arabic" w:hAnsi="Simplified Arabic" w:cs="Simplified Arabic"/>
          <w:rtl/>
          <w:lang w:eastAsia="en-US"/>
        </w:rPr>
        <w:t>النسبة في لبنان</w:t>
      </w:r>
      <w:r w:rsidR="00EA44C1" w:rsidRPr="00C34EF2">
        <w:rPr>
          <w:rFonts w:ascii="Simplified Arabic" w:hAnsi="Simplified Arabic" w:cs="Simplified Arabic"/>
          <w:rtl/>
          <w:lang w:eastAsia="en-US"/>
        </w:rPr>
        <w:t xml:space="preserve"> وسوريا حوالي </w:t>
      </w:r>
      <w:proofErr w:type="spellStart"/>
      <w:r w:rsidR="00EA44C1" w:rsidRPr="00C34EF2">
        <w:rPr>
          <w:rFonts w:ascii="Simplified Arabic" w:hAnsi="Simplified Arabic" w:cs="Simplified Arabic"/>
          <w:rtl/>
          <w:lang w:eastAsia="en-US"/>
        </w:rPr>
        <w:t>9%</w:t>
      </w:r>
      <w:proofErr w:type="spellEnd"/>
      <w:r w:rsidR="00EA44C1" w:rsidRPr="00C34EF2">
        <w:rPr>
          <w:rFonts w:ascii="Simplified Arabic" w:hAnsi="Simplified Arabic" w:cs="Simplified Arabic"/>
          <w:rtl/>
          <w:lang w:eastAsia="en-US"/>
        </w:rPr>
        <w:t xml:space="preserve">  </w:t>
      </w:r>
      <w:proofErr w:type="spellStart"/>
      <w:r w:rsidR="00EA44C1" w:rsidRPr="00C34EF2">
        <w:rPr>
          <w:rFonts w:ascii="Simplified Arabic" w:hAnsi="Simplified Arabic" w:cs="Simplified Arabic"/>
          <w:rtl/>
          <w:lang w:eastAsia="en-US"/>
        </w:rPr>
        <w:t>و11%</w:t>
      </w:r>
      <w:proofErr w:type="spellEnd"/>
      <w:r w:rsidR="00EA44C1" w:rsidRPr="00C34EF2">
        <w:rPr>
          <w:rFonts w:ascii="Simplified Arabic" w:hAnsi="Simplified Arabic" w:cs="Simplified Arabic"/>
          <w:rtl/>
          <w:lang w:eastAsia="en-US"/>
        </w:rPr>
        <w:t xml:space="preserve"> على التوالي</w:t>
      </w:r>
      <w:r w:rsidR="00FA5814" w:rsidRPr="00C34EF2">
        <w:rPr>
          <w:rFonts w:ascii="Simplified Arabic" w:hAnsi="Simplified Arabic" w:cs="Simplified Arabic"/>
          <w:rtl/>
          <w:lang w:eastAsia="en-US"/>
        </w:rPr>
        <w:t>.</w:t>
      </w:r>
    </w:p>
    <w:p w:rsidR="0039396F" w:rsidRPr="0039396F" w:rsidRDefault="0039396F" w:rsidP="0039396F">
      <w:pPr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/>
        </w:rPr>
      </w:pPr>
    </w:p>
    <w:p w:rsidR="00AD6533" w:rsidRPr="00C34EF2" w:rsidRDefault="002132AA" w:rsidP="0039396F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التوزيع النسبي للاجئين الفلسطينيين حسب دولة </w:t>
      </w:r>
      <w:proofErr w:type="spellStart"/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الاقامة</w:t>
      </w:r>
      <w:r w:rsidR="00EA44C1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،</w:t>
      </w:r>
      <w:proofErr w:type="spellEnd"/>
      <w:r w:rsidR="00EA44C1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01/01/2018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22"/>
      </w:tblGrid>
      <w:tr w:rsidR="00411431" w:rsidRPr="006C19EA" w:rsidTr="00C34EF2">
        <w:trPr>
          <w:jc w:val="center"/>
        </w:trPr>
        <w:tc>
          <w:tcPr>
            <w:tcW w:w="4922" w:type="dxa"/>
          </w:tcPr>
          <w:p w:rsidR="00411431" w:rsidRPr="006C19EA" w:rsidRDefault="00411431" w:rsidP="003E57BD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6C19EA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2771775" cy="1543050"/>
                  <wp:effectExtent l="0" t="0" r="0" b="0"/>
                  <wp:docPr id="4" name="Objec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9723E" w:rsidRPr="00C34EF2" w:rsidRDefault="00E9723E" w:rsidP="0039396F">
      <w:pPr>
        <w:tabs>
          <w:tab w:val="num" w:pos="430"/>
        </w:tabs>
        <w:ind w:left="70"/>
        <w:jc w:val="center"/>
        <w:rPr>
          <w:rFonts w:cs="Simplified Arabic"/>
          <w:sz w:val="20"/>
          <w:szCs w:val="20"/>
          <w:lang w:eastAsia="en-US"/>
        </w:rPr>
      </w:pPr>
      <w:proofErr w:type="spellStart"/>
      <w:r w:rsidRPr="00C34EF2">
        <w:rPr>
          <w:rFonts w:cs="Simplified Arabic"/>
          <w:b/>
          <w:bCs/>
          <w:sz w:val="20"/>
          <w:szCs w:val="20"/>
          <w:rtl/>
          <w:lang w:eastAsia="en-US"/>
        </w:rPr>
        <w:t>المصدر</w:t>
      </w:r>
      <w:r w:rsidRPr="00C34EF2">
        <w:rPr>
          <w:rFonts w:cs="Simplified Arabic"/>
          <w:sz w:val="20"/>
          <w:szCs w:val="20"/>
          <w:rtl/>
          <w:lang w:eastAsia="en-US"/>
        </w:rPr>
        <w:t>:</w:t>
      </w:r>
      <w:proofErr w:type="spellEnd"/>
      <w:r w:rsidRPr="00C34EF2">
        <w:rPr>
          <w:rFonts w:cs="Simplified Arabic"/>
          <w:sz w:val="20"/>
          <w:szCs w:val="20"/>
          <w:rtl/>
          <w:lang w:eastAsia="en-US"/>
        </w:rPr>
        <w:t xml:space="preserve"> وكالة الامم المتحدة </w:t>
      </w:r>
      <w:proofErr w:type="spellStart"/>
      <w:r w:rsidRPr="00C34EF2">
        <w:rPr>
          <w:rFonts w:cs="Simplified Arabic"/>
          <w:sz w:val="20"/>
          <w:szCs w:val="20"/>
          <w:rtl/>
          <w:lang w:eastAsia="en-US"/>
        </w:rPr>
        <w:t>لاغاثة</w:t>
      </w:r>
      <w:proofErr w:type="spellEnd"/>
      <w:r w:rsidRPr="00C34EF2">
        <w:rPr>
          <w:rFonts w:cs="Simplified Arabic"/>
          <w:sz w:val="20"/>
          <w:szCs w:val="20"/>
          <w:rtl/>
          <w:lang w:eastAsia="en-US"/>
        </w:rPr>
        <w:t xml:space="preserve"> وتشغيل اللاجئين الفلسطينيين في الشرق الادنى</w:t>
      </w:r>
      <w:r w:rsidR="003D3A7B" w:rsidRPr="00C34EF2">
        <w:rPr>
          <w:rFonts w:cs="Simplified Arabic" w:hint="cs"/>
          <w:sz w:val="20"/>
          <w:szCs w:val="20"/>
          <w:rtl/>
          <w:lang w:eastAsia="en-US"/>
        </w:rPr>
        <w:t xml:space="preserve"> (</w:t>
      </w:r>
      <w:proofErr w:type="spellStart"/>
      <w:r w:rsidR="003D3A7B" w:rsidRPr="00C34EF2">
        <w:rPr>
          <w:rFonts w:cs="Simplified Arabic" w:hint="cs"/>
          <w:sz w:val="20"/>
          <w:szCs w:val="20"/>
          <w:rtl/>
          <w:lang w:eastAsia="en-US"/>
        </w:rPr>
        <w:t>الاونروا)</w:t>
      </w:r>
      <w:proofErr w:type="spellEnd"/>
    </w:p>
    <w:p w:rsidR="000C1DA4" w:rsidRPr="003C449D" w:rsidRDefault="000C1DA4" w:rsidP="006716AC">
      <w:pPr>
        <w:jc w:val="lowKashida"/>
        <w:rPr>
          <w:rFonts w:cs="Simplified Arabic"/>
          <w:b/>
          <w:bCs/>
          <w:sz w:val="8"/>
          <w:szCs w:val="8"/>
          <w:rtl/>
          <w:lang w:eastAsia="en-US"/>
        </w:rPr>
      </w:pPr>
    </w:p>
    <w:p w:rsidR="0039396F" w:rsidRDefault="0039396F" w:rsidP="0038244A">
      <w:pPr>
        <w:jc w:val="lowKashida"/>
        <w:rPr>
          <w:rFonts w:ascii="Simplified Arabic" w:hAnsi="Simplified Arabic" w:cs="Simplified Arabic" w:hint="cs"/>
          <w:b/>
          <w:bCs/>
          <w:sz w:val="26"/>
          <w:szCs w:val="26"/>
          <w:rtl/>
          <w:lang w:eastAsia="en-US"/>
        </w:rPr>
      </w:pPr>
    </w:p>
    <w:p w:rsidR="0038244A" w:rsidRPr="00C34EF2" w:rsidRDefault="0038244A" w:rsidP="0038244A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أوضاع اللاجئين الفلسطيني</w:t>
      </w:r>
      <w:r w:rsidR="00A86144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ي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ن في دولة فلسطين</w:t>
      </w:r>
      <w:r w:rsidR="00523905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:</w:t>
      </w:r>
    </w:p>
    <w:p w:rsidR="00523905" w:rsidRPr="00C34EF2" w:rsidRDefault="00523905" w:rsidP="00AA25DA">
      <w:pPr>
        <w:jc w:val="lowKashida"/>
        <w:rPr>
          <w:rFonts w:ascii="Simplified Arabic" w:hAnsi="Simplified Arabic" w:cs="Simplified Arabic"/>
          <w:color w:val="000000" w:themeColor="text1"/>
          <w:rtl/>
          <w:lang w:eastAsia="en-US"/>
        </w:rPr>
      </w:pP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من الملاحظ انه لا يوجد فروق جوهرية ما بين الخصائص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الديمغرافية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والاجتماعية بين اللاجئين وغير اللاجئين بشكل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عام،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باستثناء مؤشرات الفقر والبطالة والتي تعود</w:t>
      </w:r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لأسباب </w:t>
      </w:r>
      <w:proofErr w:type="spellStart"/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مناطقية</w:t>
      </w:r>
      <w:proofErr w:type="spellEnd"/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حيث أن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نحو ثلثي سكان </w:t>
      </w:r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قطاع غزة </w:t>
      </w:r>
      <w:r w:rsidR="009849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هم </w:t>
      </w:r>
      <w:proofErr w:type="spellStart"/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لاجئون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وفيما يلي اهم الخصائص الاجتماعية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والديمغرافية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للاجئين الفلسطينيين في دولة فلسطين</w:t>
      </w:r>
      <w:r w:rsidR="00AA25DA"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>:</w:t>
      </w:r>
      <w:r w:rsidRPr="00C34EF2">
        <w:rPr>
          <w:rFonts w:ascii="Simplified Arabic" w:hAnsi="Simplified Arabic" w:cs="Simplified Arabic"/>
          <w:color w:val="000000" w:themeColor="text1"/>
          <w:rtl/>
          <w:lang w:eastAsia="en-US"/>
        </w:rPr>
        <w:t xml:space="preserve">   </w:t>
      </w:r>
    </w:p>
    <w:p w:rsidR="0038244A" w:rsidRPr="00C34EF2" w:rsidRDefault="0038244A" w:rsidP="0038244A">
      <w:pPr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eastAsia="en-US"/>
        </w:rPr>
      </w:pPr>
    </w:p>
    <w:p w:rsidR="0038244A" w:rsidRPr="00C34EF2" w:rsidRDefault="0038244A" w:rsidP="00CC7519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حوالي </w:t>
      </w:r>
      <w:r w:rsidR="00CC7519" w:rsidRPr="00C34EF2">
        <w:rPr>
          <w:rFonts w:ascii="Simplified Arabic" w:hAnsi="Simplified Arabic" w:cs="Simplified Arabic"/>
          <w:b/>
          <w:bCs/>
          <w:sz w:val="26"/>
          <w:szCs w:val="26"/>
          <w:lang w:eastAsia="en-US"/>
        </w:rPr>
        <w:t>64</w:t>
      </w:r>
      <w:proofErr w:type="spellStart"/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%</w:t>
      </w:r>
      <w:proofErr w:type="spellEnd"/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من مجمل السكان في </w:t>
      </w:r>
      <w:r w:rsidR="00CC7519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قطاع غزة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لاجئون </w:t>
      </w:r>
    </w:p>
    <w:p w:rsidR="0038244A" w:rsidRPr="0039396F" w:rsidRDefault="00B03225" w:rsidP="0039396F">
      <w:pPr>
        <w:tabs>
          <w:tab w:val="num" w:pos="430"/>
        </w:tabs>
        <w:jc w:val="lowKashida"/>
        <w:rPr>
          <w:rFonts w:ascii="Simplified Arabic" w:hAnsi="Simplified Arabic" w:cs="Simplified Arabic"/>
          <w:rtl/>
          <w:lang w:eastAsia="en-US"/>
        </w:rPr>
      </w:pPr>
      <w:r w:rsidRPr="00C34EF2">
        <w:rPr>
          <w:rFonts w:ascii="Simplified Arabic" w:hAnsi="Simplified Arabic" w:cs="Simplified Arabic"/>
          <w:rtl/>
          <w:lang w:eastAsia="en-US"/>
        </w:rPr>
        <w:t>بلغت نسبة</w:t>
      </w:r>
      <w:r w:rsidR="0038244A" w:rsidRPr="00C34EF2">
        <w:rPr>
          <w:rFonts w:ascii="Simplified Arabic" w:hAnsi="Simplified Arabic" w:cs="Simplified Arabic"/>
          <w:rtl/>
          <w:lang w:eastAsia="en-US"/>
        </w:rPr>
        <w:t xml:space="preserve"> السكان اللاجئين في دولة فلسطين حوالي 41 </w:t>
      </w:r>
      <w:proofErr w:type="spellStart"/>
      <w:r w:rsidR="0038244A" w:rsidRPr="00C34EF2">
        <w:rPr>
          <w:rFonts w:ascii="Simplified Arabic" w:hAnsi="Simplified Arabic" w:cs="Simplified Arabic"/>
          <w:rtl/>
          <w:lang w:eastAsia="en-US"/>
        </w:rPr>
        <w:t>%</w:t>
      </w:r>
      <w:proofErr w:type="spellEnd"/>
      <w:r w:rsidR="0038244A" w:rsidRPr="00C34EF2">
        <w:rPr>
          <w:rFonts w:ascii="Simplified Arabic" w:hAnsi="Simplified Arabic" w:cs="Simplified Arabic"/>
          <w:rtl/>
          <w:lang w:eastAsia="en-US"/>
        </w:rPr>
        <w:t xml:space="preserve"> من مجمل السكان الفلسطينيين المقيمين في دولة فلسطين في نهاية العام </w:t>
      </w:r>
      <w:proofErr w:type="spellStart"/>
      <w:r w:rsidR="0038244A" w:rsidRPr="00C34EF2">
        <w:rPr>
          <w:rFonts w:ascii="Simplified Arabic" w:hAnsi="Simplified Arabic" w:cs="Simplified Arabic"/>
          <w:rtl/>
          <w:lang w:eastAsia="en-US"/>
        </w:rPr>
        <w:t>2018،</w:t>
      </w:r>
      <w:proofErr w:type="spellEnd"/>
      <w:r w:rsidR="0038244A" w:rsidRPr="00C34EF2">
        <w:rPr>
          <w:rFonts w:ascii="Simplified Arabic" w:hAnsi="Simplified Arabic" w:cs="Simplified Arabic"/>
          <w:rtl/>
          <w:lang w:eastAsia="en-US"/>
        </w:rPr>
        <w:t xml:space="preserve"> </w:t>
      </w:r>
      <w:proofErr w:type="spellStart"/>
      <w:r w:rsidR="0038244A" w:rsidRPr="00C34EF2">
        <w:rPr>
          <w:rFonts w:ascii="Simplified Arabic" w:hAnsi="Simplified Arabic" w:cs="Simplified Arabic"/>
          <w:rtl/>
          <w:lang w:eastAsia="en-US"/>
        </w:rPr>
        <w:t>26%</w:t>
      </w:r>
      <w:proofErr w:type="spellEnd"/>
      <w:r w:rsidR="0038244A" w:rsidRPr="00C34EF2">
        <w:rPr>
          <w:rFonts w:ascii="Simplified Arabic" w:hAnsi="Simplified Arabic" w:cs="Simplified Arabic"/>
          <w:rtl/>
          <w:lang w:eastAsia="en-US"/>
        </w:rPr>
        <w:t xml:space="preserve"> من السكان في الضفة الغربية </w:t>
      </w:r>
      <w:proofErr w:type="spellStart"/>
      <w:r w:rsidR="0038244A" w:rsidRPr="00C34EF2">
        <w:rPr>
          <w:rFonts w:ascii="Simplified Arabic" w:hAnsi="Simplified Arabic" w:cs="Simplified Arabic"/>
          <w:rtl/>
          <w:lang w:eastAsia="en-US"/>
        </w:rPr>
        <w:t>لاجئون،</w:t>
      </w:r>
      <w:proofErr w:type="spellEnd"/>
      <w:r w:rsidR="0038244A" w:rsidRPr="00C34EF2">
        <w:rPr>
          <w:rFonts w:ascii="Simplified Arabic" w:hAnsi="Simplified Arabic" w:cs="Simplified Arabic"/>
          <w:rtl/>
          <w:lang w:eastAsia="en-US"/>
        </w:rPr>
        <w:t xml:space="preserve"> في حين بلغت نسبة اللاجئين في قطاع غزة </w:t>
      </w:r>
      <w:proofErr w:type="spellStart"/>
      <w:r w:rsidR="0038244A" w:rsidRPr="00C34EF2">
        <w:rPr>
          <w:rFonts w:ascii="Simplified Arabic" w:hAnsi="Simplified Arabic" w:cs="Simplified Arabic"/>
          <w:rtl/>
          <w:lang w:eastAsia="en-US"/>
        </w:rPr>
        <w:t>64%.</w:t>
      </w:r>
      <w:proofErr w:type="spellEnd"/>
      <w:r w:rsidR="0038244A" w:rsidRPr="00C34EF2">
        <w:rPr>
          <w:rFonts w:ascii="Simplified Arabic" w:hAnsi="Simplified Arabic" w:cs="Simplified Arabic"/>
          <w:rtl/>
          <w:lang w:eastAsia="en-US"/>
        </w:rPr>
        <w:t xml:space="preserve"> </w:t>
      </w:r>
    </w:p>
    <w:p w:rsidR="0039396F" w:rsidRPr="0039396F" w:rsidRDefault="0039396F" w:rsidP="0038244A">
      <w:pPr>
        <w:tabs>
          <w:tab w:val="num" w:pos="430"/>
        </w:tabs>
        <w:ind w:left="70"/>
        <w:jc w:val="center"/>
        <w:rPr>
          <w:rFonts w:cs="Simplified Arabic" w:hint="cs"/>
          <w:b/>
          <w:bCs/>
          <w:sz w:val="16"/>
          <w:szCs w:val="16"/>
          <w:rtl/>
          <w:lang w:eastAsia="en-US"/>
        </w:rPr>
      </w:pPr>
    </w:p>
    <w:p w:rsidR="0038244A" w:rsidRPr="00C34EF2" w:rsidRDefault="0038244A" w:rsidP="0038244A">
      <w:pPr>
        <w:tabs>
          <w:tab w:val="num" w:pos="430"/>
        </w:tabs>
        <w:ind w:left="70"/>
        <w:jc w:val="center"/>
        <w:rPr>
          <w:rFonts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نسبة اللاجئين في دولة فلسطين حسب </w:t>
      </w:r>
      <w:proofErr w:type="spellStart"/>
      <w:r w:rsidRPr="00C34EF2">
        <w:rPr>
          <w:rFonts w:cs="Simplified Arabic" w:hint="cs"/>
          <w:b/>
          <w:bCs/>
          <w:sz w:val="26"/>
          <w:szCs w:val="26"/>
          <w:rtl/>
          <w:lang w:eastAsia="en-US"/>
        </w:rPr>
        <w:t>المنطقة،</w:t>
      </w:r>
      <w:proofErr w:type="spellEnd"/>
      <w:r w:rsidRPr="00C34EF2">
        <w:rPr>
          <w:rFonts w:cs="Simplified Arabic" w:hint="cs"/>
          <w:b/>
          <w:bCs/>
          <w:sz w:val="26"/>
          <w:szCs w:val="26"/>
          <w:rtl/>
          <w:lang w:eastAsia="en-US"/>
        </w:rPr>
        <w:t xml:space="preserve"> نهاية عام 2018</w:t>
      </w:r>
    </w:p>
    <w:tbl>
      <w:tblPr>
        <w:bidiVisual/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6"/>
      </w:tblGrid>
      <w:tr w:rsidR="0038244A" w:rsidRPr="006C19EA" w:rsidTr="00C34EF2">
        <w:trPr>
          <w:jc w:val="center"/>
        </w:trPr>
        <w:tc>
          <w:tcPr>
            <w:tcW w:w="4681" w:type="dxa"/>
          </w:tcPr>
          <w:p w:rsidR="0038244A" w:rsidRPr="006C19EA" w:rsidRDefault="0038244A" w:rsidP="0038244A">
            <w:pPr>
              <w:tabs>
                <w:tab w:val="num" w:pos="430"/>
              </w:tabs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6C19EA">
              <w:rPr>
                <w:rFonts w:cs="Simplified Arabic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838450" cy="1695450"/>
                  <wp:effectExtent l="0" t="0" r="0" b="0"/>
                  <wp:docPr id="9" name="Char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38244A" w:rsidRDefault="0038244A" w:rsidP="0039396F">
      <w:pPr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</w:pPr>
      <w:proofErr w:type="spellStart"/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>المصدر:</w:t>
      </w:r>
      <w:proofErr w:type="spellEnd"/>
      <w:r w:rsidRPr="00C34EF2">
        <w:rPr>
          <w:rFonts w:ascii="Simplified Arabic" w:hAnsi="Simplified Arabic" w:cs="Simplified Arabic"/>
          <w:b/>
          <w:bCs/>
          <w:sz w:val="20"/>
          <w:szCs w:val="20"/>
          <w:lang w:eastAsia="en-US"/>
        </w:rPr>
        <w:t xml:space="preserve"> </w:t>
      </w:r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 xml:space="preserve">الجهاز المركزي للإحصاء الفلسطيني، </w:t>
      </w:r>
      <w:r w:rsidRPr="00C34EF2">
        <w:rPr>
          <w:rFonts w:ascii="Simplified Arabic" w:hAnsi="Simplified Arabic" w:cs="Simplified Arabic"/>
          <w:b/>
          <w:bCs/>
          <w:sz w:val="20"/>
          <w:szCs w:val="20"/>
          <w:lang w:eastAsia="en-US"/>
        </w:rPr>
        <w:t>2019</w:t>
      </w:r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>.</w:t>
      </w:r>
      <w:r w:rsidR="0039396F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 xml:space="preserve"> </w:t>
      </w:r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 xml:space="preserve"> قاعدة بيانات القوى </w:t>
      </w:r>
      <w:proofErr w:type="spellStart"/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>العاملة،</w:t>
      </w:r>
      <w:proofErr w:type="spellEnd"/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 xml:space="preserve"> 2018.</w:t>
      </w:r>
      <w:r w:rsidR="00A9452E"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 xml:space="preserve"> </w:t>
      </w:r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 xml:space="preserve">رام </w:t>
      </w:r>
      <w:proofErr w:type="spellStart"/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>الله-</w:t>
      </w:r>
      <w:proofErr w:type="spellEnd"/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 xml:space="preserve"> فلسطين.</w:t>
      </w:r>
    </w:p>
    <w:p w:rsidR="00C34EF2" w:rsidRPr="00C34EF2" w:rsidRDefault="00C34EF2" w:rsidP="00A9452E">
      <w:pPr>
        <w:jc w:val="lowKashida"/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/>
        </w:rPr>
      </w:pPr>
    </w:p>
    <w:p w:rsidR="001633DA" w:rsidRPr="00C34EF2" w:rsidRDefault="00845295" w:rsidP="00A86144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proofErr w:type="spellStart"/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39%</w:t>
      </w:r>
      <w:proofErr w:type="spellEnd"/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من </w:t>
      </w:r>
      <w:r w:rsidR="001633D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اللاجئ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ين</w:t>
      </w:r>
      <w:r w:rsidR="001633D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AA25D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وغير اللاجئين </w:t>
      </w:r>
      <w:r w:rsidR="002E1CB5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الفلسطينيين 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دون 15 سنة</w:t>
      </w:r>
      <w:r w:rsidR="001633D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2E1CB5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</w:p>
    <w:p w:rsidR="0038244A" w:rsidRPr="00C34EF2" w:rsidRDefault="0038244A" w:rsidP="00AA25DA">
      <w:pPr>
        <w:jc w:val="lowKashida"/>
        <w:rPr>
          <w:rFonts w:ascii="Simplified Arabic" w:hAnsi="Simplified Arabic" w:cs="Simplified Arabic"/>
          <w:rtl/>
          <w:lang w:eastAsia="en-US"/>
        </w:rPr>
      </w:pPr>
      <w:r w:rsidRPr="00C34EF2">
        <w:rPr>
          <w:rFonts w:ascii="Simplified Arabic" w:hAnsi="Simplified Arabic" w:cs="Simplified Arabic"/>
          <w:rtl/>
        </w:rPr>
        <w:t xml:space="preserve">بلغت نسبة الأفراد الذين تقل أعمارهم عن 15 سنة </w:t>
      </w:r>
      <w:proofErr w:type="spellStart"/>
      <w:r w:rsidRPr="00C34EF2">
        <w:rPr>
          <w:rFonts w:ascii="Simplified Arabic" w:hAnsi="Simplified Arabic" w:cs="Simplified Arabic"/>
          <w:rtl/>
        </w:rPr>
        <w:t>39%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من إجمالي السكان في دولة فلسطين نهاية </w:t>
      </w:r>
      <w:r w:rsidRPr="00C34EF2">
        <w:rPr>
          <w:rFonts w:ascii="Simplified Arabic" w:hAnsi="Simplified Arabic" w:cs="Simplified Arabic"/>
          <w:rtl/>
          <w:lang w:eastAsia="en-US"/>
        </w:rPr>
        <w:t xml:space="preserve">العام </w:t>
      </w:r>
      <w:r w:rsidRPr="00C34EF2">
        <w:rPr>
          <w:rFonts w:ascii="Simplified Arabic" w:hAnsi="Simplified Arabic" w:cs="Simplified Arabic"/>
          <w:lang w:eastAsia="en-US"/>
        </w:rPr>
        <w:t>2018</w:t>
      </w:r>
      <w:proofErr w:type="spellStart"/>
      <w:r w:rsidRPr="00C34EF2">
        <w:rPr>
          <w:rFonts w:ascii="Simplified Arabic" w:hAnsi="Simplified Arabic" w:cs="Simplified Arabic"/>
          <w:rtl/>
        </w:rPr>
        <w:t>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</w:t>
      </w:r>
      <w:r w:rsidR="00AA25DA" w:rsidRPr="00C34EF2">
        <w:rPr>
          <w:rFonts w:ascii="Simplified Arabic" w:hAnsi="Simplified Arabic" w:cs="Simplified Arabic"/>
          <w:rtl/>
        </w:rPr>
        <w:t>وهي ذات</w:t>
      </w:r>
      <w:r w:rsidRPr="00C34EF2">
        <w:rPr>
          <w:rFonts w:ascii="Simplified Arabic" w:hAnsi="Simplified Arabic" w:cs="Simplified Arabic"/>
          <w:rtl/>
        </w:rPr>
        <w:t xml:space="preserve"> النسبة للأفراد </w:t>
      </w:r>
      <w:r w:rsidR="00B03225" w:rsidRPr="00C34EF2">
        <w:rPr>
          <w:rFonts w:ascii="Simplified Arabic" w:hAnsi="Simplified Arabic" w:cs="Simplified Arabic"/>
          <w:rtl/>
        </w:rPr>
        <w:t>اللاجئين ولغير</w:t>
      </w:r>
      <w:r w:rsidRPr="00C34EF2">
        <w:rPr>
          <w:rFonts w:ascii="Simplified Arabic" w:hAnsi="Simplified Arabic" w:cs="Simplified Arabic"/>
          <w:rtl/>
        </w:rPr>
        <w:t xml:space="preserve"> اللاجئين</w:t>
      </w:r>
      <w:r w:rsidR="009849DA" w:rsidRPr="00C34EF2">
        <w:rPr>
          <w:rFonts w:ascii="Simplified Arabic" w:hAnsi="Simplified Arabic" w:cs="Simplified Arabic"/>
          <w:rtl/>
        </w:rPr>
        <w:t>.</w:t>
      </w:r>
      <w:r w:rsidRPr="00C34EF2">
        <w:rPr>
          <w:rFonts w:ascii="Simplified Arabic" w:hAnsi="Simplified Arabic" w:cs="Simplified Arabic"/>
          <w:rtl/>
        </w:rPr>
        <w:t xml:space="preserve">  </w:t>
      </w:r>
      <w:r w:rsidR="00AA25DA" w:rsidRPr="00C34EF2">
        <w:rPr>
          <w:rFonts w:ascii="Simplified Arabic" w:hAnsi="Simplified Arabic" w:cs="Simplified Arabic"/>
          <w:rtl/>
        </w:rPr>
        <w:t xml:space="preserve">فيما </w:t>
      </w:r>
      <w:r w:rsidRPr="00C34EF2">
        <w:rPr>
          <w:rFonts w:ascii="Simplified Arabic" w:hAnsi="Simplified Arabic" w:cs="Simplified Arabic"/>
          <w:rtl/>
        </w:rPr>
        <w:t xml:space="preserve">بلغت نسبة كبار السن 60 سنة فأكثر للاجئين وغير اللاجئين حوالي </w:t>
      </w:r>
      <w:proofErr w:type="spellStart"/>
      <w:r w:rsidRPr="00C34EF2">
        <w:rPr>
          <w:rFonts w:ascii="Simplified Arabic" w:hAnsi="Simplified Arabic" w:cs="Simplified Arabic"/>
          <w:rtl/>
        </w:rPr>
        <w:t>5%</w:t>
      </w:r>
      <w:proofErr w:type="spellEnd"/>
      <w:r w:rsidR="00AA25DA" w:rsidRPr="00C34EF2">
        <w:rPr>
          <w:rFonts w:ascii="Simplified Arabic" w:hAnsi="Simplified Arabic" w:cs="Simplified Arabic"/>
          <w:rtl/>
        </w:rPr>
        <w:t xml:space="preserve"> مما يؤكد عدم وجود </w:t>
      </w:r>
      <w:proofErr w:type="spellStart"/>
      <w:r w:rsidR="00AA25DA" w:rsidRPr="00C34EF2">
        <w:rPr>
          <w:rFonts w:ascii="Simplified Arabic" w:hAnsi="Simplified Arabic" w:cs="Simplified Arabic"/>
          <w:rtl/>
        </w:rPr>
        <w:t>فروقات</w:t>
      </w:r>
      <w:proofErr w:type="spellEnd"/>
      <w:r w:rsidR="00AA25DA"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="00AA25DA" w:rsidRPr="00C34EF2">
        <w:rPr>
          <w:rFonts w:ascii="Simplified Arabic" w:hAnsi="Simplified Arabic" w:cs="Simplified Arabic"/>
          <w:rtl/>
        </w:rPr>
        <w:t>ديمغرافية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.  </w:t>
      </w:r>
    </w:p>
    <w:p w:rsidR="003C449D" w:rsidRPr="00C34EF2" w:rsidRDefault="003C449D" w:rsidP="00AA25DA">
      <w:pPr>
        <w:jc w:val="lowKashida"/>
        <w:rPr>
          <w:rFonts w:cs="Simplified Arabic"/>
          <w:sz w:val="16"/>
          <w:szCs w:val="16"/>
          <w:rtl/>
          <w:lang w:eastAsia="en-US"/>
        </w:rPr>
      </w:pPr>
    </w:p>
    <w:p w:rsidR="00AD6533" w:rsidRPr="00C34EF2" w:rsidRDefault="00CC7519" w:rsidP="00835E65">
      <w:pPr>
        <w:pStyle w:val="Heading3"/>
        <w:jc w:val="both"/>
        <w:rPr>
          <w:rFonts w:ascii="Simplified Arabic" w:hAnsi="Simplified Arabic"/>
          <w:sz w:val="26"/>
          <w:szCs w:val="26"/>
          <w:rtl/>
          <w:lang w:eastAsia="en-US"/>
        </w:rPr>
      </w:pPr>
      <w:r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لا يوجد </w:t>
      </w:r>
      <w:proofErr w:type="spellStart"/>
      <w:r w:rsidRPr="00C34EF2">
        <w:rPr>
          <w:rFonts w:ascii="Simplified Arabic" w:hAnsi="Simplified Arabic"/>
          <w:sz w:val="26"/>
          <w:szCs w:val="26"/>
          <w:rtl/>
          <w:lang w:eastAsia="en-US"/>
        </w:rPr>
        <w:t>فر</w:t>
      </w:r>
      <w:r w:rsidR="008B0404" w:rsidRPr="00C34EF2">
        <w:rPr>
          <w:rFonts w:ascii="Simplified Arabic" w:hAnsi="Simplified Arabic"/>
          <w:sz w:val="26"/>
          <w:szCs w:val="26"/>
          <w:rtl/>
          <w:lang w:eastAsia="en-US"/>
        </w:rPr>
        <w:t>و</w:t>
      </w:r>
      <w:r w:rsidR="00835E65" w:rsidRPr="00C34EF2">
        <w:rPr>
          <w:rFonts w:ascii="Simplified Arabic" w:hAnsi="Simplified Arabic"/>
          <w:sz w:val="26"/>
          <w:szCs w:val="26"/>
          <w:rtl/>
          <w:lang w:eastAsia="en-US"/>
        </w:rPr>
        <w:t>قات</w:t>
      </w:r>
      <w:proofErr w:type="spellEnd"/>
      <w:r w:rsidR="00835E65"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 ظاهرة</w:t>
      </w:r>
      <w:r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 في متوسط عدد الابناء المنجبين للنساء اللاجئات وغير اللاجئات</w:t>
      </w:r>
    </w:p>
    <w:p w:rsidR="003C449D" w:rsidRPr="00C34EF2" w:rsidRDefault="00440CEB" w:rsidP="00C34EF2">
      <w:pPr>
        <w:jc w:val="lowKashida"/>
        <w:rPr>
          <w:rFonts w:ascii="Simplified Arabic" w:hAnsi="Simplified Arabic" w:cs="Simplified Arabic"/>
          <w:rtl/>
        </w:rPr>
      </w:pPr>
      <w:r w:rsidRPr="00C34EF2">
        <w:rPr>
          <w:rFonts w:ascii="Simplified Arabic" w:hAnsi="Simplified Arabic" w:cs="Simplified Arabic"/>
          <w:rtl/>
        </w:rPr>
        <w:t>بلغ</w:t>
      </w:r>
      <w:r w:rsidR="000512B5" w:rsidRPr="00C34EF2">
        <w:rPr>
          <w:rFonts w:ascii="Simplified Arabic" w:hAnsi="Simplified Arabic" w:cs="Simplified Arabic"/>
          <w:rtl/>
        </w:rPr>
        <w:t xml:space="preserve"> </w:t>
      </w:r>
      <w:r w:rsidR="00783771" w:rsidRPr="00C34EF2">
        <w:rPr>
          <w:rFonts w:ascii="Simplified Arabic" w:hAnsi="Simplified Arabic" w:cs="Simplified Arabic"/>
          <w:rtl/>
        </w:rPr>
        <w:t>متوسط عدد الابناء الذين سبق انجاب</w:t>
      </w:r>
      <w:r w:rsidR="00FE69D4" w:rsidRPr="00C34EF2">
        <w:rPr>
          <w:rFonts w:ascii="Simplified Arabic" w:hAnsi="Simplified Arabic" w:cs="Simplified Arabic"/>
          <w:rtl/>
        </w:rPr>
        <w:t>هم</w:t>
      </w:r>
      <w:r w:rsidR="00783771" w:rsidRPr="00C34EF2">
        <w:rPr>
          <w:rFonts w:ascii="Simplified Arabic" w:hAnsi="Simplified Arabic" w:cs="Simplified Arabic"/>
          <w:rtl/>
        </w:rPr>
        <w:t xml:space="preserve"> للنساء اللواتي سبق لهن الزواج في دولة فلسطين 4.4 </w:t>
      </w:r>
      <w:proofErr w:type="spellStart"/>
      <w:r w:rsidR="00783771" w:rsidRPr="00C34EF2">
        <w:rPr>
          <w:rFonts w:ascii="Simplified Arabic" w:hAnsi="Simplified Arabic" w:cs="Simplified Arabic"/>
          <w:rtl/>
        </w:rPr>
        <w:t>مولودا،</w:t>
      </w:r>
      <w:proofErr w:type="spellEnd"/>
      <w:r w:rsidR="00783771" w:rsidRPr="00C34EF2">
        <w:rPr>
          <w:rFonts w:ascii="Simplified Arabic" w:hAnsi="Simplified Arabic" w:cs="Simplified Arabic"/>
          <w:rtl/>
        </w:rPr>
        <w:t xml:space="preserve"> في حين </w:t>
      </w:r>
      <w:r w:rsidR="00F332A3" w:rsidRPr="00C34EF2">
        <w:rPr>
          <w:rFonts w:ascii="Simplified Arabic" w:hAnsi="Simplified Arabic" w:cs="Simplified Arabic"/>
          <w:rtl/>
        </w:rPr>
        <w:t xml:space="preserve">بلغ </w:t>
      </w:r>
      <w:r w:rsidR="00783771" w:rsidRPr="00C34EF2">
        <w:rPr>
          <w:rFonts w:ascii="Simplified Arabic" w:hAnsi="Simplified Arabic" w:cs="Simplified Arabic"/>
          <w:rtl/>
        </w:rPr>
        <w:t>هذا المتوسط حسب حالة اللجوء 4.5 للنساء اللاجئات مقابل 4.3 مولود للنساء غير اللاجئات.</w:t>
      </w:r>
    </w:p>
    <w:p w:rsidR="00D22DEE" w:rsidRPr="00C34EF2" w:rsidRDefault="00783771" w:rsidP="00783771">
      <w:pPr>
        <w:tabs>
          <w:tab w:val="num" w:pos="430"/>
        </w:tabs>
        <w:ind w:left="70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متو</w:t>
      </w:r>
      <w:r w:rsidR="00C979BE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سط عدد الأبناء الذين سبق انجابهم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D22DEE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في </w:t>
      </w:r>
      <w:r w:rsidR="00CF2D3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دولة فلسطين</w:t>
      </w:r>
      <w:r w:rsidR="00D22DEE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حسب حالة </w:t>
      </w:r>
      <w:proofErr w:type="spellStart"/>
      <w:r w:rsidR="00D22DEE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اللجوء،</w:t>
      </w:r>
      <w:proofErr w:type="spellEnd"/>
      <w:r w:rsidR="00D22DEE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2017</w:t>
      </w:r>
    </w:p>
    <w:tbl>
      <w:tblPr>
        <w:tblStyle w:val="TableGrid"/>
        <w:bidiVisual/>
        <w:tblW w:w="0" w:type="auto"/>
        <w:jc w:val="center"/>
        <w:tblInd w:w="70" w:type="dxa"/>
        <w:tblLook w:val="04A0"/>
      </w:tblPr>
      <w:tblGrid>
        <w:gridCol w:w="4611"/>
      </w:tblGrid>
      <w:tr w:rsidR="00E615C9" w:rsidRPr="006C19EA" w:rsidTr="0039396F">
        <w:trPr>
          <w:jc w:val="center"/>
        </w:trPr>
        <w:tc>
          <w:tcPr>
            <w:tcW w:w="4611" w:type="dxa"/>
          </w:tcPr>
          <w:p w:rsidR="00E615C9" w:rsidRPr="006C19EA" w:rsidRDefault="00E615C9" w:rsidP="0039396F">
            <w:pPr>
              <w:tabs>
                <w:tab w:val="num" w:pos="430"/>
              </w:tabs>
              <w:rPr>
                <w:rFonts w:cs="Simplified Arabic"/>
                <w:b/>
                <w:bCs/>
                <w:sz w:val="20"/>
                <w:szCs w:val="20"/>
                <w:rtl/>
                <w:lang w:eastAsia="en-US"/>
              </w:rPr>
            </w:pPr>
            <w:r w:rsidRPr="006C19EA">
              <w:rPr>
                <w:rFonts w:cs="Simplified Arabic"/>
                <w:b/>
                <w:bCs/>
                <w:noProof/>
                <w:sz w:val="20"/>
                <w:szCs w:val="20"/>
                <w:rtl/>
                <w:lang w:eastAsia="en-US"/>
              </w:rPr>
              <w:drawing>
                <wp:inline distT="0" distB="0" distL="0" distR="0">
                  <wp:extent cx="2771775" cy="1666875"/>
                  <wp:effectExtent l="19050" t="0" r="0" b="0"/>
                  <wp:docPr id="10" name="Objec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C34EF2" w:rsidRDefault="005617F4" w:rsidP="0039396F">
      <w:pPr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  <w:proofErr w:type="spellStart"/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>المصدر:</w:t>
      </w:r>
      <w:proofErr w:type="spellEnd"/>
      <w:r w:rsidRPr="00C34EF2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 xml:space="preserve">الجهاز المركزي للإحصاء الفلسطيني، </w:t>
      </w:r>
      <w:r w:rsidR="00C8105E" w:rsidRPr="00C34EF2">
        <w:rPr>
          <w:rFonts w:ascii="Simplified Arabic" w:hAnsi="Simplified Arabic" w:cs="Simplified Arabic"/>
          <w:b/>
          <w:bCs/>
          <w:sz w:val="20"/>
          <w:szCs w:val="20"/>
          <w:lang w:eastAsia="en-US"/>
        </w:rPr>
        <w:t>2019</w:t>
      </w:r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>.</w:t>
      </w:r>
      <w:r w:rsidRPr="00C34EF2">
        <w:rPr>
          <w:rFonts w:ascii="Simplified Arabic" w:hAnsi="Simplified Arabic" w:cs="Simplified Arabic"/>
          <w:sz w:val="20"/>
          <w:szCs w:val="20"/>
          <w:rtl/>
          <w:lang w:eastAsia="en-US"/>
        </w:rPr>
        <w:t xml:space="preserve"> </w:t>
      </w:r>
      <w:r w:rsidRPr="00C34EF2">
        <w:rPr>
          <w:rFonts w:ascii="Simplified Arabic" w:hAnsi="Simplified Arabic" w:cs="Simplified Arabic" w:hint="cs"/>
          <w:sz w:val="20"/>
          <w:szCs w:val="20"/>
          <w:rtl/>
          <w:lang w:eastAsia="en-US"/>
        </w:rPr>
        <w:t>التعداد العام للسكان والمساكن والمنشآت 2017</w:t>
      </w:r>
      <w:r w:rsidRPr="00C34EF2">
        <w:rPr>
          <w:rFonts w:ascii="Simplified Arabic" w:hAnsi="Simplified Arabic" w:cs="Simplified Arabic"/>
          <w:sz w:val="20"/>
          <w:szCs w:val="20"/>
          <w:rtl/>
          <w:lang w:eastAsia="en-US"/>
        </w:rPr>
        <w:t xml:space="preserve">.  رام الله </w:t>
      </w:r>
      <w:proofErr w:type="spellStart"/>
      <w:r w:rsidR="0039396F">
        <w:rPr>
          <w:rFonts w:ascii="Simplified Arabic" w:hAnsi="Simplified Arabic" w:cs="Simplified Arabic"/>
          <w:sz w:val="20"/>
          <w:szCs w:val="20"/>
          <w:rtl/>
          <w:lang w:eastAsia="en-US"/>
        </w:rPr>
        <w:t>–</w:t>
      </w:r>
      <w:proofErr w:type="spellEnd"/>
      <w:r w:rsidRPr="00C34EF2">
        <w:rPr>
          <w:rFonts w:ascii="Simplified Arabic" w:hAnsi="Simplified Arabic" w:cs="Simplified Arabic" w:hint="cs"/>
          <w:sz w:val="20"/>
          <w:szCs w:val="20"/>
          <w:rtl/>
          <w:lang w:eastAsia="en-US"/>
        </w:rPr>
        <w:t xml:space="preserve"> </w:t>
      </w:r>
      <w:r w:rsidRPr="00C34EF2">
        <w:rPr>
          <w:rFonts w:ascii="Simplified Arabic" w:hAnsi="Simplified Arabic" w:cs="Simplified Arabic"/>
          <w:sz w:val="20"/>
          <w:szCs w:val="20"/>
          <w:rtl/>
          <w:lang w:eastAsia="en-US"/>
        </w:rPr>
        <w:t>فلسطين</w:t>
      </w:r>
    </w:p>
    <w:p w:rsidR="0039396F" w:rsidRDefault="0039396F" w:rsidP="0039396F">
      <w:pPr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39396F" w:rsidRDefault="0039396F" w:rsidP="0039396F">
      <w:pPr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39396F" w:rsidRDefault="0039396F" w:rsidP="0039396F">
      <w:pPr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39396F" w:rsidRDefault="0039396F" w:rsidP="0039396F">
      <w:pPr>
        <w:jc w:val="center"/>
        <w:rPr>
          <w:rFonts w:ascii="Simplified Arabic" w:hAnsi="Simplified Arabic" w:cs="Simplified Arabic" w:hint="cs"/>
          <w:b/>
          <w:bCs/>
          <w:sz w:val="20"/>
          <w:szCs w:val="20"/>
          <w:rtl/>
        </w:rPr>
      </w:pPr>
    </w:p>
    <w:p w:rsidR="0039396F" w:rsidRPr="00C34EF2" w:rsidRDefault="0039396F" w:rsidP="0039396F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7C20D7" w:rsidRPr="00C34EF2" w:rsidRDefault="007C20D7" w:rsidP="006C19EA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proofErr w:type="spellStart"/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>7%</w:t>
      </w:r>
      <w:proofErr w:type="spellEnd"/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من اللاجئين الفلسطينيين يعانون من صعوب</w:t>
      </w:r>
      <w:r w:rsidR="00AA25DA"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>ة واحدة على الأقل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C0155D" w:rsidRPr="00C34EF2" w:rsidRDefault="00C0155D" w:rsidP="006C19EA">
      <w:pPr>
        <w:jc w:val="lowKashida"/>
        <w:rPr>
          <w:rFonts w:ascii="Simplified Arabic" w:hAnsi="Simplified Arabic" w:cs="Simplified Arabic"/>
          <w:rtl/>
        </w:rPr>
      </w:pPr>
      <w:r w:rsidRPr="00C34EF2">
        <w:rPr>
          <w:rFonts w:ascii="Simplified Arabic" w:hAnsi="Simplified Arabic" w:cs="Simplified Arabic"/>
          <w:rtl/>
        </w:rPr>
        <w:t xml:space="preserve">بالاستناد الى بيانات التعداد العام للسكان والمساكن والمنشآت </w:t>
      </w:r>
      <w:proofErr w:type="spellStart"/>
      <w:r w:rsidRPr="00C34EF2">
        <w:rPr>
          <w:rFonts w:ascii="Simplified Arabic" w:hAnsi="Simplified Arabic" w:cs="Simplified Arabic"/>
          <w:rtl/>
        </w:rPr>
        <w:t>2017،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فإن </w:t>
      </w:r>
      <w:r w:rsidR="00EA44C1" w:rsidRPr="00C34EF2">
        <w:rPr>
          <w:rFonts w:ascii="Simplified Arabic" w:hAnsi="Simplified Arabic" w:cs="Simplified Arabic"/>
          <w:rtl/>
        </w:rPr>
        <w:t xml:space="preserve">حوالي </w:t>
      </w:r>
      <w:proofErr w:type="spellStart"/>
      <w:r w:rsidR="00EA44C1" w:rsidRPr="00C34EF2">
        <w:rPr>
          <w:rFonts w:ascii="Simplified Arabic" w:hAnsi="Simplified Arabic" w:cs="Simplified Arabic"/>
          <w:rtl/>
        </w:rPr>
        <w:t>7</w:t>
      </w:r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من اللاجئين الفلسطينيين يعانون من صعوبة مقارنة </w:t>
      </w:r>
      <w:proofErr w:type="spellStart"/>
      <w:r w:rsidRPr="00C34EF2">
        <w:rPr>
          <w:rFonts w:ascii="Simplified Arabic" w:hAnsi="Simplified Arabic" w:cs="Simplified Arabic"/>
          <w:rtl/>
        </w:rPr>
        <w:t>بـ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Pr="00C34EF2">
        <w:rPr>
          <w:rFonts w:ascii="Simplified Arabic" w:hAnsi="Simplified Arabic" w:cs="Simplified Arabic"/>
          <w:rtl/>
        </w:rPr>
        <w:t>5%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بين غير اللاجئين.  وحول انواع الصعوبات بين اللاجئين وغير اللاجئين تبين أن الأفراد الذين يعانون من صعوبة في النظر ترتفع بين اللاجئين مقارنة بغير اللاجئين إذ بلغت </w:t>
      </w:r>
      <w:proofErr w:type="spellStart"/>
      <w:r w:rsidR="00EA44C1" w:rsidRPr="00C34EF2">
        <w:rPr>
          <w:rFonts w:ascii="Simplified Arabic" w:hAnsi="Simplified Arabic" w:cs="Simplified Arabic"/>
          <w:rtl/>
        </w:rPr>
        <w:t>3</w:t>
      </w:r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Pr="00C34EF2">
        <w:rPr>
          <w:rFonts w:ascii="Simplified Arabic" w:hAnsi="Simplified Arabic" w:cs="Simplified Arabic"/>
          <w:rtl/>
        </w:rPr>
        <w:t>و2%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على </w:t>
      </w:r>
      <w:proofErr w:type="spellStart"/>
      <w:r w:rsidRPr="00C34EF2">
        <w:rPr>
          <w:rFonts w:ascii="Simplified Arabic" w:hAnsi="Simplified Arabic" w:cs="Simplified Arabic"/>
          <w:rtl/>
        </w:rPr>
        <w:t>التوالي،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في حين بلغت نسبة الأفراد الذين يعانون من صعوبة في الحركة بين اللاجئين </w:t>
      </w:r>
      <w:r w:rsidR="001104DD" w:rsidRPr="00C34EF2">
        <w:rPr>
          <w:rFonts w:ascii="Simplified Arabic" w:hAnsi="Simplified Arabic" w:cs="Simplified Arabic"/>
          <w:rtl/>
        </w:rPr>
        <w:t xml:space="preserve">حوالي </w:t>
      </w:r>
      <w:proofErr w:type="spellStart"/>
      <w:r w:rsidR="001104DD" w:rsidRPr="00C34EF2">
        <w:rPr>
          <w:rFonts w:ascii="Simplified Arabic" w:hAnsi="Simplified Arabic" w:cs="Simplified Arabic"/>
          <w:rtl/>
        </w:rPr>
        <w:t>4</w:t>
      </w:r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مقابل </w:t>
      </w:r>
      <w:r w:rsidR="001104DD" w:rsidRPr="00C34EF2">
        <w:rPr>
          <w:rFonts w:ascii="Simplified Arabic" w:hAnsi="Simplified Arabic" w:cs="Simplified Arabic"/>
          <w:rtl/>
        </w:rPr>
        <w:t xml:space="preserve">حوالي </w:t>
      </w:r>
      <w:proofErr w:type="spellStart"/>
      <w:r w:rsidR="001104DD" w:rsidRPr="00C34EF2">
        <w:rPr>
          <w:rFonts w:ascii="Simplified Arabic" w:hAnsi="Simplified Arabic" w:cs="Simplified Arabic"/>
          <w:rtl/>
        </w:rPr>
        <w:t>3</w:t>
      </w:r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بين غير اللاج</w:t>
      </w:r>
      <w:r w:rsidRPr="00C34EF2">
        <w:rPr>
          <w:rFonts w:ascii="Simplified Arabic" w:hAnsi="Simplified Arabic" w:cs="Simplified Arabic"/>
          <w:color w:val="000000" w:themeColor="text1"/>
          <w:rtl/>
        </w:rPr>
        <w:t>ئين.</w:t>
      </w:r>
      <w:r w:rsidR="009648A0" w:rsidRPr="00C34EF2">
        <w:rPr>
          <w:rFonts w:ascii="Simplified Arabic" w:hAnsi="Simplified Arabic" w:cs="Simplified Arabic"/>
          <w:color w:val="000000" w:themeColor="text1"/>
          <w:rtl/>
        </w:rPr>
        <w:t xml:space="preserve">  وعلى مستوى المنطقة فقد بلغت نسبة اللاجئين الذين لديهم صعوبة في الضفة الغربية نحو </w:t>
      </w:r>
      <w:proofErr w:type="spellStart"/>
      <w:r w:rsidR="009648A0" w:rsidRPr="00C34EF2">
        <w:rPr>
          <w:rFonts w:ascii="Simplified Arabic" w:hAnsi="Simplified Arabic" w:cs="Simplified Arabic"/>
          <w:color w:val="000000" w:themeColor="text1"/>
          <w:rtl/>
        </w:rPr>
        <w:t>6%</w:t>
      </w:r>
      <w:proofErr w:type="spellEnd"/>
      <w:r w:rsidR="009648A0" w:rsidRPr="00C34EF2">
        <w:rPr>
          <w:rFonts w:ascii="Simplified Arabic" w:hAnsi="Simplified Arabic" w:cs="Simplified Arabic"/>
          <w:color w:val="000000" w:themeColor="text1"/>
          <w:rtl/>
        </w:rPr>
        <w:t xml:space="preserve"> مقابل </w:t>
      </w:r>
      <w:proofErr w:type="spellStart"/>
      <w:r w:rsidR="009648A0" w:rsidRPr="00C34EF2">
        <w:rPr>
          <w:rFonts w:ascii="Simplified Arabic" w:hAnsi="Simplified Arabic" w:cs="Simplified Arabic"/>
          <w:color w:val="000000" w:themeColor="text1"/>
          <w:rtl/>
        </w:rPr>
        <w:t>7%</w:t>
      </w:r>
      <w:proofErr w:type="spellEnd"/>
      <w:r w:rsidR="009648A0" w:rsidRPr="00C34EF2">
        <w:rPr>
          <w:rFonts w:ascii="Simplified Arabic" w:hAnsi="Simplified Arabic" w:cs="Simplified Arabic"/>
          <w:color w:val="000000" w:themeColor="text1"/>
          <w:rtl/>
        </w:rPr>
        <w:t xml:space="preserve"> للاجئين المقيمين في قطاع غزة لعام 2017.</w:t>
      </w:r>
    </w:p>
    <w:p w:rsidR="009849DA" w:rsidRPr="00C34EF2" w:rsidRDefault="009849DA" w:rsidP="006C19EA">
      <w:pPr>
        <w:jc w:val="lowKashida"/>
        <w:rPr>
          <w:rFonts w:cs="Simplified Arabic"/>
          <w:color w:val="000000" w:themeColor="text1"/>
          <w:sz w:val="16"/>
          <w:szCs w:val="16"/>
          <w:rtl/>
        </w:rPr>
      </w:pPr>
    </w:p>
    <w:p w:rsidR="009849DA" w:rsidRPr="00C34EF2" w:rsidRDefault="009849DA" w:rsidP="007C20D7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نسبة الفقر بين اللاجئين </w:t>
      </w:r>
      <w:proofErr w:type="spellStart"/>
      <w:r w:rsidR="001740A4"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>39%</w:t>
      </w:r>
      <w:proofErr w:type="spellEnd"/>
      <w:r w:rsidR="001740A4"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خلال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عام 2017 وفقا لأنماط الاستهلاك الشهري </w:t>
      </w:r>
    </w:p>
    <w:p w:rsidR="00CC7519" w:rsidRDefault="00D715B7" w:rsidP="00CC7519">
      <w:pPr>
        <w:jc w:val="lowKashida"/>
        <w:rPr>
          <w:rFonts w:cs="Simplified Arabic" w:hint="cs"/>
          <w:b/>
          <w:bCs/>
          <w:color w:val="000000" w:themeColor="text1"/>
          <w:sz w:val="21"/>
          <w:szCs w:val="21"/>
          <w:rtl/>
        </w:rPr>
      </w:pP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بلغت نسبة الفقر بين اللاجئين </w:t>
      </w:r>
      <w:proofErr w:type="spellStart"/>
      <w:r w:rsidR="00E12809" w:rsidRPr="00C34EF2">
        <w:rPr>
          <w:rFonts w:ascii="Simplified Arabic" w:hAnsi="Simplified Arabic" w:cs="Simplified Arabic"/>
          <w:color w:val="000000" w:themeColor="text1"/>
          <w:rtl/>
        </w:rPr>
        <w:t>39</w:t>
      </w:r>
      <w:r w:rsidRPr="00C34EF2">
        <w:rPr>
          <w:rFonts w:ascii="Simplified Arabic" w:hAnsi="Simplified Arabic" w:cs="Simplified Arabic"/>
          <w:color w:val="000000" w:themeColor="text1"/>
          <w:rtl/>
        </w:rPr>
        <w:t>%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 خلال عام 2017 وفقا لأنماط الاستهلاك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الشهري،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743787" w:rsidRPr="00C34EF2">
        <w:rPr>
          <w:rFonts w:ascii="Simplified Arabic" w:hAnsi="Simplified Arabic" w:cs="Simplified Arabic"/>
          <w:color w:val="000000" w:themeColor="text1"/>
          <w:rtl/>
        </w:rPr>
        <w:t>أي ان</w:t>
      </w: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استهلاك </w:t>
      </w:r>
      <w:r w:rsidR="00743787" w:rsidRPr="00C34EF2">
        <w:rPr>
          <w:rFonts w:ascii="Simplified Arabic" w:hAnsi="Simplified Arabic" w:cs="Simplified Arabic"/>
          <w:color w:val="000000" w:themeColor="text1"/>
          <w:rtl/>
        </w:rPr>
        <w:t>الاسرة</w:t>
      </w: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الشهري كان دون خط الفقر </w:t>
      </w:r>
      <w:r w:rsidR="00743787" w:rsidRPr="00C34EF2">
        <w:rPr>
          <w:rFonts w:ascii="Simplified Arabic" w:hAnsi="Simplified Arabic" w:cs="Simplified Arabic"/>
          <w:color w:val="000000" w:themeColor="text1"/>
          <w:rtl/>
        </w:rPr>
        <w:t xml:space="preserve">البالغ 2470 </w:t>
      </w:r>
      <w:proofErr w:type="spellStart"/>
      <w:r w:rsidR="00743787" w:rsidRPr="00C34EF2">
        <w:rPr>
          <w:rFonts w:ascii="Simplified Arabic" w:hAnsi="Simplified Arabic" w:cs="Simplified Arabic"/>
          <w:color w:val="000000" w:themeColor="text1"/>
          <w:rtl/>
        </w:rPr>
        <w:t>شيكل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للأسرة الفلسطينية المكونة من 5 افراد</w:t>
      </w:r>
      <w:r w:rsidR="003C449D" w:rsidRPr="00C34EF2">
        <w:rPr>
          <w:rFonts w:ascii="Simplified Arabic" w:hAnsi="Simplified Arabic" w:cs="Simplified Arabic"/>
          <w:color w:val="000000" w:themeColor="text1"/>
          <w:rtl/>
        </w:rPr>
        <w:t xml:space="preserve">   </w:t>
      </w: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(2 بالغين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و3</w:t>
      </w:r>
      <w:proofErr w:type="spellEnd"/>
      <w:r w:rsidRPr="003C449D">
        <w:rPr>
          <w:rFonts w:cs="Simplified Arabic"/>
          <w:color w:val="000000" w:themeColor="text1"/>
          <w:sz w:val="21"/>
          <w:szCs w:val="21"/>
          <w:rtl/>
        </w:rPr>
        <w:t xml:space="preserve"> </w:t>
      </w:r>
      <w:r w:rsidRPr="00C34EF2">
        <w:rPr>
          <w:rFonts w:ascii="Simplified Arabic" w:hAnsi="Simplified Arabic" w:cs="Simplified Arabic"/>
          <w:color w:val="000000" w:themeColor="text1"/>
          <w:rtl/>
        </w:rPr>
        <w:t>اطفال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)،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A03370" w:rsidRPr="00C34EF2">
        <w:rPr>
          <w:rFonts w:ascii="Simplified Arabic" w:hAnsi="Simplified Arabic" w:cs="Simplified Arabic"/>
          <w:color w:val="000000" w:themeColor="text1"/>
          <w:rtl/>
        </w:rPr>
        <w:t>بينما بلغت هذه النسبة للأفراد غير اللاجئ</w:t>
      </w:r>
      <w:r w:rsidR="00A86144" w:rsidRPr="00C34EF2">
        <w:rPr>
          <w:rFonts w:ascii="Simplified Arabic" w:hAnsi="Simplified Arabic" w:cs="Simplified Arabic"/>
          <w:color w:val="000000" w:themeColor="text1"/>
          <w:rtl/>
        </w:rPr>
        <w:t>ي</w:t>
      </w:r>
      <w:r w:rsidR="00A03370" w:rsidRPr="00C34EF2">
        <w:rPr>
          <w:rFonts w:ascii="Simplified Arabic" w:hAnsi="Simplified Arabic" w:cs="Simplified Arabic"/>
          <w:color w:val="000000" w:themeColor="text1"/>
          <w:rtl/>
        </w:rPr>
        <w:t xml:space="preserve">ن </w:t>
      </w:r>
      <w:r w:rsidR="00743787" w:rsidRPr="00C34EF2">
        <w:rPr>
          <w:rFonts w:ascii="Simplified Arabic" w:hAnsi="Simplified Arabic" w:cs="Simplified Arabic"/>
          <w:color w:val="000000" w:themeColor="text1"/>
          <w:rtl/>
        </w:rPr>
        <w:t xml:space="preserve">حوالي </w:t>
      </w:r>
      <w:proofErr w:type="spellStart"/>
      <w:r w:rsidR="00A03370" w:rsidRPr="00C34EF2">
        <w:rPr>
          <w:rFonts w:ascii="Simplified Arabic" w:hAnsi="Simplified Arabic" w:cs="Simplified Arabic"/>
          <w:color w:val="000000" w:themeColor="text1"/>
          <w:rtl/>
        </w:rPr>
        <w:t>22%.</w:t>
      </w:r>
      <w:proofErr w:type="spellEnd"/>
      <w:r w:rsidR="00A03370"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7C20D7" w:rsidRPr="00C34EF2">
        <w:rPr>
          <w:rFonts w:ascii="Simplified Arabic" w:hAnsi="Simplified Arabic" w:cs="Simplified Arabic"/>
          <w:color w:val="000000" w:themeColor="text1"/>
          <w:rtl/>
        </w:rPr>
        <w:t xml:space="preserve"> ويع</w:t>
      </w:r>
      <w:r w:rsidR="00C979BE" w:rsidRPr="00C34EF2">
        <w:rPr>
          <w:rFonts w:ascii="Simplified Arabic" w:hAnsi="Simplified Arabic" w:cs="Simplified Arabic"/>
          <w:color w:val="000000" w:themeColor="text1"/>
          <w:rtl/>
        </w:rPr>
        <w:t>ود ارتفاع نسبة الفقر بالدرجة الأ</w:t>
      </w:r>
      <w:r w:rsidR="007C20D7" w:rsidRPr="00C34EF2">
        <w:rPr>
          <w:rFonts w:ascii="Simplified Arabic" w:hAnsi="Simplified Arabic" w:cs="Simplified Arabic"/>
          <w:color w:val="000000" w:themeColor="text1"/>
          <w:rtl/>
        </w:rPr>
        <w:t>ولى بين اللاجئين مقارنة بغير اللاجئين الى ارتفاع معدل البطالة</w:t>
      </w:r>
      <w:r w:rsidR="00AA25DA"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7C20D7" w:rsidRPr="00C34EF2">
        <w:rPr>
          <w:rFonts w:ascii="Simplified Arabic" w:hAnsi="Simplified Arabic" w:cs="Simplified Arabic"/>
          <w:color w:val="000000" w:themeColor="text1"/>
          <w:rtl/>
        </w:rPr>
        <w:t xml:space="preserve"> في قطاع غزة والذي يشكل اللا</w:t>
      </w:r>
      <w:r w:rsidR="009C0547" w:rsidRPr="00C34EF2">
        <w:rPr>
          <w:rFonts w:ascii="Simplified Arabic" w:hAnsi="Simplified Arabic" w:cs="Simplified Arabic"/>
          <w:color w:val="000000" w:themeColor="text1"/>
          <w:rtl/>
        </w:rPr>
        <w:t>ج</w:t>
      </w:r>
      <w:r w:rsidR="007C20D7" w:rsidRPr="00C34EF2">
        <w:rPr>
          <w:rFonts w:ascii="Simplified Arabic" w:hAnsi="Simplified Arabic" w:cs="Simplified Arabic"/>
          <w:color w:val="000000" w:themeColor="text1"/>
          <w:rtl/>
        </w:rPr>
        <w:t xml:space="preserve">ئين نحو ثلثي السكان </w:t>
      </w:r>
      <w:proofErr w:type="spellStart"/>
      <w:r w:rsidR="007C20D7" w:rsidRPr="00C34EF2">
        <w:rPr>
          <w:rFonts w:ascii="Simplified Arabic" w:hAnsi="Simplified Arabic" w:cs="Simplified Arabic"/>
          <w:color w:val="000000" w:themeColor="text1"/>
          <w:rtl/>
        </w:rPr>
        <w:t>فيه،</w:t>
      </w:r>
      <w:proofErr w:type="spellEnd"/>
      <w:r w:rsidR="007C20D7"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CC7519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إذ بلغت نسبة الفقر بين اللاجئين في الضفة الغربية </w:t>
      </w:r>
      <w:proofErr w:type="spellStart"/>
      <w:r w:rsidR="00CC7519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15.7%</w:t>
      </w:r>
      <w:proofErr w:type="spellEnd"/>
      <w:r w:rsidR="00CC7519" w:rsidRPr="00546492">
        <w:rPr>
          <w:rFonts w:cs="Simplified Arabic" w:hint="cs"/>
          <w:b/>
          <w:bCs/>
          <w:color w:val="000000" w:themeColor="text1"/>
          <w:sz w:val="21"/>
          <w:szCs w:val="21"/>
          <w:rtl/>
        </w:rPr>
        <w:t xml:space="preserve"> بينما وصلت نسبة الفقر بين اللاجئين في قطاع غزة </w:t>
      </w:r>
      <w:proofErr w:type="spellStart"/>
      <w:r w:rsidR="00CC7519" w:rsidRPr="00546492">
        <w:rPr>
          <w:rFonts w:cs="Simplified Arabic" w:hint="cs"/>
          <w:b/>
          <w:bCs/>
          <w:color w:val="000000" w:themeColor="text1"/>
          <w:sz w:val="21"/>
          <w:szCs w:val="21"/>
          <w:rtl/>
        </w:rPr>
        <w:t>54.1%.</w:t>
      </w:r>
      <w:proofErr w:type="spellEnd"/>
    </w:p>
    <w:p w:rsidR="0039396F" w:rsidRPr="0039396F" w:rsidRDefault="0039396F" w:rsidP="00CC7519">
      <w:pPr>
        <w:jc w:val="lowKashida"/>
        <w:rPr>
          <w:rFonts w:cs="Simplified Arabic"/>
          <w:b/>
          <w:bCs/>
          <w:color w:val="000000" w:themeColor="text1"/>
          <w:sz w:val="10"/>
          <w:szCs w:val="10"/>
          <w:rtl/>
        </w:rPr>
      </w:pPr>
    </w:p>
    <w:p w:rsidR="00C30CD6" w:rsidRPr="00C34EF2" w:rsidRDefault="00A03370" w:rsidP="00C34EF2">
      <w:pPr>
        <w:jc w:val="lowKashida"/>
        <w:rPr>
          <w:rFonts w:ascii="Simplified Arabic" w:hAnsi="Simplified Arabic" w:cs="Simplified Arabic"/>
          <w:rtl/>
          <w:lang w:eastAsia="en-US"/>
        </w:rPr>
      </w:pP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أما الفقراء حسب خط الفقر المدقع فقد </w:t>
      </w:r>
      <w:r w:rsidR="00794AAA" w:rsidRPr="00C34EF2">
        <w:rPr>
          <w:rFonts w:ascii="Simplified Arabic" w:hAnsi="Simplified Arabic" w:cs="Simplified Arabic"/>
          <w:color w:val="000000" w:themeColor="text1"/>
          <w:rtl/>
        </w:rPr>
        <w:t>بلغت</w:t>
      </w:r>
      <w:r w:rsidR="00D715B7" w:rsidRPr="00C34EF2">
        <w:rPr>
          <w:rFonts w:ascii="Simplified Arabic" w:hAnsi="Simplified Arabic" w:cs="Simplified Arabic"/>
          <w:color w:val="000000" w:themeColor="text1"/>
          <w:rtl/>
        </w:rPr>
        <w:t xml:space="preserve"> نسبة الافراد اللاجئين الذين عانوا من الفقر المدقع </w:t>
      </w:r>
      <w:proofErr w:type="spellStart"/>
      <w:r w:rsidR="00D715B7" w:rsidRPr="00C34EF2">
        <w:rPr>
          <w:rFonts w:ascii="Simplified Arabic" w:hAnsi="Simplified Arabic" w:cs="Simplified Arabic"/>
          <w:color w:val="000000" w:themeColor="text1"/>
          <w:rtl/>
        </w:rPr>
        <w:t>23%</w:t>
      </w:r>
      <w:proofErr w:type="spellEnd"/>
      <w:r w:rsidR="00D715B7"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743787" w:rsidRPr="00C34EF2">
        <w:rPr>
          <w:rFonts w:ascii="Simplified Arabic" w:hAnsi="Simplified Arabic" w:cs="Simplified Arabic"/>
          <w:color w:val="000000" w:themeColor="text1"/>
          <w:rtl/>
        </w:rPr>
        <w:t>اي</w:t>
      </w:r>
      <w:r w:rsidR="00D715B7" w:rsidRPr="00C34EF2">
        <w:rPr>
          <w:rFonts w:ascii="Simplified Arabic" w:hAnsi="Simplified Arabic" w:cs="Simplified Arabic"/>
          <w:color w:val="000000" w:themeColor="text1"/>
          <w:rtl/>
        </w:rPr>
        <w:t xml:space="preserve"> ان استهلاك </w:t>
      </w:r>
      <w:r w:rsidR="00743787" w:rsidRPr="00C34EF2">
        <w:rPr>
          <w:rFonts w:ascii="Simplified Arabic" w:hAnsi="Simplified Arabic" w:cs="Simplified Arabic"/>
          <w:color w:val="000000" w:themeColor="text1"/>
          <w:rtl/>
        </w:rPr>
        <w:t>الاسرة</w:t>
      </w:r>
      <w:r w:rsidR="00D715B7" w:rsidRPr="00C34EF2">
        <w:rPr>
          <w:rFonts w:ascii="Simplified Arabic" w:hAnsi="Simplified Arabic" w:cs="Simplified Arabic"/>
          <w:color w:val="000000" w:themeColor="text1"/>
          <w:rtl/>
        </w:rPr>
        <w:t xml:space="preserve"> الشهري كان دون خط الفقر المدقع </w:t>
      </w:r>
      <w:r w:rsidR="00743787" w:rsidRPr="00C34EF2">
        <w:rPr>
          <w:rFonts w:ascii="Simplified Arabic" w:hAnsi="Simplified Arabic" w:cs="Simplified Arabic"/>
          <w:color w:val="000000" w:themeColor="text1"/>
          <w:rtl/>
        </w:rPr>
        <w:t xml:space="preserve">البالغ 1974 </w:t>
      </w:r>
      <w:proofErr w:type="spellStart"/>
      <w:r w:rsidR="00743787" w:rsidRPr="00C34EF2">
        <w:rPr>
          <w:rFonts w:ascii="Simplified Arabic" w:hAnsi="Simplified Arabic" w:cs="Simplified Arabic"/>
          <w:color w:val="000000" w:themeColor="text1"/>
          <w:rtl/>
        </w:rPr>
        <w:t>شيكل</w:t>
      </w:r>
      <w:proofErr w:type="spellEnd"/>
      <w:r w:rsidR="00D715B7" w:rsidRPr="00C34EF2">
        <w:rPr>
          <w:rFonts w:ascii="Simplified Arabic" w:hAnsi="Simplified Arabic" w:cs="Simplified Arabic"/>
          <w:color w:val="000000" w:themeColor="text1"/>
          <w:rtl/>
        </w:rPr>
        <w:t xml:space="preserve"> للأسرة الفلسطينية المكونة من 5 افراد (2 بالغين </w:t>
      </w:r>
      <w:proofErr w:type="spellStart"/>
      <w:r w:rsidR="00D715B7" w:rsidRPr="00C34EF2">
        <w:rPr>
          <w:rFonts w:ascii="Simplified Arabic" w:hAnsi="Simplified Arabic" w:cs="Simplified Arabic"/>
          <w:color w:val="000000" w:themeColor="text1"/>
          <w:rtl/>
        </w:rPr>
        <w:t>و3</w:t>
      </w:r>
      <w:proofErr w:type="spellEnd"/>
      <w:r w:rsidR="00D715B7" w:rsidRPr="00C34EF2">
        <w:rPr>
          <w:rFonts w:ascii="Simplified Arabic" w:hAnsi="Simplified Arabic" w:cs="Simplified Arabic"/>
          <w:color w:val="000000" w:themeColor="text1"/>
          <w:rtl/>
        </w:rPr>
        <w:t xml:space="preserve"> اطفال</w:t>
      </w:r>
      <w:proofErr w:type="spellStart"/>
      <w:r w:rsidR="00D715B7" w:rsidRPr="00C34EF2">
        <w:rPr>
          <w:rFonts w:ascii="Simplified Arabic" w:hAnsi="Simplified Arabic" w:cs="Simplified Arabic"/>
          <w:color w:val="000000" w:themeColor="text1"/>
          <w:rtl/>
        </w:rPr>
        <w:t>)</w:t>
      </w:r>
      <w:r w:rsidRPr="00C34EF2">
        <w:rPr>
          <w:rFonts w:ascii="Simplified Arabic" w:hAnsi="Simplified Arabic" w:cs="Simplified Arabic"/>
          <w:color w:val="000000" w:themeColor="text1"/>
          <w:rtl/>
        </w:rPr>
        <w:t>،</w:t>
      </w:r>
      <w:proofErr w:type="spellEnd"/>
      <w:r w:rsidR="00D715B7" w:rsidRPr="00C34EF2">
        <w:rPr>
          <w:rFonts w:ascii="Simplified Arabic" w:hAnsi="Simplified Arabic" w:cs="Simplified Arabic"/>
          <w:color w:val="000000" w:themeColor="text1"/>
          <w:rtl/>
        </w:rPr>
        <w:t xml:space="preserve">  </w:t>
      </w:r>
      <w:r w:rsidR="00743787" w:rsidRPr="00C34EF2">
        <w:rPr>
          <w:rFonts w:ascii="Simplified Arabic" w:hAnsi="Simplified Arabic" w:cs="Simplified Arabic"/>
          <w:color w:val="000000" w:themeColor="text1"/>
          <w:rtl/>
        </w:rPr>
        <w:t>في حين بلغت هذه النسبة ل</w:t>
      </w:r>
      <w:r w:rsidRPr="00C34EF2">
        <w:rPr>
          <w:rFonts w:ascii="Simplified Arabic" w:hAnsi="Simplified Arabic" w:cs="Simplified Arabic"/>
          <w:color w:val="000000" w:themeColor="text1"/>
          <w:rtl/>
        </w:rPr>
        <w:t>غير اللاجئين الذين عانو</w:t>
      </w:r>
      <w:r w:rsidR="005617F4" w:rsidRPr="00C34EF2">
        <w:rPr>
          <w:rFonts w:ascii="Simplified Arabic" w:hAnsi="Simplified Arabic" w:cs="Simplified Arabic"/>
          <w:color w:val="000000" w:themeColor="text1"/>
          <w:rtl/>
        </w:rPr>
        <w:t>ا</w:t>
      </w: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الفقر المدقع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12%</w:t>
      </w:r>
      <w:r w:rsidR="00CC7519" w:rsidRPr="00C34EF2">
        <w:rPr>
          <w:rFonts w:ascii="Simplified Arabic" w:hAnsi="Simplified Arabic" w:cs="Simplified Arabic"/>
          <w:color w:val="000000" w:themeColor="text1"/>
          <w:rtl/>
        </w:rPr>
        <w:t>،</w:t>
      </w:r>
      <w:proofErr w:type="spellEnd"/>
      <w:r w:rsidR="00CC7519"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CC7519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كما بلغت نسبة الفقر المدقع بين اللاجئين  في الضفة الغربية </w:t>
      </w:r>
      <w:proofErr w:type="spellStart"/>
      <w:r w:rsidR="00CC7519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7.6%</w:t>
      </w:r>
      <w:proofErr w:type="spellEnd"/>
      <w:r w:rsidR="00CC7519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ووصلت الى </w:t>
      </w:r>
      <w:proofErr w:type="spellStart"/>
      <w:r w:rsidR="00CC7519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33.5%</w:t>
      </w:r>
      <w:proofErr w:type="spellEnd"/>
      <w:r w:rsidR="00CC7519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بين اللاجئين في قطاع غزة.</w:t>
      </w:r>
      <w:r w:rsidR="00CC7519" w:rsidRPr="00C34EF2">
        <w:rPr>
          <w:rFonts w:ascii="Simplified Arabic" w:hAnsi="Simplified Arabic" w:cs="Simplified Arabic"/>
          <w:color w:val="000000" w:themeColor="text1"/>
          <w:rtl/>
        </w:rPr>
        <w:t xml:space="preserve">  </w:t>
      </w:r>
      <w:r w:rsidRPr="00C34EF2">
        <w:rPr>
          <w:rFonts w:ascii="Simplified Arabic" w:hAnsi="Simplified Arabic" w:cs="Simplified Arabic"/>
          <w:color w:val="000000" w:themeColor="text1"/>
          <w:rtl/>
        </w:rPr>
        <w:t>ومقارنة</w:t>
      </w:r>
      <w:r w:rsidRPr="00C34EF2">
        <w:rPr>
          <w:rFonts w:ascii="Simplified Arabic" w:hAnsi="Simplified Arabic" w:cs="Simplified Arabic"/>
          <w:rtl/>
        </w:rPr>
        <w:t xml:space="preserve"> مع المعدل العام نجد أن نسب</w:t>
      </w:r>
      <w:r w:rsidR="00D715B7" w:rsidRPr="00C34EF2">
        <w:rPr>
          <w:rFonts w:ascii="Simplified Arabic" w:hAnsi="Simplified Arabic" w:cs="Simplified Arabic"/>
          <w:rtl/>
        </w:rPr>
        <w:t xml:space="preserve"> الفقر بين اللاجئين كانت اعلى من المعدل </w:t>
      </w:r>
      <w:proofErr w:type="spellStart"/>
      <w:r w:rsidR="00D715B7" w:rsidRPr="00C34EF2">
        <w:rPr>
          <w:rFonts w:ascii="Simplified Arabic" w:hAnsi="Simplified Arabic" w:cs="Simplified Arabic"/>
          <w:rtl/>
        </w:rPr>
        <w:t>العام،</w:t>
      </w:r>
      <w:proofErr w:type="spellEnd"/>
      <w:r w:rsidR="00D715B7" w:rsidRPr="00C34EF2">
        <w:rPr>
          <w:rFonts w:ascii="Simplified Arabic" w:hAnsi="Simplified Arabic" w:cs="Simplified Arabic"/>
          <w:rtl/>
        </w:rPr>
        <w:t xml:space="preserve"> حيث بلغت نسبة الافراد الفقراء في فلسطين</w:t>
      </w:r>
      <w:r w:rsidR="00743787" w:rsidRPr="00C34EF2">
        <w:rPr>
          <w:rFonts w:ascii="Simplified Arabic" w:hAnsi="Simplified Arabic" w:cs="Simplified Arabic"/>
          <w:rtl/>
        </w:rPr>
        <w:t xml:space="preserve"> حوالي</w:t>
      </w:r>
      <w:r w:rsidR="00D715B7"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="008910BE" w:rsidRPr="00C34EF2">
        <w:rPr>
          <w:rFonts w:ascii="Simplified Arabic" w:hAnsi="Simplified Arabic" w:cs="Simplified Arabic"/>
          <w:rtl/>
        </w:rPr>
        <w:t>29</w:t>
      </w:r>
      <w:r w:rsidR="00D715B7" w:rsidRPr="00C34EF2">
        <w:rPr>
          <w:rFonts w:ascii="Simplified Arabic" w:hAnsi="Simplified Arabic" w:cs="Simplified Arabic"/>
          <w:rtl/>
        </w:rPr>
        <w:t>%،</w:t>
      </w:r>
      <w:proofErr w:type="spellEnd"/>
      <w:r w:rsidR="00D715B7" w:rsidRPr="00C34EF2">
        <w:rPr>
          <w:rFonts w:ascii="Simplified Arabic" w:hAnsi="Simplified Arabic" w:cs="Simplified Arabic"/>
          <w:rtl/>
        </w:rPr>
        <w:t xml:space="preserve"> وكانت نسبة الافراد الذين عانوا من الفقر المدقع </w:t>
      </w:r>
      <w:r w:rsidRPr="00C34EF2">
        <w:rPr>
          <w:rFonts w:ascii="Simplified Arabic" w:hAnsi="Simplified Arabic" w:cs="Simplified Arabic"/>
          <w:rtl/>
        </w:rPr>
        <w:t xml:space="preserve">في فلسطين </w:t>
      </w:r>
      <w:r w:rsidR="00743787" w:rsidRPr="00C34EF2">
        <w:rPr>
          <w:rFonts w:ascii="Simplified Arabic" w:hAnsi="Simplified Arabic" w:cs="Simplified Arabic"/>
          <w:rtl/>
        </w:rPr>
        <w:t xml:space="preserve">حوالي </w:t>
      </w:r>
      <w:proofErr w:type="spellStart"/>
      <w:r w:rsidR="00743787" w:rsidRPr="00C34EF2">
        <w:rPr>
          <w:rFonts w:ascii="Simplified Arabic" w:hAnsi="Simplified Arabic" w:cs="Simplified Arabic"/>
          <w:rtl/>
        </w:rPr>
        <w:t>17</w:t>
      </w:r>
      <w:r w:rsidR="00D715B7" w:rsidRPr="00C34EF2">
        <w:rPr>
          <w:rFonts w:ascii="Simplified Arabic" w:hAnsi="Simplified Arabic" w:cs="Simplified Arabic"/>
          <w:rtl/>
        </w:rPr>
        <w:t>%</w:t>
      </w:r>
      <w:proofErr w:type="spellEnd"/>
      <w:r w:rsidR="00D715B7" w:rsidRPr="00C34EF2">
        <w:rPr>
          <w:rFonts w:ascii="Simplified Arabic" w:hAnsi="Simplified Arabic" w:cs="Simplified Arabic"/>
          <w:rtl/>
        </w:rPr>
        <w:t xml:space="preserve"> خلال عام 2017.</w:t>
      </w:r>
    </w:p>
    <w:p w:rsidR="00C34EF2" w:rsidRPr="00C34EF2" w:rsidRDefault="00C34EF2" w:rsidP="0038244A">
      <w:pPr>
        <w:jc w:val="lowKashida"/>
        <w:rPr>
          <w:rFonts w:ascii="Simplified Arabic" w:hAnsi="Simplified Arabic" w:cs="Simplified Arabic" w:hint="cs"/>
          <w:b/>
          <w:bCs/>
          <w:sz w:val="16"/>
          <w:szCs w:val="16"/>
          <w:rtl/>
          <w:lang w:eastAsia="en-US"/>
        </w:rPr>
      </w:pPr>
    </w:p>
    <w:p w:rsidR="0038244A" w:rsidRPr="00C34EF2" w:rsidRDefault="00523905" w:rsidP="0038244A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اللاجئون وسوق العمل</w:t>
      </w:r>
      <w:r w:rsidR="0038244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 </w:t>
      </w:r>
    </w:p>
    <w:p w:rsidR="00523905" w:rsidRPr="00C34EF2" w:rsidRDefault="00523905" w:rsidP="00523905">
      <w:pPr>
        <w:jc w:val="lowKashida"/>
        <w:rPr>
          <w:rFonts w:ascii="Simplified Arabic" w:hAnsi="Simplified Arabic" w:cs="Simplified Arabic"/>
          <w:color w:val="000000" w:themeColor="text1"/>
          <w:rtl/>
        </w:rPr>
      </w:pP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أظهرت نتائج مسح القوى العاملة لعام </w:t>
      </w:r>
      <w:r w:rsidRPr="00C34EF2">
        <w:rPr>
          <w:rFonts w:ascii="Simplified Arabic" w:hAnsi="Simplified Arabic" w:cs="Simplified Arabic"/>
          <w:color w:val="000000" w:themeColor="text1"/>
        </w:rPr>
        <w:t>2018</w:t>
      </w: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بأن نسبة المشاركة في القوى العاملة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للافراد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(15 سنة فأكثر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)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بلغت حوالي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47%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للاجئين المقيمين في دولة فلسطين مقابل حوالي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46%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لغير اللاجئين.</w:t>
      </w:r>
    </w:p>
    <w:p w:rsidR="00523905" w:rsidRPr="0039396F" w:rsidRDefault="00523905" w:rsidP="00523905">
      <w:pPr>
        <w:pStyle w:val="Heading3"/>
        <w:jc w:val="both"/>
        <w:rPr>
          <w:rFonts w:ascii="Simplified Arabic" w:hAnsi="Simplified Arabic"/>
          <w:color w:val="000000" w:themeColor="text1"/>
          <w:sz w:val="10"/>
          <w:szCs w:val="10"/>
          <w:rtl/>
          <w:lang w:eastAsia="en-US"/>
        </w:rPr>
      </w:pPr>
    </w:p>
    <w:p w:rsidR="000776EB" w:rsidRPr="00C34EF2" w:rsidRDefault="00C979BE" w:rsidP="000776EB">
      <w:pPr>
        <w:jc w:val="lowKashida"/>
        <w:rPr>
          <w:rFonts w:ascii="Simplified Arabic" w:hAnsi="Simplified Arabic" w:cs="Simplified Arabic"/>
          <w:color w:val="000000" w:themeColor="text1"/>
          <w:rtl/>
        </w:rPr>
      </w:pP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وتظهر البيانات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فروقات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ملحوظة</w:t>
      </w:r>
      <w:r w:rsidR="0038244A" w:rsidRPr="00C34EF2">
        <w:rPr>
          <w:rFonts w:ascii="Simplified Arabic" w:hAnsi="Simplified Arabic" w:cs="Simplified Arabic"/>
          <w:color w:val="000000" w:themeColor="text1"/>
          <w:rtl/>
        </w:rPr>
        <w:t xml:space="preserve"> في معدلات البطالة بين اللاجئين وغير </w:t>
      </w:r>
      <w:proofErr w:type="spellStart"/>
      <w:r w:rsidR="0038244A" w:rsidRPr="00C34EF2">
        <w:rPr>
          <w:rFonts w:ascii="Simplified Arabic" w:hAnsi="Simplified Arabic" w:cs="Simplified Arabic"/>
          <w:color w:val="000000" w:themeColor="text1"/>
          <w:rtl/>
        </w:rPr>
        <w:t>اللاجئين،</w:t>
      </w:r>
      <w:proofErr w:type="spellEnd"/>
      <w:r w:rsidR="0038244A" w:rsidRPr="00C34EF2">
        <w:rPr>
          <w:rFonts w:ascii="Simplified Arabic" w:hAnsi="Simplified Arabic" w:cs="Simplified Arabic"/>
          <w:color w:val="000000" w:themeColor="text1"/>
          <w:rtl/>
        </w:rPr>
        <w:t xml:space="preserve"> إذ وصل معدل البطالة بين اللاجئين الى حوالي </w:t>
      </w:r>
      <w:proofErr w:type="spellStart"/>
      <w:r w:rsidR="0038244A" w:rsidRPr="00C34EF2">
        <w:rPr>
          <w:rFonts w:ascii="Simplified Arabic" w:hAnsi="Simplified Arabic" w:cs="Simplified Arabic"/>
          <w:color w:val="000000" w:themeColor="text1"/>
          <w:rtl/>
        </w:rPr>
        <w:t>40%</w:t>
      </w:r>
      <w:proofErr w:type="spellEnd"/>
      <w:r w:rsidR="0038244A" w:rsidRPr="00C34EF2">
        <w:rPr>
          <w:rFonts w:ascii="Simplified Arabic" w:hAnsi="Simplified Arabic" w:cs="Simplified Arabic"/>
          <w:color w:val="000000" w:themeColor="text1"/>
          <w:rtl/>
        </w:rPr>
        <w:t xml:space="preserve">  مقابل حوالي </w:t>
      </w:r>
      <w:proofErr w:type="spellStart"/>
      <w:r w:rsidR="0038244A" w:rsidRPr="00C34EF2">
        <w:rPr>
          <w:rFonts w:ascii="Simplified Arabic" w:hAnsi="Simplified Arabic" w:cs="Simplified Arabic"/>
          <w:color w:val="000000" w:themeColor="text1"/>
          <w:rtl/>
        </w:rPr>
        <w:t>24%</w:t>
      </w:r>
      <w:proofErr w:type="spellEnd"/>
      <w:r w:rsidR="0038244A" w:rsidRPr="00C34EF2">
        <w:rPr>
          <w:rFonts w:ascii="Simplified Arabic" w:hAnsi="Simplified Arabic" w:cs="Simplified Arabic"/>
          <w:color w:val="000000" w:themeColor="text1"/>
          <w:rtl/>
        </w:rPr>
        <w:t xml:space="preserve"> بين غير </w:t>
      </w:r>
      <w:proofErr w:type="spellStart"/>
      <w:r w:rsidR="0038244A" w:rsidRPr="00C34EF2">
        <w:rPr>
          <w:rFonts w:ascii="Simplified Arabic" w:hAnsi="Simplified Arabic" w:cs="Simplified Arabic"/>
          <w:color w:val="000000" w:themeColor="text1"/>
          <w:rtl/>
        </w:rPr>
        <w:t>اللاجئين</w:t>
      </w:r>
      <w:r w:rsidR="00523905" w:rsidRPr="00C34EF2">
        <w:rPr>
          <w:rFonts w:ascii="Simplified Arabic" w:hAnsi="Simplified Arabic" w:cs="Simplified Arabic"/>
          <w:color w:val="000000" w:themeColor="text1"/>
          <w:rtl/>
        </w:rPr>
        <w:t>،</w:t>
      </w:r>
      <w:proofErr w:type="spellEnd"/>
      <w:r w:rsidR="00523905"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="00523905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ويعزى هذا الفرق </w:t>
      </w:r>
      <w:r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الى </w:t>
      </w:r>
      <w:r w:rsidR="00523905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ارتفاع معدلات البطالة في قطاع غزة</w:t>
      </w:r>
      <w:r w:rsidR="009849DA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.</w:t>
      </w:r>
      <w:r w:rsidR="000776EB" w:rsidRPr="00C34EF2">
        <w:rPr>
          <w:rFonts w:ascii="Simplified Arabic" w:hAnsi="Simplified Arabic" w:cs="Simplified Arabic"/>
          <w:color w:val="000000" w:themeColor="text1"/>
          <w:rtl/>
        </w:rPr>
        <w:t xml:space="preserve"> اذ بلغ معدل البطالة بين اللاجئين الفلسطينيين في الضفة الغربية حوالي </w:t>
      </w:r>
      <w:proofErr w:type="spellStart"/>
      <w:r w:rsidR="000776EB" w:rsidRPr="00C34EF2">
        <w:rPr>
          <w:rFonts w:ascii="Simplified Arabic" w:hAnsi="Simplified Arabic" w:cs="Simplified Arabic"/>
          <w:color w:val="000000" w:themeColor="text1"/>
          <w:rtl/>
        </w:rPr>
        <w:t>19%</w:t>
      </w:r>
      <w:proofErr w:type="spellEnd"/>
      <w:r w:rsidR="000776EB" w:rsidRPr="00C34EF2">
        <w:rPr>
          <w:rFonts w:ascii="Simplified Arabic" w:hAnsi="Simplified Arabic" w:cs="Simplified Arabic"/>
          <w:color w:val="000000" w:themeColor="text1"/>
          <w:rtl/>
        </w:rPr>
        <w:t xml:space="preserve"> مقابل حوالي </w:t>
      </w:r>
      <w:proofErr w:type="spellStart"/>
      <w:r w:rsidR="000776EB" w:rsidRPr="00C34EF2">
        <w:rPr>
          <w:rFonts w:ascii="Simplified Arabic" w:hAnsi="Simplified Arabic" w:cs="Simplified Arabic"/>
          <w:color w:val="000000" w:themeColor="text1"/>
          <w:rtl/>
        </w:rPr>
        <w:t>54%</w:t>
      </w:r>
      <w:proofErr w:type="spellEnd"/>
      <w:r w:rsidR="000776EB" w:rsidRPr="00C34EF2">
        <w:rPr>
          <w:rFonts w:ascii="Simplified Arabic" w:hAnsi="Simplified Arabic" w:cs="Simplified Arabic"/>
          <w:color w:val="000000" w:themeColor="text1"/>
          <w:rtl/>
        </w:rPr>
        <w:t xml:space="preserve"> للاجئين قطاع غزة. </w:t>
      </w:r>
    </w:p>
    <w:p w:rsidR="00C02720" w:rsidRPr="00C34EF2" w:rsidRDefault="00C02720" w:rsidP="007C20D7">
      <w:pPr>
        <w:jc w:val="lowKashida"/>
        <w:rPr>
          <w:rFonts w:cs="Simplified Arabic"/>
          <w:color w:val="C00000"/>
          <w:sz w:val="16"/>
          <w:szCs w:val="16"/>
          <w:rtl/>
        </w:rPr>
      </w:pPr>
    </w:p>
    <w:p w:rsidR="0038244A" w:rsidRPr="00C34EF2" w:rsidRDefault="0038244A" w:rsidP="006F3D08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ثلث اللاجئ</w:t>
      </w:r>
      <w:r w:rsidR="006F3D08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ون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يعملون كمتخصصين وفنيين  </w:t>
      </w:r>
    </w:p>
    <w:p w:rsidR="0038244A" w:rsidRPr="00C34EF2" w:rsidRDefault="0038244A" w:rsidP="0038244A">
      <w:pPr>
        <w:pStyle w:val="BodyTextIndent"/>
        <w:ind w:left="0"/>
        <w:jc w:val="lowKashida"/>
        <w:rPr>
          <w:rFonts w:ascii="Simplified Arabic" w:hAnsi="Simplified Arabic" w:cs="Simplified Arabic"/>
          <w:rtl/>
        </w:rPr>
      </w:pPr>
      <w:r w:rsidRPr="00C34EF2">
        <w:rPr>
          <w:rFonts w:ascii="Simplified Arabic" w:hAnsi="Simplified Arabic" w:cs="Simplified Arabic"/>
          <w:rtl/>
        </w:rPr>
        <w:t xml:space="preserve">خلال العام </w:t>
      </w:r>
      <w:r w:rsidRPr="00C34EF2">
        <w:rPr>
          <w:rFonts w:ascii="Simplified Arabic" w:hAnsi="Simplified Arabic" w:cs="Simplified Arabic"/>
        </w:rPr>
        <w:t>2018</w:t>
      </w:r>
      <w:proofErr w:type="spellStart"/>
      <w:r w:rsidRPr="00C34EF2">
        <w:rPr>
          <w:rFonts w:ascii="Simplified Arabic" w:hAnsi="Simplified Arabic" w:cs="Simplified Arabic"/>
          <w:rtl/>
        </w:rPr>
        <w:t>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تعتبر مهنة "الفنيون والمتخصصون والمساعدون </w:t>
      </w:r>
      <w:proofErr w:type="spellStart"/>
      <w:r w:rsidRPr="00C34EF2">
        <w:rPr>
          <w:rFonts w:ascii="Simplified Arabic" w:hAnsi="Simplified Arabic" w:cs="Simplified Arabic"/>
          <w:rtl/>
        </w:rPr>
        <w:t>والكتبة"،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المهنة الاكثر استيعاباً للاجئين حيث بلغت نسبة العاملين فيها من بين اللاجئين العاملين حوالي </w:t>
      </w:r>
      <w:proofErr w:type="spellStart"/>
      <w:r w:rsidRPr="00C34EF2">
        <w:rPr>
          <w:rFonts w:ascii="Simplified Arabic" w:hAnsi="Simplified Arabic" w:cs="Simplified Arabic"/>
          <w:rtl/>
        </w:rPr>
        <w:t>35%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مقابل </w:t>
      </w:r>
      <w:r w:rsidRPr="00C34EF2">
        <w:rPr>
          <w:rFonts w:ascii="Simplified Arabic" w:hAnsi="Simplified Arabic" w:cs="Simplified Arabic"/>
        </w:rPr>
        <w:t>23</w:t>
      </w:r>
      <w:proofErr w:type="spellStart"/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بين العاملين  غير اللاجئين.  كما شكلت مهنة المشرعون وموظفو إدارة العليا النسبة الأدنى لكل من اللاجئين وغير اللاجئين على حد </w:t>
      </w:r>
      <w:proofErr w:type="spellStart"/>
      <w:r w:rsidRPr="00C34EF2">
        <w:rPr>
          <w:rFonts w:ascii="Simplified Arabic" w:hAnsi="Simplified Arabic" w:cs="Simplified Arabic"/>
          <w:rtl/>
        </w:rPr>
        <w:t>سواء،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بنسبة </w:t>
      </w:r>
      <w:r w:rsidRPr="00C34EF2">
        <w:rPr>
          <w:rFonts w:ascii="Simplified Arabic" w:hAnsi="Simplified Arabic" w:cs="Simplified Arabic"/>
        </w:rPr>
        <w:t>3</w:t>
      </w:r>
      <w:proofErr w:type="spellStart"/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بين اللاجئين العاملين مقابل حوالي </w:t>
      </w:r>
      <w:proofErr w:type="spellStart"/>
      <w:r w:rsidRPr="00C34EF2">
        <w:rPr>
          <w:rFonts w:ascii="Simplified Arabic" w:hAnsi="Simplified Arabic" w:cs="Simplified Arabic"/>
          <w:rtl/>
        </w:rPr>
        <w:t>4%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لغير اللاجئين العاملين.</w:t>
      </w:r>
    </w:p>
    <w:p w:rsidR="00097E4C" w:rsidRPr="0039396F" w:rsidRDefault="00097E4C" w:rsidP="00097E4C">
      <w:pPr>
        <w:pStyle w:val="BodyTextIndent"/>
        <w:ind w:left="0"/>
        <w:jc w:val="lowKashida"/>
        <w:rPr>
          <w:rFonts w:cs="Simplified Arabic"/>
          <w:sz w:val="16"/>
          <w:szCs w:val="16"/>
          <w:rtl/>
        </w:rPr>
      </w:pPr>
    </w:p>
    <w:p w:rsidR="00720D00" w:rsidRPr="00C34EF2" w:rsidRDefault="00C02720" w:rsidP="009849DA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نسبة الحاصلين على درجة بكالوريوس فأعلى </w:t>
      </w:r>
      <w:r w:rsidR="006F3D08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من ال</w:t>
      </w:r>
      <w:r w:rsidR="009849D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لاجئين </w:t>
      </w:r>
      <w:r w:rsidR="006F3D08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أ</w:t>
      </w:r>
      <w:r w:rsidR="009849DA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على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6F3D08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مما هي عليه ل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غير اللاجئين</w:t>
      </w:r>
    </w:p>
    <w:p w:rsidR="003C449D" w:rsidRDefault="00904CFA" w:rsidP="00C34EF2">
      <w:pPr>
        <w:pStyle w:val="BodyTextIndent"/>
        <w:ind w:left="0"/>
        <w:jc w:val="lowKashida"/>
        <w:rPr>
          <w:rFonts w:ascii="Simplified Arabic" w:hAnsi="Simplified Arabic" w:cs="Simplified Arabic" w:hint="cs"/>
          <w:color w:val="000000" w:themeColor="text1"/>
          <w:rtl/>
        </w:rPr>
      </w:pP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استناداً الى بيانات مسح القوى العاملة لعام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2018،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بلغ</w:t>
      </w:r>
      <w:r w:rsidR="00C02720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معدل </w:t>
      </w:r>
      <w:r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الأمية </w:t>
      </w:r>
      <w:r w:rsidR="0086011D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بين اللاجئين الفلسطينيين </w:t>
      </w:r>
      <w:r w:rsidR="00CC5347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(</w:t>
      </w:r>
      <w:r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15 سنة فأكثر</w:t>
      </w:r>
      <w:proofErr w:type="spellStart"/>
      <w:r w:rsidR="00CC5347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)</w:t>
      </w:r>
      <w:proofErr w:type="spellEnd"/>
      <w:r w:rsidR="00CC5347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proofErr w:type="spellStart"/>
      <w:r w:rsidR="0086011D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2.5%</w:t>
      </w:r>
      <w:proofErr w:type="spellEnd"/>
      <w:r w:rsidR="0086011D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في حين بلغت لغير اللاجئين </w:t>
      </w:r>
      <w:proofErr w:type="spellStart"/>
      <w:r w:rsidR="00E12809"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3.0</w:t>
      </w:r>
      <w:r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>%،</w:t>
      </w:r>
      <w:proofErr w:type="spellEnd"/>
      <w:r w:rsidRPr="00C34EF2"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كما بلغت نسبة اللاجئين الفلسطينيين </w:t>
      </w:r>
      <w:r w:rsidR="003C449D" w:rsidRPr="00C34EF2">
        <w:rPr>
          <w:rFonts w:ascii="Simplified Arabic" w:hAnsi="Simplified Arabic" w:cs="Simplified Arabic"/>
          <w:color w:val="000000" w:themeColor="text1"/>
          <w:rtl/>
        </w:rPr>
        <w:t xml:space="preserve">   </w:t>
      </w:r>
      <w:r w:rsidR="00CC5347" w:rsidRPr="00C34EF2">
        <w:rPr>
          <w:rFonts w:ascii="Simplified Arabic" w:hAnsi="Simplified Arabic" w:cs="Simplified Arabic"/>
          <w:color w:val="000000" w:themeColor="text1"/>
          <w:rtl/>
        </w:rPr>
        <w:t>(15 سنة</w:t>
      </w:r>
      <w:r w:rsidR="00CC5347" w:rsidRPr="003C449D">
        <w:rPr>
          <w:rFonts w:cs="Simplified Arabic"/>
          <w:color w:val="000000" w:themeColor="text1"/>
          <w:sz w:val="21"/>
          <w:szCs w:val="21"/>
          <w:rtl/>
        </w:rPr>
        <w:t xml:space="preserve"> </w:t>
      </w:r>
      <w:r w:rsidR="00CC5347" w:rsidRPr="00C34EF2">
        <w:rPr>
          <w:rFonts w:ascii="Simplified Arabic" w:hAnsi="Simplified Arabic" w:cs="Simplified Arabic"/>
          <w:color w:val="000000" w:themeColor="text1"/>
          <w:rtl/>
        </w:rPr>
        <w:t>فأكثر</w:t>
      </w:r>
      <w:proofErr w:type="spellStart"/>
      <w:r w:rsidR="00CC5347" w:rsidRPr="00C34EF2">
        <w:rPr>
          <w:rFonts w:ascii="Simplified Arabic" w:hAnsi="Simplified Arabic" w:cs="Simplified Arabic"/>
          <w:color w:val="000000" w:themeColor="text1"/>
          <w:rtl/>
        </w:rPr>
        <w:t>)</w:t>
      </w:r>
      <w:proofErr w:type="spellEnd"/>
      <w:r w:rsidR="00CC5347"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الحاصلين على درجة البكالوريوس فأعلى حوالي 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16%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من مجمل اللاجئين 15 سنة فأكثر في حين بلغت لغير اللاجئين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14%.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</w:t>
      </w:r>
    </w:p>
    <w:p w:rsidR="0039396F" w:rsidRDefault="0039396F" w:rsidP="00C34EF2">
      <w:pPr>
        <w:pStyle w:val="BodyTextIndent"/>
        <w:ind w:left="0"/>
        <w:jc w:val="lowKashida"/>
        <w:rPr>
          <w:rFonts w:ascii="Simplified Arabic" w:hAnsi="Simplified Arabic" w:cs="Simplified Arabic" w:hint="cs"/>
          <w:color w:val="000000" w:themeColor="text1"/>
          <w:rtl/>
        </w:rPr>
      </w:pPr>
    </w:p>
    <w:p w:rsidR="0039396F" w:rsidRDefault="0039396F" w:rsidP="00C34EF2">
      <w:pPr>
        <w:pStyle w:val="BodyTextIndent"/>
        <w:ind w:left="0"/>
        <w:jc w:val="lowKashida"/>
        <w:rPr>
          <w:rFonts w:ascii="Simplified Arabic" w:hAnsi="Simplified Arabic" w:cs="Simplified Arabic" w:hint="cs"/>
          <w:color w:val="000000" w:themeColor="text1"/>
          <w:rtl/>
        </w:rPr>
      </w:pPr>
    </w:p>
    <w:p w:rsidR="0039396F" w:rsidRDefault="0039396F" w:rsidP="00C34EF2">
      <w:pPr>
        <w:pStyle w:val="BodyTextIndent"/>
        <w:ind w:left="0"/>
        <w:jc w:val="lowKashida"/>
        <w:rPr>
          <w:rFonts w:ascii="Simplified Arabic" w:hAnsi="Simplified Arabic" w:cs="Simplified Arabic" w:hint="cs"/>
          <w:color w:val="000000" w:themeColor="text1"/>
          <w:rtl/>
        </w:rPr>
      </w:pPr>
    </w:p>
    <w:p w:rsidR="0039396F" w:rsidRPr="00C34EF2" w:rsidRDefault="0039396F" w:rsidP="00C34EF2">
      <w:pPr>
        <w:pStyle w:val="BodyTextIndent"/>
        <w:ind w:left="0"/>
        <w:jc w:val="lowKashida"/>
        <w:rPr>
          <w:rFonts w:ascii="Simplified Arabic" w:hAnsi="Simplified Arabic" w:cs="Simplified Arabic"/>
          <w:color w:val="000000" w:themeColor="text1"/>
          <w:rtl/>
        </w:rPr>
      </w:pPr>
    </w:p>
    <w:p w:rsidR="004C5B5B" w:rsidRPr="00C34EF2" w:rsidRDefault="004C5B5B" w:rsidP="006F78B0">
      <w:pPr>
        <w:pStyle w:val="Heading3"/>
        <w:jc w:val="both"/>
        <w:rPr>
          <w:rFonts w:ascii="Simplified Arabic" w:hAnsi="Simplified Arabic"/>
          <w:sz w:val="26"/>
          <w:szCs w:val="26"/>
          <w:lang w:eastAsia="en-US"/>
        </w:rPr>
      </w:pPr>
      <w:r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حوالي </w:t>
      </w:r>
      <w:proofErr w:type="spellStart"/>
      <w:r w:rsidRPr="00C34EF2">
        <w:rPr>
          <w:rFonts w:ascii="Simplified Arabic" w:hAnsi="Simplified Arabic"/>
          <w:sz w:val="26"/>
          <w:szCs w:val="26"/>
          <w:rtl/>
          <w:lang w:eastAsia="en-US"/>
        </w:rPr>
        <w:t>86%</w:t>
      </w:r>
      <w:proofErr w:type="spellEnd"/>
      <w:r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 من اللاجئين </w:t>
      </w:r>
      <w:proofErr w:type="spellStart"/>
      <w:r w:rsidRPr="00C34EF2">
        <w:rPr>
          <w:rFonts w:ascii="Simplified Arabic" w:hAnsi="Simplified Arabic"/>
          <w:sz w:val="26"/>
          <w:szCs w:val="26"/>
          <w:rtl/>
          <w:lang w:eastAsia="en-US"/>
        </w:rPr>
        <w:t>الفلسطينين</w:t>
      </w:r>
      <w:proofErr w:type="spellEnd"/>
      <w:r w:rsidRPr="00C34EF2">
        <w:rPr>
          <w:rFonts w:ascii="Simplified Arabic" w:hAnsi="Simplified Arabic"/>
          <w:sz w:val="26"/>
          <w:szCs w:val="26"/>
          <w:rtl/>
          <w:lang w:eastAsia="en-US"/>
        </w:rPr>
        <w:t xml:space="preserve"> 18 سنة فأكثر يمتلكون الهاتف الخلوي أو الهاتف الذكي </w:t>
      </w:r>
    </w:p>
    <w:p w:rsidR="004C5B5B" w:rsidRPr="0039396F" w:rsidRDefault="006F78B0" w:rsidP="0039396F">
      <w:pPr>
        <w:jc w:val="lowKashida"/>
        <w:rPr>
          <w:rFonts w:ascii="Simplified Arabic" w:hAnsi="Simplified Arabic" w:cs="Simplified Arabic"/>
          <w:color w:val="000000" w:themeColor="text1"/>
          <w:rtl/>
        </w:rPr>
      </w:pP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بالاستناد الى بيانات مسح الظروف الاجتماعية والاقتصادية لعام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2018،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فان حوالي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86%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من اللاجئين الفلسطينيين 18 سنة فأكثر</w:t>
      </w:r>
      <w:r w:rsidRPr="00C34EF2">
        <w:rPr>
          <w:rFonts w:ascii="Simplified Arabic" w:hAnsi="Simplified Arabic" w:cs="Simplified Arabic"/>
          <w:color w:val="FF0000"/>
          <w:rtl/>
        </w:rPr>
        <w:t xml:space="preserve"> </w:t>
      </w:r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يمتلكون هاتف خلوي أو هاتف ذكي في فلسطين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،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بواقع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91%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في الضفة الغربية </w:t>
      </w:r>
      <w:proofErr w:type="spellStart"/>
      <w:r w:rsidRPr="00C34EF2">
        <w:rPr>
          <w:rFonts w:ascii="Simplified Arabic" w:hAnsi="Simplified Arabic" w:cs="Simplified Arabic"/>
          <w:color w:val="000000" w:themeColor="text1"/>
          <w:rtl/>
        </w:rPr>
        <w:t>و83%</w:t>
      </w:r>
      <w:proofErr w:type="spellEnd"/>
      <w:r w:rsidRPr="00C34EF2">
        <w:rPr>
          <w:rFonts w:ascii="Simplified Arabic" w:hAnsi="Simplified Arabic" w:cs="Simplified Arabic"/>
          <w:color w:val="000000" w:themeColor="text1"/>
          <w:rtl/>
        </w:rPr>
        <w:t xml:space="preserve"> في قطاع غزة.</w:t>
      </w:r>
    </w:p>
    <w:p w:rsidR="004C5B5B" w:rsidRPr="00C34EF2" w:rsidRDefault="004C5B5B" w:rsidP="00C8105E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نسبة امتلاك واستخدام الهاتف الخلوي أو الذكي بين اللاجئين </w:t>
      </w:r>
      <w:proofErr w:type="spellStart"/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>الفلسطينين</w:t>
      </w:r>
      <w:proofErr w:type="spellEnd"/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18 سنة </w:t>
      </w:r>
      <w:r w:rsidR="00C8105E"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>فأكثر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حسب الجنس لعام 2018</w:t>
      </w:r>
    </w:p>
    <w:tbl>
      <w:tblPr>
        <w:tblStyle w:val="TableGrid"/>
        <w:bidiVisual/>
        <w:tblW w:w="0" w:type="auto"/>
        <w:jc w:val="center"/>
        <w:tblInd w:w="25" w:type="dxa"/>
        <w:tblLook w:val="04A0"/>
      </w:tblPr>
      <w:tblGrid>
        <w:gridCol w:w="4962"/>
      </w:tblGrid>
      <w:tr w:rsidR="00F442DE" w:rsidRPr="006C19EA" w:rsidTr="0039396F">
        <w:trPr>
          <w:jc w:val="center"/>
        </w:trPr>
        <w:tc>
          <w:tcPr>
            <w:tcW w:w="4962" w:type="dxa"/>
          </w:tcPr>
          <w:p w:rsidR="00F442DE" w:rsidRPr="006C19EA" w:rsidRDefault="00F442DE" w:rsidP="0039396F">
            <w:pPr>
              <w:jc w:val="center"/>
              <w:rPr>
                <w:rFonts w:cs="Simplified Arabic"/>
                <w:rtl/>
              </w:rPr>
            </w:pPr>
            <w:r w:rsidRPr="006C19EA">
              <w:rPr>
                <w:rFonts w:cs="Simplified Arabic" w:hint="cs"/>
                <w:noProof/>
                <w:rtl/>
                <w:lang w:eastAsia="en-US"/>
              </w:rPr>
              <w:drawing>
                <wp:inline distT="0" distB="0" distL="0" distR="0">
                  <wp:extent cx="2838450" cy="2009775"/>
                  <wp:effectExtent l="0" t="0" r="0" b="0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9003E6" w:rsidRPr="00C34EF2" w:rsidRDefault="009003E6" w:rsidP="0039396F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</w:pPr>
      <w:proofErr w:type="spellStart"/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>المصدر:</w:t>
      </w:r>
      <w:proofErr w:type="spellEnd"/>
      <w:r w:rsidRPr="00C34EF2">
        <w:rPr>
          <w:rFonts w:ascii="Simplified Arabic" w:hAnsi="Simplified Arabic" w:cs="Simplified Arabic"/>
          <w:b/>
          <w:bCs/>
          <w:sz w:val="20"/>
          <w:szCs w:val="20"/>
          <w:lang w:eastAsia="en-US"/>
        </w:rPr>
        <w:t xml:space="preserve"> </w:t>
      </w:r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 xml:space="preserve">الجهاز المركزي للإحصاء الفلسطيني، </w:t>
      </w:r>
      <w:r w:rsidRPr="00C34EF2">
        <w:rPr>
          <w:rFonts w:ascii="Simplified Arabic" w:hAnsi="Simplified Arabic" w:cs="Simplified Arabic"/>
          <w:b/>
          <w:bCs/>
          <w:sz w:val="20"/>
          <w:szCs w:val="20"/>
          <w:lang w:eastAsia="en-US"/>
        </w:rPr>
        <w:t>2019</w:t>
      </w:r>
      <w:r w:rsidRPr="00C34EF2"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  <w:t>.</w:t>
      </w:r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 xml:space="preserve"> قاعدة بيانات مسح الظروف الاجتماعية والاقتصادية لعام 2018. رام </w:t>
      </w:r>
      <w:proofErr w:type="spellStart"/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>الله-</w:t>
      </w:r>
      <w:proofErr w:type="spellEnd"/>
      <w:r w:rsidRPr="00C34EF2">
        <w:rPr>
          <w:rFonts w:ascii="Simplified Arabic" w:hAnsi="Simplified Arabic" w:cs="Simplified Arabic" w:hint="cs"/>
          <w:b/>
          <w:bCs/>
          <w:sz w:val="20"/>
          <w:szCs w:val="20"/>
          <w:rtl/>
          <w:lang w:eastAsia="en-US"/>
        </w:rPr>
        <w:t xml:space="preserve"> فلسطين.</w:t>
      </w:r>
    </w:p>
    <w:p w:rsidR="004C5B5B" w:rsidRPr="00C34EF2" w:rsidRDefault="004C5B5B" w:rsidP="00F442DE">
      <w:pPr>
        <w:jc w:val="lowKashida"/>
        <w:rPr>
          <w:b/>
          <w:bCs/>
          <w:sz w:val="16"/>
          <w:szCs w:val="16"/>
          <w:lang w:eastAsia="en-US"/>
        </w:rPr>
      </w:pPr>
    </w:p>
    <w:p w:rsidR="00167681" w:rsidRPr="00C34EF2" w:rsidRDefault="00167681" w:rsidP="00C34EF2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>أوضاع اللاجئين</w:t>
      </w:r>
      <w:r w:rsidR="00F34CCC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الفلسطينيين</w:t>
      </w:r>
      <w:r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في الشتات</w:t>
      </w:r>
      <w:r w:rsidR="00024A04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  <w:r w:rsidR="00C124F6" w:rsidRPr="00C34EF2">
        <w:rPr>
          <w:rFonts w:ascii="Simplified Arabic" w:hAnsi="Simplified Arabic" w:cs="Simplified Arabic"/>
          <w:b/>
          <w:bCs/>
          <w:sz w:val="26"/>
          <w:szCs w:val="26"/>
          <w:rtl/>
          <w:lang w:eastAsia="en-US"/>
        </w:rPr>
        <w:t xml:space="preserve"> </w:t>
      </w:r>
    </w:p>
    <w:p w:rsidR="00167681" w:rsidRPr="006C19EA" w:rsidRDefault="00167681" w:rsidP="00167681">
      <w:pPr>
        <w:rPr>
          <w:sz w:val="8"/>
          <w:szCs w:val="8"/>
          <w:rtl/>
          <w:lang w:eastAsia="en-US"/>
        </w:rPr>
      </w:pPr>
    </w:p>
    <w:p w:rsidR="00167681" w:rsidRPr="00C34EF2" w:rsidRDefault="009403EC" w:rsidP="00167681">
      <w:pPr>
        <w:ind w:left="-2"/>
        <w:jc w:val="lowKashida"/>
        <w:rPr>
          <w:rFonts w:ascii="Simplified Arabic" w:hAnsi="Simplified Arabic" w:cs="Simplified Arabic"/>
          <w:b/>
          <w:bCs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rtl/>
          <w:lang w:eastAsia="en-US"/>
        </w:rPr>
        <w:t>الفلسطينيون</w:t>
      </w:r>
      <w:r w:rsidR="00167681" w:rsidRPr="00C34EF2">
        <w:rPr>
          <w:rFonts w:ascii="Simplified Arabic" w:hAnsi="Simplified Arabic" w:cs="Simplified Arabic"/>
          <w:b/>
          <w:bCs/>
          <w:rtl/>
          <w:lang w:eastAsia="en-US"/>
        </w:rPr>
        <w:t xml:space="preserve"> في الأردن</w:t>
      </w:r>
    </w:p>
    <w:p w:rsidR="00167681" w:rsidRPr="00C34EF2" w:rsidRDefault="00167681" w:rsidP="00D31F3B">
      <w:pPr>
        <w:jc w:val="lowKashida"/>
        <w:rPr>
          <w:rFonts w:ascii="Simplified Arabic" w:hAnsi="Simplified Arabic" w:cs="Simplified Arabic"/>
          <w:rtl/>
        </w:rPr>
      </w:pPr>
      <w:r w:rsidRPr="00C34EF2">
        <w:rPr>
          <w:rFonts w:ascii="Simplified Arabic" w:hAnsi="Simplified Arabic" w:cs="Simplified Arabic"/>
          <w:rtl/>
        </w:rPr>
        <w:t xml:space="preserve">في دراسة أعدت من مؤسسة </w:t>
      </w:r>
      <w:proofErr w:type="spellStart"/>
      <w:r w:rsidRPr="00C34EF2">
        <w:rPr>
          <w:rFonts w:ascii="Simplified Arabic" w:hAnsi="Simplified Arabic" w:cs="Simplified Arabic"/>
          <w:rtl/>
        </w:rPr>
        <w:t>(</w:t>
      </w:r>
      <w:proofErr w:type="spellEnd"/>
      <w:r w:rsidRPr="00C34EF2">
        <w:rPr>
          <w:rFonts w:ascii="Simplified Arabic" w:hAnsi="Simplified Arabic" w:cs="Simplified Arabic"/>
        </w:rPr>
        <w:t>FAFO</w:t>
      </w:r>
      <w:proofErr w:type="spellStart"/>
      <w:r w:rsidRPr="00C34EF2">
        <w:rPr>
          <w:rFonts w:ascii="Simplified Arabic" w:hAnsi="Simplified Arabic" w:cs="Simplified Arabic"/>
          <w:rtl/>
        </w:rPr>
        <w:t>)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حول الأوضاع المعيشية في المخيمات الفلسطينية في الاردن لعام 2011 أظهرت الدراسة أن </w:t>
      </w:r>
      <w:r w:rsidR="00D31F3B" w:rsidRPr="00C34EF2">
        <w:rPr>
          <w:rFonts w:ascii="Simplified Arabic" w:hAnsi="Simplified Arabic" w:cs="Simplified Arabic"/>
          <w:rtl/>
        </w:rPr>
        <w:t xml:space="preserve">حوالي </w:t>
      </w:r>
      <w:proofErr w:type="spellStart"/>
      <w:r w:rsidR="00D31F3B" w:rsidRPr="00C34EF2">
        <w:rPr>
          <w:rFonts w:ascii="Simplified Arabic" w:hAnsi="Simplified Arabic" w:cs="Simplified Arabic"/>
          <w:rtl/>
        </w:rPr>
        <w:t>40</w:t>
      </w:r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من سكان المخيمات دون سن 15 سنة من </w:t>
      </w:r>
      <w:proofErr w:type="spellStart"/>
      <w:r w:rsidRPr="00C34EF2">
        <w:rPr>
          <w:rFonts w:ascii="Simplified Arabic" w:hAnsi="Simplified Arabic" w:cs="Simplified Arabic"/>
          <w:rtl/>
        </w:rPr>
        <w:t>العمر</w:t>
      </w:r>
      <w:r w:rsidR="00A16964" w:rsidRPr="00C34EF2">
        <w:rPr>
          <w:rFonts w:ascii="Simplified Arabic" w:hAnsi="Simplified Arabic" w:cs="Simplified Arabic"/>
          <w:rtl/>
        </w:rPr>
        <w:t>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في حين بلغت نسبة الأفراد 65 سنة فأكثر</w:t>
      </w:r>
      <w:r w:rsidR="00D31F3B" w:rsidRPr="00C34EF2">
        <w:rPr>
          <w:rFonts w:ascii="Simplified Arabic" w:hAnsi="Simplified Arabic" w:cs="Simplified Arabic"/>
          <w:rtl/>
        </w:rPr>
        <w:t xml:space="preserve"> حوالي</w:t>
      </w:r>
      <w:r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Pr="00C34EF2">
        <w:rPr>
          <w:rFonts w:ascii="Simplified Arabic" w:hAnsi="Simplified Arabic" w:cs="Simplified Arabic"/>
          <w:rtl/>
        </w:rPr>
        <w:t>4%،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كما بلغ متوسط حجم الأسرة في المخيمات 5.1 </w:t>
      </w:r>
      <w:proofErr w:type="spellStart"/>
      <w:r w:rsidRPr="00C34EF2">
        <w:rPr>
          <w:rFonts w:ascii="Simplified Arabic" w:hAnsi="Simplified Arabic" w:cs="Simplified Arabic"/>
          <w:rtl/>
        </w:rPr>
        <w:t>فرداً،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</w:t>
      </w:r>
      <w:r w:rsidR="00F34CCC" w:rsidRPr="00C34EF2">
        <w:rPr>
          <w:rFonts w:ascii="Simplified Arabic" w:hAnsi="Simplified Arabic" w:cs="Simplified Arabic"/>
          <w:rtl/>
        </w:rPr>
        <w:t>و</w:t>
      </w:r>
      <w:r w:rsidRPr="00C34EF2">
        <w:rPr>
          <w:rFonts w:ascii="Simplified Arabic" w:hAnsi="Simplified Arabic" w:cs="Simplified Arabic"/>
          <w:rtl/>
        </w:rPr>
        <w:t>بلغت نسبة الامية</w:t>
      </w:r>
      <w:r w:rsidR="00A16964" w:rsidRPr="00C34EF2">
        <w:rPr>
          <w:rFonts w:ascii="Simplified Arabic" w:hAnsi="Simplified Arabic" w:cs="Simplified Arabic"/>
          <w:rtl/>
        </w:rPr>
        <w:t xml:space="preserve"> بين الافراد 15 سنة </w:t>
      </w:r>
      <w:proofErr w:type="spellStart"/>
      <w:r w:rsidR="00A16964" w:rsidRPr="00C34EF2">
        <w:rPr>
          <w:rFonts w:ascii="Simplified Arabic" w:hAnsi="Simplified Arabic" w:cs="Simplified Arabic"/>
          <w:rtl/>
        </w:rPr>
        <w:t>فاكثر</w:t>
      </w:r>
      <w:proofErr w:type="spellEnd"/>
      <w:r w:rsidR="00A16964"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="00A16964" w:rsidRPr="00C34EF2">
        <w:rPr>
          <w:rFonts w:ascii="Simplified Arabic" w:hAnsi="Simplified Arabic" w:cs="Simplified Arabic"/>
          <w:rtl/>
        </w:rPr>
        <w:t>8.6%.</w:t>
      </w:r>
      <w:proofErr w:type="spellEnd"/>
    </w:p>
    <w:p w:rsidR="003A3589" w:rsidRDefault="003A3589" w:rsidP="00167681">
      <w:pPr>
        <w:jc w:val="lowKashida"/>
        <w:rPr>
          <w:rFonts w:cs="Simplified Arabic" w:hint="cs"/>
          <w:sz w:val="16"/>
          <w:szCs w:val="16"/>
          <w:rtl/>
        </w:rPr>
      </w:pPr>
    </w:p>
    <w:p w:rsidR="00167681" w:rsidRPr="00C34EF2" w:rsidRDefault="00167681" w:rsidP="00167681">
      <w:pPr>
        <w:ind w:left="-2"/>
        <w:jc w:val="lowKashida"/>
        <w:rPr>
          <w:rFonts w:ascii="Simplified Arabic" w:hAnsi="Simplified Arabic" w:cs="Simplified Arabic"/>
          <w:b/>
          <w:bCs/>
          <w:rtl/>
          <w:lang w:eastAsia="en-US"/>
        </w:rPr>
      </w:pPr>
      <w:r w:rsidRPr="00C34EF2">
        <w:rPr>
          <w:rFonts w:ascii="Simplified Arabic" w:hAnsi="Simplified Arabic" w:cs="Simplified Arabic"/>
          <w:b/>
          <w:bCs/>
          <w:rtl/>
          <w:lang w:eastAsia="en-US"/>
        </w:rPr>
        <w:t>الفلسطينيون في لبنان</w:t>
      </w:r>
    </w:p>
    <w:p w:rsidR="00C30CD6" w:rsidRPr="00C34EF2" w:rsidRDefault="00C30CD6" w:rsidP="00D31F3B">
      <w:pPr>
        <w:autoSpaceDE w:val="0"/>
        <w:autoSpaceDN w:val="0"/>
        <w:adjustRightInd w:val="0"/>
        <w:jc w:val="both"/>
        <w:textAlignment w:val="center"/>
        <w:rPr>
          <w:rFonts w:ascii="Simplified Arabic" w:hAnsi="Simplified Arabic" w:cs="Simplified Arabic"/>
          <w:rtl/>
        </w:rPr>
      </w:pPr>
      <w:r w:rsidRPr="00C34EF2">
        <w:rPr>
          <w:rFonts w:ascii="Simplified Arabic" w:hAnsi="Simplified Arabic" w:cs="Simplified Arabic"/>
          <w:rtl/>
        </w:rPr>
        <w:t xml:space="preserve">أظهرت نتائج التعداد العام للاجئين الفلسطينيين في المخيمات والتجمعات الفلسطينية في لبنان لعام </w:t>
      </w:r>
      <w:proofErr w:type="spellStart"/>
      <w:r w:rsidRPr="00C34EF2">
        <w:rPr>
          <w:rFonts w:ascii="Simplified Arabic" w:hAnsi="Simplified Arabic" w:cs="Simplified Arabic"/>
          <w:rtl/>
        </w:rPr>
        <w:t>2017،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أن اللاجئين الفلسطينيين في لبنان يتمركزون في منطقة صيدا بواقع </w:t>
      </w:r>
      <w:proofErr w:type="spellStart"/>
      <w:r w:rsidR="00D31F3B" w:rsidRPr="00C34EF2">
        <w:rPr>
          <w:rFonts w:ascii="Simplified Arabic" w:hAnsi="Simplified Arabic" w:cs="Simplified Arabic"/>
          <w:rtl/>
        </w:rPr>
        <w:t>36</w:t>
      </w:r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ثم منطقة الشمال بواقع </w:t>
      </w:r>
      <w:proofErr w:type="spellStart"/>
      <w:r w:rsidRPr="00C34EF2">
        <w:rPr>
          <w:rFonts w:ascii="Simplified Arabic" w:hAnsi="Simplified Arabic" w:cs="Simplified Arabic"/>
          <w:rtl/>
        </w:rPr>
        <w:t>25%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بينما بلغت نسبتهم في منطقة صو</w:t>
      </w:r>
      <w:r w:rsidR="00794AAA" w:rsidRPr="00C34EF2">
        <w:rPr>
          <w:rFonts w:ascii="Simplified Arabic" w:hAnsi="Simplified Arabic" w:cs="Simplified Arabic"/>
          <w:rtl/>
        </w:rPr>
        <w:t xml:space="preserve">ر </w:t>
      </w:r>
      <w:r w:rsidR="00D31F3B" w:rsidRPr="00C34EF2">
        <w:rPr>
          <w:rFonts w:ascii="Simplified Arabic" w:hAnsi="Simplified Arabic" w:cs="Simplified Arabic"/>
          <w:rtl/>
        </w:rPr>
        <w:t xml:space="preserve">حوالي </w:t>
      </w:r>
      <w:proofErr w:type="spellStart"/>
      <w:r w:rsidR="00D31F3B" w:rsidRPr="00C34EF2">
        <w:rPr>
          <w:rFonts w:ascii="Simplified Arabic" w:hAnsi="Simplified Arabic" w:cs="Simplified Arabic"/>
          <w:rtl/>
        </w:rPr>
        <w:t>15</w:t>
      </w:r>
      <w:r w:rsidR="00794AAA" w:rsidRPr="00C34EF2">
        <w:rPr>
          <w:rFonts w:ascii="Simplified Arabic" w:hAnsi="Simplified Arabic" w:cs="Simplified Arabic"/>
          <w:rtl/>
        </w:rPr>
        <w:t>%</w:t>
      </w:r>
      <w:proofErr w:type="spellEnd"/>
      <w:r w:rsidR="00794AAA" w:rsidRPr="00C34EF2">
        <w:rPr>
          <w:rFonts w:ascii="Simplified Arabic" w:hAnsi="Simplified Arabic" w:cs="Simplified Arabic"/>
          <w:rtl/>
        </w:rPr>
        <w:t xml:space="preserve"> ثم في بيروت بواقع </w:t>
      </w:r>
      <w:proofErr w:type="spellStart"/>
      <w:r w:rsidR="00794AAA" w:rsidRPr="00C34EF2">
        <w:rPr>
          <w:rFonts w:ascii="Simplified Arabic" w:hAnsi="Simplified Arabic" w:cs="Simplified Arabic"/>
          <w:rtl/>
        </w:rPr>
        <w:t>13%</w:t>
      </w:r>
      <w:r w:rsidRPr="00C34EF2">
        <w:rPr>
          <w:rFonts w:ascii="Simplified Arabic" w:hAnsi="Simplified Arabic" w:cs="Simplified Arabic"/>
          <w:rtl/>
        </w:rPr>
        <w:t>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كما بلغت هذه النسبة في منطقة</w:t>
      </w:r>
      <w:r w:rsidR="00794AAA"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="00794AAA" w:rsidRPr="00C34EF2">
        <w:rPr>
          <w:rFonts w:ascii="Simplified Arabic" w:hAnsi="Simplified Arabic" w:cs="Simplified Arabic"/>
          <w:rtl/>
        </w:rPr>
        <w:t>الشوف</w:t>
      </w:r>
      <w:proofErr w:type="spellEnd"/>
      <w:r w:rsidR="00794AAA"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="00794AAA" w:rsidRPr="00C34EF2">
        <w:rPr>
          <w:rFonts w:ascii="Simplified Arabic" w:hAnsi="Simplified Arabic" w:cs="Simplified Arabic"/>
          <w:rtl/>
        </w:rPr>
        <w:t>7%</w:t>
      </w:r>
      <w:proofErr w:type="spellEnd"/>
      <w:r w:rsidR="00794AAA" w:rsidRPr="00C34EF2">
        <w:rPr>
          <w:rFonts w:ascii="Simplified Arabic" w:hAnsi="Simplified Arabic" w:cs="Simplified Arabic"/>
          <w:rtl/>
        </w:rPr>
        <w:t xml:space="preserve"> ثم منطقة البقاع بواقع </w:t>
      </w:r>
      <w:proofErr w:type="spellStart"/>
      <w:r w:rsidR="00794AAA" w:rsidRPr="00C34EF2">
        <w:rPr>
          <w:rFonts w:ascii="Simplified Arabic" w:hAnsi="Simplified Arabic" w:cs="Simplified Arabic"/>
          <w:rtl/>
        </w:rPr>
        <w:t>4%</w:t>
      </w:r>
      <w:r w:rsidRPr="00C34EF2">
        <w:rPr>
          <w:rFonts w:ascii="Simplified Arabic" w:hAnsi="Simplified Arabic" w:cs="Simplified Arabic"/>
          <w:rtl/>
        </w:rPr>
        <w:t>.</w:t>
      </w:r>
      <w:proofErr w:type="spellEnd"/>
      <w:r w:rsidRPr="006C19EA">
        <w:rPr>
          <w:rFonts w:cs="Simplified Arabic" w:hint="cs"/>
          <w:sz w:val="21"/>
          <w:szCs w:val="21"/>
          <w:rtl/>
        </w:rPr>
        <w:t xml:space="preserve"> </w:t>
      </w:r>
      <w:r w:rsidRPr="00C34EF2">
        <w:rPr>
          <w:rFonts w:ascii="Simplified Arabic" w:hAnsi="Simplified Arabic" w:cs="Simplified Arabic"/>
          <w:rtl/>
        </w:rPr>
        <w:t xml:space="preserve">وأشارت النتائج الى أن حوالي </w:t>
      </w:r>
      <w:proofErr w:type="spellStart"/>
      <w:r w:rsidR="00D31F3B" w:rsidRPr="00C34EF2">
        <w:rPr>
          <w:rFonts w:ascii="Simplified Arabic" w:hAnsi="Simplified Arabic" w:cs="Simplified Arabic"/>
          <w:rtl/>
        </w:rPr>
        <w:t>5</w:t>
      </w:r>
      <w:r w:rsidRPr="00C34EF2">
        <w:rPr>
          <w:rFonts w:ascii="Simplified Arabic" w:hAnsi="Simplified Arabic" w:cs="Simplified Arabic"/>
          <w:rtl/>
        </w:rPr>
        <w:t>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من اللاجئين الفلسطينيين يملكون جنسية غير الجنسية الفلسطينية. </w:t>
      </w:r>
    </w:p>
    <w:p w:rsidR="00C30CD6" w:rsidRPr="0039396F" w:rsidRDefault="00C30CD6" w:rsidP="00C30CD6">
      <w:pPr>
        <w:autoSpaceDE w:val="0"/>
        <w:autoSpaceDN w:val="0"/>
        <w:adjustRightInd w:val="0"/>
        <w:jc w:val="both"/>
        <w:textAlignment w:val="center"/>
        <w:rPr>
          <w:rFonts w:ascii="Simplified Arabic" w:hAnsi="Simplified Arabic" w:cs="Simplified Arabic" w:hint="cs"/>
          <w:sz w:val="10"/>
          <w:szCs w:val="10"/>
          <w:rtl/>
        </w:rPr>
      </w:pPr>
    </w:p>
    <w:p w:rsidR="00C30CD6" w:rsidRPr="00C34EF2" w:rsidRDefault="00C30CD6" w:rsidP="00845295">
      <w:pPr>
        <w:autoSpaceDE w:val="0"/>
        <w:autoSpaceDN w:val="0"/>
        <w:adjustRightInd w:val="0"/>
        <w:jc w:val="both"/>
        <w:textAlignment w:val="center"/>
        <w:rPr>
          <w:rFonts w:ascii="Simplified Arabic" w:hAnsi="Simplified Arabic" w:cs="Simplified Arabic"/>
          <w:rtl/>
        </w:rPr>
      </w:pPr>
      <w:r w:rsidRPr="00C34EF2">
        <w:rPr>
          <w:rFonts w:ascii="Simplified Arabic" w:hAnsi="Simplified Arabic" w:cs="Simplified Arabic"/>
          <w:rtl/>
        </w:rPr>
        <w:t xml:space="preserve">كما بلغ متوسط حجم الأسرة 4 </w:t>
      </w:r>
      <w:proofErr w:type="spellStart"/>
      <w:r w:rsidRPr="00C34EF2">
        <w:rPr>
          <w:rFonts w:ascii="Simplified Arabic" w:hAnsi="Simplified Arabic" w:cs="Simplified Arabic"/>
          <w:rtl/>
        </w:rPr>
        <w:t>أفراد،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وبلغت نسبة الاسر التي ترأسها انثى </w:t>
      </w:r>
      <w:proofErr w:type="spellStart"/>
      <w:r w:rsidRPr="00C34EF2">
        <w:rPr>
          <w:rFonts w:ascii="Simplified Arabic" w:hAnsi="Simplified Arabic" w:cs="Simplified Arabic"/>
          <w:rtl/>
        </w:rPr>
        <w:t>17%،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في حين بلغ معدل الخصوبة الكلي للمر</w:t>
      </w:r>
      <w:r w:rsidR="00845295" w:rsidRPr="00C34EF2">
        <w:rPr>
          <w:rFonts w:ascii="Simplified Arabic" w:hAnsi="Simplified Arabic" w:cs="Simplified Arabic"/>
          <w:rtl/>
        </w:rPr>
        <w:t>آ</w:t>
      </w:r>
      <w:r w:rsidRPr="00C34EF2">
        <w:rPr>
          <w:rFonts w:ascii="Simplified Arabic" w:hAnsi="Simplified Arabic" w:cs="Simplified Arabic"/>
          <w:rtl/>
        </w:rPr>
        <w:t xml:space="preserve">ة الفلسطينية 2.6 مولودا. </w:t>
      </w:r>
    </w:p>
    <w:p w:rsidR="003A3589" w:rsidRPr="0039396F" w:rsidRDefault="003A3589" w:rsidP="00C30CD6">
      <w:pPr>
        <w:autoSpaceDE w:val="0"/>
        <w:autoSpaceDN w:val="0"/>
        <w:adjustRightInd w:val="0"/>
        <w:jc w:val="both"/>
        <w:textAlignment w:val="center"/>
        <w:rPr>
          <w:rFonts w:ascii="Simplified Arabic" w:hAnsi="Simplified Arabic" w:cs="Simplified Arabic"/>
          <w:sz w:val="10"/>
          <w:szCs w:val="10"/>
          <w:rtl/>
        </w:rPr>
      </w:pPr>
    </w:p>
    <w:p w:rsidR="00C30CD6" w:rsidRPr="00C34EF2" w:rsidRDefault="00C30CD6" w:rsidP="00D31F3B">
      <w:pPr>
        <w:autoSpaceDE w:val="0"/>
        <w:autoSpaceDN w:val="0"/>
        <w:adjustRightInd w:val="0"/>
        <w:jc w:val="both"/>
        <w:textAlignment w:val="center"/>
        <w:rPr>
          <w:rFonts w:ascii="Simplified Arabic" w:hAnsi="Simplified Arabic" w:cs="Simplified Arabic"/>
          <w:rtl/>
        </w:rPr>
      </w:pPr>
      <w:r w:rsidRPr="00C34EF2">
        <w:rPr>
          <w:rFonts w:ascii="Simplified Arabic" w:hAnsi="Simplified Arabic" w:cs="Simplified Arabic"/>
          <w:rtl/>
        </w:rPr>
        <w:t xml:space="preserve">أشارت النتائج إلى أن حوالي </w:t>
      </w:r>
      <w:proofErr w:type="spellStart"/>
      <w:r w:rsidRPr="00C34EF2">
        <w:rPr>
          <w:rFonts w:ascii="Simplified Arabic" w:hAnsi="Simplified Arabic" w:cs="Simplified Arabic"/>
          <w:rtl/>
        </w:rPr>
        <w:t>7.2%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من اللاجئين الفلسطينيين</w:t>
      </w:r>
      <w:r w:rsidR="005617F4" w:rsidRPr="00C34EF2">
        <w:rPr>
          <w:rFonts w:ascii="Simplified Arabic" w:hAnsi="Simplified Arabic" w:cs="Simplified Arabic"/>
          <w:rtl/>
        </w:rPr>
        <w:t xml:space="preserve">  </w:t>
      </w:r>
      <w:r w:rsidR="004714B4" w:rsidRPr="00C34EF2">
        <w:rPr>
          <w:rFonts w:ascii="Simplified Arabic" w:hAnsi="Simplified Arabic" w:cs="Simplified Arabic"/>
          <w:rtl/>
        </w:rPr>
        <w:t xml:space="preserve"> (</w:t>
      </w:r>
      <w:r w:rsidR="006D4742" w:rsidRPr="00C34EF2">
        <w:rPr>
          <w:rFonts w:ascii="Simplified Arabic" w:hAnsi="Simplified Arabic" w:cs="Simplified Arabic"/>
          <w:rtl/>
        </w:rPr>
        <w:t>10 سنوات فأكثر</w:t>
      </w:r>
      <w:proofErr w:type="spellStart"/>
      <w:r w:rsidR="004714B4" w:rsidRPr="00C34EF2">
        <w:rPr>
          <w:rFonts w:ascii="Simplified Arabic" w:hAnsi="Simplified Arabic" w:cs="Simplified Arabic"/>
          <w:rtl/>
        </w:rPr>
        <w:t>)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</w:t>
      </w:r>
      <w:r w:rsidR="006D4742" w:rsidRPr="00C34EF2">
        <w:rPr>
          <w:rFonts w:ascii="Simplified Arabic" w:hAnsi="Simplified Arabic" w:cs="Simplified Arabic"/>
          <w:rtl/>
        </w:rPr>
        <w:t xml:space="preserve">في لبنان </w:t>
      </w:r>
      <w:r w:rsidRPr="00C34EF2">
        <w:rPr>
          <w:rFonts w:ascii="Simplified Arabic" w:hAnsi="Simplified Arabic" w:cs="Simplified Arabic"/>
          <w:rtl/>
        </w:rPr>
        <w:t>أميون</w:t>
      </w:r>
      <w:r w:rsidR="00B47913" w:rsidRPr="00C34EF2">
        <w:rPr>
          <w:rFonts w:ascii="Simplified Arabic" w:hAnsi="Simplified Arabic" w:cs="Simplified Arabic"/>
          <w:rtl/>
        </w:rPr>
        <w:t xml:space="preserve"> </w:t>
      </w:r>
      <w:r w:rsidR="005617F4" w:rsidRPr="00C34EF2">
        <w:rPr>
          <w:rFonts w:ascii="Simplified Arabic" w:hAnsi="Simplified Arabic" w:cs="Simplified Arabic"/>
          <w:rtl/>
        </w:rPr>
        <w:t xml:space="preserve">(لا </w:t>
      </w:r>
      <w:r w:rsidRPr="00C34EF2">
        <w:rPr>
          <w:rFonts w:ascii="Simplified Arabic" w:hAnsi="Simplified Arabic" w:cs="Simplified Arabic"/>
          <w:rtl/>
        </w:rPr>
        <w:t>يستطيعون القراءة والكتابة</w:t>
      </w:r>
      <w:proofErr w:type="spellStart"/>
      <w:r w:rsidRPr="00C34EF2">
        <w:rPr>
          <w:rFonts w:ascii="Simplified Arabic" w:hAnsi="Simplified Arabic" w:cs="Simplified Arabic"/>
          <w:rtl/>
        </w:rPr>
        <w:t>).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وبلغت نسبة الالتحاق بالتعليم للأفراد </w:t>
      </w:r>
      <w:r w:rsidR="004714B4" w:rsidRPr="00C34EF2">
        <w:rPr>
          <w:rFonts w:ascii="Simplified Arabic" w:hAnsi="Simplified Arabic" w:cs="Simplified Arabic"/>
          <w:rtl/>
        </w:rPr>
        <w:t>(</w:t>
      </w:r>
      <w:r w:rsidRPr="00C34EF2">
        <w:rPr>
          <w:rFonts w:ascii="Simplified Arabic" w:hAnsi="Simplified Arabic" w:cs="Simplified Arabic"/>
          <w:rtl/>
        </w:rPr>
        <w:t>3</w:t>
      </w:r>
      <w:r w:rsidR="00C30246" w:rsidRPr="00C34EF2">
        <w:rPr>
          <w:rFonts w:ascii="Simplified Arabic" w:hAnsi="Simplified Arabic" w:cs="Simplified Arabic"/>
          <w:rtl/>
        </w:rPr>
        <w:t>-</w:t>
      </w:r>
      <w:r w:rsidRPr="00C34EF2">
        <w:rPr>
          <w:rFonts w:ascii="Simplified Arabic" w:hAnsi="Simplified Arabic" w:cs="Simplified Arabic"/>
          <w:rtl/>
        </w:rPr>
        <w:t>13 سنة</w:t>
      </w:r>
      <w:proofErr w:type="spellStart"/>
      <w:r w:rsidR="004714B4" w:rsidRPr="00C34EF2">
        <w:rPr>
          <w:rFonts w:ascii="Simplified Arabic" w:hAnsi="Simplified Arabic" w:cs="Simplified Arabic"/>
          <w:rtl/>
        </w:rPr>
        <w:t>)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</w:t>
      </w:r>
      <w:r w:rsidR="00D31F3B" w:rsidRPr="00C34EF2">
        <w:rPr>
          <w:rFonts w:ascii="Simplified Arabic" w:hAnsi="Simplified Arabic" w:cs="Simplified Arabic"/>
          <w:rtl/>
        </w:rPr>
        <w:t xml:space="preserve">حوالي </w:t>
      </w:r>
      <w:proofErr w:type="spellStart"/>
      <w:r w:rsidR="00D31F3B" w:rsidRPr="00C34EF2">
        <w:rPr>
          <w:rFonts w:ascii="Simplified Arabic" w:hAnsi="Simplified Arabic" w:cs="Simplified Arabic"/>
          <w:rtl/>
        </w:rPr>
        <w:t>94</w:t>
      </w:r>
      <w:r w:rsidRPr="00C34EF2">
        <w:rPr>
          <w:rFonts w:ascii="Simplified Arabic" w:hAnsi="Simplified Arabic" w:cs="Simplified Arabic"/>
          <w:rtl/>
        </w:rPr>
        <w:t>%،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بينما بلغت نسبة الحاصلين على شهادة جامعية فأعلى</w:t>
      </w:r>
      <w:r w:rsidR="00D31F3B" w:rsidRPr="00C34EF2">
        <w:rPr>
          <w:rFonts w:ascii="Simplified Arabic" w:hAnsi="Simplified Arabic" w:cs="Simplified Arabic"/>
          <w:rtl/>
        </w:rPr>
        <w:t xml:space="preserve"> حوالي</w:t>
      </w:r>
      <w:r w:rsidRPr="00C34EF2">
        <w:rPr>
          <w:rFonts w:ascii="Simplified Arabic" w:hAnsi="Simplified Arabic" w:cs="Simplified Arabic"/>
          <w:rtl/>
        </w:rPr>
        <w:t xml:space="preserve"> </w:t>
      </w:r>
      <w:proofErr w:type="spellStart"/>
      <w:r w:rsidR="00D31F3B" w:rsidRPr="00C34EF2">
        <w:rPr>
          <w:rFonts w:ascii="Simplified Arabic" w:hAnsi="Simplified Arabic" w:cs="Simplified Arabic"/>
          <w:rtl/>
        </w:rPr>
        <w:t>11</w:t>
      </w:r>
      <w:r w:rsidRPr="00C34EF2">
        <w:rPr>
          <w:rFonts w:ascii="Simplified Arabic" w:hAnsi="Simplified Arabic" w:cs="Simplified Arabic"/>
          <w:rtl/>
        </w:rPr>
        <w:t>%.</w:t>
      </w:r>
      <w:proofErr w:type="spellEnd"/>
    </w:p>
    <w:p w:rsidR="00A118EF" w:rsidRPr="0039396F" w:rsidRDefault="00A118EF" w:rsidP="00D31F3B">
      <w:pPr>
        <w:autoSpaceDE w:val="0"/>
        <w:autoSpaceDN w:val="0"/>
        <w:adjustRightInd w:val="0"/>
        <w:jc w:val="both"/>
        <w:textAlignment w:val="center"/>
        <w:rPr>
          <w:rFonts w:ascii="Simplified Arabic" w:hAnsi="Simplified Arabic" w:cs="Simplified Arabic"/>
          <w:sz w:val="10"/>
          <w:szCs w:val="10"/>
          <w:rtl/>
        </w:rPr>
      </w:pPr>
    </w:p>
    <w:p w:rsidR="00C30CD6" w:rsidRPr="00C34EF2" w:rsidRDefault="00C30CD6" w:rsidP="0039396F">
      <w:pPr>
        <w:autoSpaceDE w:val="0"/>
        <w:autoSpaceDN w:val="0"/>
        <w:adjustRightInd w:val="0"/>
        <w:jc w:val="both"/>
        <w:textAlignment w:val="center"/>
        <w:rPr>
          <w:rFonts w:ascii="Simplified Arabic" w:hAnsi="Simplified Arabic" w:cs="Simplified Arabic"/>
        </w:rPr>
      </w:pPr>
      <w:r w:rsidRPr="00C34EF2">
        <w:rPr>
          <w:rFonts w:ascii="Simplified Arabic" w:hAnsi="Simplified Arabic" w:cs="Simplified Arabic"/>
          <w:rtl/>
        </w:rPr>
        <w:t xml:space="preserve">اظهرت النتائج أن معدل البطالة </w:t>
      </w:r>
      <w:r w:rsidR="00B47913" w:rsidRPr="00C34EF2">
        <w:rPr>
          <w:rFonts w:ascii="Simplified Arabic" w:hAnsi="Simplified Arabic" w:cs="Simplified Arabic"/>
          <w:rtl/>
        </w:rPr>
        <w:t xml:space="preserve">بين اللاجئين </w:t>
      </w:r>
      <w:proofErr w:type="spellStart"/>
      <w:r w:rsidR="00B47913" w:rsidRPr="00C34EF2">
        <w:rPr>
          <w:rFonts w:ascii="Simplified Arabic" w:hAnsi="Simplified Arabic" w:cs="Simplified Arabic"/>
          <w:rtl/>
        </w:rPr>
        <w:t>الفلسطينين</w:t>
      </w:r>
      <w:proofErr w:type="spellEnd"/>
      <w:r w:rsidR="004714B4" w:rsidRPr="00C34EF2">
        <w:rPr>
          <w:rFonts w:ascii="Simplified Arabic" w:hAnsi="Simplified Arabic" w:cs="Simplified Arabic"/>
          <w:rtl/>
        </w:rPr>
        <w:t xml:space="preserve"> </w:t>
      </w:r>
      <w:r w:rsidR="006D4742" w:rsidRPr="00C34EF2">
        <w:rPr>
          <w:rFonts w:ascii="Simplified Arabic" w:hAnsi="Simplified Arabic" w:cs="Simplified Arabic"/>
          <w:rtl/>
        </w:rPr>
        <w:t>(15 سنة فأكثر</w:t>
      </w:r>
      <w:proofErr w:type="spellStart"/>
      <w:r w:rsidR="006D4742" w:rsidRPr="00C34EF2">
        <w:rPr>
          <w:rFonts w:ascii="Simplified Arabic" w:hAnsi="Simplified Arabic" w:cs="Simplified Arabic"/>
          <w:rtl/>
        </w:rPr>
        <w:t>)</w:t>
      </w:r>
      <w:proofErr w:type="spellEnd"/>
      <w:r w:rsidR="00B47913" w:rsidRPr="00C34EF2">
        <w:rPr>
          <w:rFonts w:ascii="Simplified Arabic" w:hAnsi="Simplified Arabic" w:cs="Simplified Arabic"/>
          <w:rtl/>
        </w:rPr>
        <w:t xml:space="preserve"> في لبنان</w:t>
      </w:r>
      <w:r w:rsidR="00794AAA" w:rsidRPr="00C34EF2">
        <w:rPr>
          <w:rFonts w:ascii="Simplified Arabic" w:hAnsi="Simplified Arabic" w:cs="Simplified Arabic"/>
          <w:rtl/>
        </w:rPr>
        <w:t xml:space="preserve"> قد بلغ</w:t>
      </w:r>
      <w:r w:rsidRPr="00C34EF2">
        <w:rPr>
          <w:rFonts w:ascii="Simplified Arabic" w:hAnsi="Simplified Arabic" w:cs="Simplified Arabic"/>
          <w:rtl/>
        </w:rPr>
        <w:t xml:space="preserve"> </w:t>
      </w:r>
      <w:r w:rsidR="00D31F3B" w:rsidRPr="00C34EF2">
        <w:rPr>
          <w:rFonts w:ascii="Simplified Arabic" w:hAnsi="Simplified Arabic" w:cs="Simplified Arabic"/>
          <w:rtl/>
        </w:rPr>
        <w:t xml:space="preserve">حوالي </w:t>
      </w:r>
      <w:proofErr w:type="spellStart"/>
      <w:r w:rsidRPr="00C34EF2">
        <w:rPr>
          <w:rFonts w:ascii="Simplified Arabic" w:hAnsi="Simplified Arabic" w:cs="Simplified Arabic"/>
          <w:rtl/>
        </w:rPr>
        <w:t>18%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من </w:t>
      </w:r>
      <w:r w:rsidR="00794AAA" w:rsidRPr="00C34EF2">
        <w:rPr>
          <w:rFonts w:ascii="Simplified Arabic" w:hAnsi="Simplified Arabic" w:cs="Simplified Arabic"/>
          <w:rtl/>
        </w:rPr>
        <w:t>المشاركين</w:t>
      </w:r>
      <w:r w:rsidRPr="00C34EF2">
        <w:rPr>
          <w:rFonts w:ascii="Simplified Arabic" w:hAnsi="Simplified Arabic" w:cs="Simplified Arabic"/>
          <w:rtl/>
        </w:rPr>
        <w:t xml:space="preserve"> في القوى العاملة.  </w:t>
      </w:r>
      <w:r w:rsidR="00E03E62" w:rsidRPr="00C34EF2">
        <w:rPr>
          <w:rFonts w:ascii="Simplified Arabic" w:hAnsi="Simplified Arabic" w:cs="Simplified Arabic"/>
          <w:rtl/>
        </w:rPr>
        <w:t>و</w:t>
      </w:r>
      <w:r w:rsidRPr="00C34EF2">
        <w:rPr>
          <w:rFonts w:ascii="Simplified Arabic" w:hAnsi="Simplified Arabic" w:cs="Simplified Arabic"/>
          <w:rtl/>
        </w:rPr>
        <w:t xml:space="preserve">يرتفع معدل البطالة بين فئة الشباب </w:t>
      </w:r>
      <w:r w:rsidR="00845295" w:rsidRPr="00C34EF2">
        <w:rPr>
          <w:rFonts w:ascii="Simplified Arabic" w:hAnsi="Simplified Arabic" w:cs="Simplified Arabic"/>
          <w:rtl/>
        </w:rPr>
        <w:t>(</w:t>
      </w:r>
      <w:r w:rsidRPr="00C34EF2">
        <w:rPr>
          <w:rFonts w:ascii="Simplified Arabic" w:hAnsi="Simplified Arabic" w:cs="Simplified Arabic"/>
          <w:rtl/>
        </w:rPr>
        <w:t>15-19 سنة</w:t>
      </w:r>
      <w:proofErr w:type="spellStart"/>
      <w:r w:rsidR="00845295" w:rsidRPr="00C34EF2">
        <w:rPr>
          <w:rFonts w:ascii="Simplified Arabic" w:hAnsi="Simplified Arabic" w:cs="Simplified Arabic"/>
          <w:rtl/>
        </w:rPr>
        <w:t>)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لتصل الى </w:t>
      </w:r>
      <w:proofErr w:type="spellStart"/>
      <w:r w:rsidRPr="00C34EF2">
        <w:rPr>
          <w:rFonts w:ascii="Simplified Arabic" w:hAnsi="Simplified Arabic" w:cs="Simplified Arabic"/>
          <w:rtl/>
        </w:rPr>
        <w:t>44%،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في حين تبلغ  نسبة البطالة </w:t>
      </w:r>
      <w:proofErr w:type="spellStart"/>
      <w:r w:rsidRPr="00C34EF2">
        <w:rPr>
          <w:rFonts w:ascii="Simplified Arabic" w:hAnsi="Simplified Arabic" w:cs="Simplified Arabic"/>
          <w:rtl/>
        </w:rPr>
        <w:t>29%</w:t>
      </w:r>
      <w:proofErr w:type="spellEnd"/>
      <w:r w:rsidRPr="00C34EF2">
        <w:rPr>
          <w:rFonts w:ascii="Simplified Arabic" w:hAnsi="Simplified Arabic" w:cs="Simplified Arabic"/>
          <w:rtl/>
        </w:rPr>
        <w:t xml:space="preserve"> </w:t>
      </w:r>
      <w:r w:rsidR="005617F4" w:rsidRPr="00C34EF2">
        <w:rPr>
          <w:rFonts w:ascii="Simplified Arabic" w:hAnsi="Simplified Arabic" w:cs="Simplified Arabic"/>
          <w:rtl/>
        </w:rPr>
        <w:t>للأفراد</w:t>
      </w:r>
      <w:r w:rsidRPr="00C34EF2">
        <w:rPr>
          <w:rFonts w:ascii="Simplified Arabic" w:hAnsi="Simplified Arabic" w:cs="Simplified Arabic"/>
          <w:rtl/>
        </w:rPr>
        <w:t xml:space="preserve"> من </w:t>
      </w:r>
      <w:r w:rsidR="0039396F">
        <w:rPr>
          <w:rFonts w:ascii="Simplified Arabic" w:hAnsi="Simplified Arabic" w:cs="Simplified Arabic"/>
          <w:rtl/>
        </w:rPr>
        <w:t xml:space="preserve"> </w:t>
      </w:r>
      <w:r w:rsidR="00845295" w:rsidRPr="00C34EF2">
        <w:rPr>
          <w:rFonts w:ascii="Simplified Arabic" w:hAnsi="Simplified Arabic" w:cs="Simplified Arabic"/>
          <w:rtl/>
        </w:rPr>
        <w:t>(</w:t>
      </w:r>
      <w:r w:rsidRPr="00C34EF2">
        <w:rPr>
          <w:rFonts w:ascii="Simplified Arabic" w:hAnsi="Simplified Arabic" w:cs="Simplified Arabic"/>
          <w:rtl/>
        </w:rPr>
        <w:t>20-29 سنة</w:t>
      </w:r>
      <w:proofErr w:type="spellStart"/>
      <w:r w:rsidR="00845295" w:rsidRPr="00C34EF2">
        <w:rPr>
          <w:rFonts w:ascii="Simplified Arabic" w:hAnsi="Simplified Arabic" w:cs="Simplified Arabic"/>
          <w:rtl/>
        </w:rPr>
        <w:t>)</w:t>
      </w:r>
      <w:r w:rsidRPr="00C34EF2">
        <w:rPr>
          <w:rFonts w:ascii="Simplified Arabic" w:hAnsi="Simplified Arabic" w:cs="Simplified Arabic"/>
          <w:rtl/>
        </w:rPr>
        <w:t>.</w:t>
      </w:r>
      <w:proofErr w:type="spellEnd"/>
    </w:p>
    <w:p w:rsidR="004353EA" w:rsidRDefault="004353EA" w:rsidP="00C30CD6">
      <w:pPr>
        <w:autoSpaceDE w:val="0"/>
        <w:autoSpaceDN w:val="0"/>
        <w:adjustRightInd w:val="0"/>
        <w:jc w:val="both"/>
        <w:textAlignment w:val="center"/>
        <w:rPr>
          <w:rFonts w:ascii="Simplified Arabic" w:hAnsi="Simplified Arabic" w:cs="Simplified Arabic" w:hint="cs"/>
          <w:rtl/>
        </w:rPr>
      </w:pPr>
    </w:p>
    <w:p w:rsidR="0039396F" w:rsidRPr="006C19EA" w:rsidRDefault="0039396F" w:rsidP="00C30CD6">
      <w:pPr>
        <w:autoSpaceDE w:val="0"/>
        <w:autoSpaceDN w:val="0"/>
        <w:adjustRightInd w:val="0"/>
        <w:jc w:val="both"/>
        <w:textAlignment w:val="center"/>
        <w:rPr>
          <w:rFonts w:cs="Simplified Arabic"/>
          <w:sz w:val="21"/>
          <w:szCs w:val="21"/>
          <w:rtl/>
        </w:rPr>
      </w:pPr>
    </w:p>
    <w:p w:rsidR="00A16964" w:rsidRPr="006C19EA" w:rsidRDefault="00A16964" w:rsidP="00A16964">
      <w:pPr>
        <w:jc w:val="lowKashida"/>
        <w:rPr>
          <w:rFonts w:cs="Simplified Arabic"/>
          <w:sz w:val="8"/>
          <w:szCs w:val="8"/>
          <w:rtl/>
          <w:lang w:bidi="ar-YE"/>
        </w:rPr>
      </w:pPr>
    </w:p>
    <w:p w:rsidR="004353EA" w:rsidRPr="006C19EA" w:rsidRDefault="004353EA" w:rsidP="008C6AF4">
      <w:pPr>
        <w:spacing w:line="260" w:lineRule="exact"/>
        <w:jc w:val="lowKashida"/>
        <w:rPr>
          <w:rFonts w:ascii="Simplified Arabic" w:hAnsi="Simplified Arabic" w:cs="Simplified Arabic"/>
          <w:sz w:val="20"/>
          <w:szCs w:val="20"/>
          <w:rtl/>
        </w:rPr>
      </w:pPr>
    </w:p>
    <w:sectPr w:rsidR="004353EA" w:rsidRPr="006C19EA" w:rsidSect="0039396F">
      <w:footerReference w:type="even" r:id="rId13"/>
      <w:footerReference w:type="default" r:id="rId14"/>
      <w:headerReference w:type="first" r:id="rId15"/>
      <w:pgSz w:w="11906" w:h="16838" w:code="9"/>
      <w:pgMar w:top="720" w:right="720" w:bottom="720" w:left="720" w:header="284" w:footer="265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C70" w:rsidRDefault="003D4C70">
      <w:r>
        <w:separator/>
      </w:r>
    </w:p>
  </w:endnote>
  <w:endnote w:type="continuationSeparator" w:id="0">
    <w:p w:rsidR="003D4C70" w:rsidRDefault="003D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EA" w:rsidRDefault="001F79F8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6C19EA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6C19EA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6C19EA" w:rsidRDefault="006C19EA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EA" w:rsidRPr="0039396F" w:rsidRDefault="001F79F8">
    <w:pPr>
      <w:pStyle w:val="Footer"/>
      <w:framePr w:wrap="around" w:vAnchor="text" w:hAnchor="margin" w:xAlign="center" w:y="1"/>
      <w:rPr>
        <w:rStyle w:val="PageNumber"/>
        <w:sz w:val="22"/>
        <w:szCs w:val="22"/>
        <w:rtl/>
        <w:lang w:eastAsia="en-US"/>
      </w:rPr>
    </w:pPr>
    <w:r w:rsidRPr="0039396F">
      <w:rPr>
        <w:rStyle w:val="PageNumber"/>
        <w:sz w:val="22"/>
        <w:szCs w:val="22"/>
        <w:rtl/>
      </w:rPr>
      <w:fldChar w:fldCharType="begin"/>
    </w:r>
    <w:r w:rsidR="006C19EA" w:rsidRPr="0039396F">
      <w:rPr>
        <w:rStyle w:val="PageNumber"/>
        <w:sz w:val="22"/>
        <w:szCs w:val="22"/>
        <w:lang w:eastAsia="en-US"/>
      </w:rPr>
      <w:instrText xml:space="preserve">PAGE  </w:instrText>
    </w:r>
    <w:r w:rsidRPr="0039396F">
      <w:rPr>
        <w:rStyle w:val="PageNumber"/>
        <w:sz w:val="22"/>
        <w:szCs w:val="22"/>
        <w:rtl/>
      </w:rPr>
      <w:fldChar w:fldCharType="separate"/>
    </w:r>
    <w:r w:rsidR="0039396F">
      <w:rPr>
        <w:rStyle w:val="PageNumber"/>
        <w:noProof/>
        <w:sz w:val="22"/>
        <w:szCs w:val="22"/>
        <w:rtl/>
      </w:rPr>
      <w:t>1</w:t>
    </w:r>
    <w:r w:rsidRPr="0039396F">
      <w:rPr>
        <w:rStyle w:val="PageNumber"/>
        <w:sz w:val="22"/>
        <w:szCs w:val="22"/>
        <w:rtl/>
      </w:rPr>
      <w:fldChar w:fldCharType="end"/>
    </w:r>
  </w:p>
  <w:p w:rsidR="006C19EA" w:rsidRDefault="006C19EA">
    <w:pPr>
      <w:pStyle w:val="Footer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C70" w:rsidRDefault="003D4C70">
      <w:r>
        <w:separator/>
      </w:r>
    </w:p>
  </w:footnote>
  <w:footnote w:type="continuationSeparator" w:id="0">
    <w:p w:rsidR="003D4C70" w:rsidRDefault="003D4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single" w:sz="4" w:space="0" w:color="auto"/>
      </w:tblBorders>
      <w:tblLook w:val="04A0"/>
    </w:tblPr>
    <w:tblGrid>
      <w:gridCol w:w="3473"/>
      <w:gridCol w:w="3474"/>
      <w:gridCol w:w="3474"/>
    </w:tblGrid>
    <w:tr w:rsidR="006C19EA" w:rsidTr="00B10EE0">
      <w:tc>
        <w:tcPr>
          <w:tcW w:w="3473" w:type="dxa"/>
          <w:vAlign w:val="center"/>
        </w:tcPr>
        <w:p w:rsidR="006C19EA" w:rsidRDefault="006C19EA" w:rsidP="00B10EE0">
          <w:pPr>
            <w:pStyle w:val="Header"/>
            <w:ind w:left="-1"/>
            <w:jc w:val="center"/>
            <w:rPr>
              <w:rFonts w:cs="Simplified Arabic"/>
              <w:b/>
              <w:bCs/>
              <w:sz w:val="28"/>
              <w:szCs w:val="28"/>
              <w:rtl/>
            </w:rPr>
          </w:pPr>
          <w:r>
            <w:rPr>
              <w:rFonts w:cs="Simplified Arabic" w:hint="cs"/>
              <w:b/>
              <w:bCs/>
              <w:sz w:val="28"/>
              <w:szCs w:val="28"/>
              <w:rtl/>
            </w:rPr>
            <w:t>فلسطين</w:t>
          </w:r>
        </w:p>
        <w:p w:rsidR="006C19EA" w:rsidRDefault="006C19EA" w:rsidP="00B10EE0">
          <w:pPr>
            <w:pStyle w:val="Header"/>
            <w:jc w:val="center"/>
            <w:rPr>
              <w:rFonts w:cs="Simplified Arabic"/>
              <w:b/>
              <w:bCs/>
              <w:sz w:val="24"/>
              <w:szCs w:val="24"/>
              <w:rtl/>
            </w:rPr>
          </w:pPr>
          <w:r>
            <w:rPr>
              <w:rFonts w:cs="Simplified Arabic" w:hint="cs"/>
              <w:b/>
              <w:bCs/>
              <w:sz w:val="24"/>
              <w:szCs w:val="24"/>
              <w:rtl/>
            </w:rPr>
            <w:t>الجهاز المركزي للإحصاء الفلسطيني</w:t>
          </w:r>
        </w:p>
      </w:tc>
      <w:tc>
        <w:tcPr>
          <w:tcW w:w="3474" w:type="dxa"/>
        </w:tcPr>
        <w:p w:rsidR="006C19EA" w:rsidRDefault="006C19EA" w:rsidP="00B10EE0">
          <w:pPr>
            <w:pStyle w:val="Header"/>
            <w:rPr>
              <w:rtl/>
            </w:rPr>
          </w:pPr>
          <w:r>
            <w:rPr>
              <w:noProof/>
              <w:snapToGrid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</wp:posOffset>
                </wp:positionV>
                <wp:extent cx="425450" cy="60261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74" w:type="dxa"/>
          <w:vAlign w:val="center"/>
        </w:tcPr>
        <w:p w:rsidR="006C19EA" w:rsidRDefault="006C19EA" w:rsidP="00B10EE0">
          <w:pPr>
            <w:pStyle w:val="Header"/>
            <w:jc w:val="right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 w:hint="cs"/>
              <w:sz w:val="22"/>
              <w:szCs w:val="22"/>
              <w:rtl/>
            </w:rPr>
            <w:t xml:space="preserve"> صدر </w:t>
          </w:r>
          <w:proofErr w:type="spellStart"/>
          <w:r>
            <w:rPr>
              <w:rFonts w:cs="Simplified Arabic" w:hint="cs"/>
              <w:sz w:val="22"/>
              <w:szCs w:val="22"/>
              <w:rtl/>
            </w:rPr>
            <w:t>بتاريخ:</w:t>
          </w:r>
          <w:proofErr w:type="spellEnd"/>
          <w:r>
            <w:rPr>
              <w:rFonts w:cs="Simplified Arabic" w:hint="cs"/>
              <w:sz w:val="22"/>
              <w:szCs w:val="22"/>
              <w:rtl/>
            </w:rPr>
            <w:t xml:space="preserve"> 19/06/2011</w:t>
          </w:r>
        </w:p>
      </w:tc>
    </w:tr>
  </w:tbl>
  <w:p w:rsidR="006C19EA" w:rsidRPr="00237AA1" w:rsidRDefault="006C19EA" w:rsidP="00237AA1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5060C62"/>
    <w:multiLevelType w:val="hybridMultilevel"/>
    <w:tmpl w:val="77D6E226"/>
    <w:lvl w:ilvl="0" w:tplc="04010001">
      <w:start w:val="1"/>
      <w:numFmt w:val="bullet"/>
      <w:lvlText w:val=""/>
      <w:lvlJc w:val="left"/>
      <w:pPr>
        <w:tabs>
          <w:tab w:val="num" w:pos="718"/>
        </w:tabs>
        <w:ind w:left="718" w:right="718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38"/>
        </w:tabs>
        <w:ind w:left="1438" w:right="143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58"/>
        </w:tabs>
        <w:ind w:left="2158" w:right="215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78"/>
        </w:tabs>
        <w:ind w:left="2878" w:right="287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598"/>
        </w:tabs>
        <w:ind w:left="3598" w:right="359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18"/>
        </w:tabs>
        <w:ind w:left="4318" w:right="431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38"/>
        </w:tabs>
        <w:ind w:left="5038" w:right="503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58"/>
        </w:tabs>
        <w:ind w:left="5758" w:right="575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78"/>
        </w:tabs>
        <w:ind w:left="6478" w:right="6478" w:hanging="360"/>
      </w:pPr>
      <w:rPr>
        <w:rFonts w:ascii="Wingdings" w:hAnsi="Wingdings" w:hint="default"/>
      </w:rPr>
    </w:lvl>
  </w:abstractNum>
  <w:abstractNum w:abstractNumId="13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5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9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0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5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8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1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558F1752"/>
    <w:multiLevelType w:val="hybridMultilevel"/>
    <w:tmpl w:val="BEA68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5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6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7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38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9">
    <w:nsid w:val="6D647482"/>
    <w:multiLevelType w:val="hybridMultilevel"/>
    <w:tmpl w:val="E3027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2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3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7"/>
  </w:num>
  <w:num w:numId="3">
    <w:abstractNumId w:val="34"/>
  </w:num>
  <w:num w:numId="4">
    <w:abstractNumId w:val="38"/>
  </w:num>
  <w:num w:numId="5">
    <w:abstractNumId w:val="40"/>
  </w:num>
  <w:num w:numId="6">
    <w:abstractNumId w:val="27"/>
  </w:num>
  <w:num w:numId="7">
    <w:abstractNumId w:val="43"/>
  </w:num>
  <w:num w:numId="8">
    <w:abstractNumId w:val="1"/>
  </w:num>
  <w:num w:numId="9">
    <w:abstractNumId w:val="6"/>
  </w:num>
  <w:num w:numId="10">
    <w:abstractNumId w:val="4"/>
  </w:num>
  <w:num w:numId="11">
    <w:abstractNumId w:val="22"/>
  </w:num>
  <w:num w:numId="12">
    <w:abstractNumId w:val="3"/>
  </w:num>
  <w:num w:numId="13">
    <w:abstractNumId w:val="26"/>
  </w:num>
  <w:num w:numId="14">
    <w:abstractNumId w:val="29"/>
  </w:num>
  <w:num w:numId="15">
    <w:abstractNumId w:val="23"/>
  </w:num>
  <w:num w:numId="16">
    <w:abstractNumId w:val="2"/>
  </w:num>
  <w:num w:numId="17">
    <w:abstractNumId w:val="33"/>
  </w:num>
  <w:num w:numId="18">
    <w:abstractNumId w:val="30"/>
  </w:num>
  <w:num w:numId="19">
    <w:abstractNumId w:val="8"/>
  </w:num>
  <w:num w:numId="20">
    <w:abstractNumId w:val="7"/>
  </w:num>
  <w:num w:numId="21">
    <w:abstractNumId w:val="19"/>
  </w:num>
  <w:num w:numId="22">
    <w:abstractNumId w:val="24"/>
  </w:num>
  <w:num w:numId="23">
    <w:abstractNumId w:val="13"/>
  </w:num>
  <w:num w:numId="24">
    <w:abstractNumId w:val="9"/>
  </w:num>
  <w:num w:numId="25">
    <w:abstractNumId w:val="42"/>
  </w:num>
  <w:num w:numId="26">
    <w:abstractNumId w:val="35"/>
  </w:num>
  <w:num w:numId="27">
    <w:abstractNumId w:val="5"/>
  </w:num>
  <w:num w:numId="28">
    <w:abstractNumId w:val="11"/>
  </w:num>
  <w:num w:numId="29">
    <w:abstractNumId w:val="15"/>
  </w:num>
  <w:num w:numId="30">
    <w:abstractNumId w:val="17"/>
  </w:num>
  <w:num w:numId="31">
    <w:abstractNumId w:val="16"/>
  </w:num>
  <w:num w:numId="32">
    <w:abstractNumId w:val="18"/>
  </w:num>
  <w:num w:numId="33">
    <w:abstractNumId w:val="36"/>
  </w:num>
  <w:num w:numId="34">
    <w:abstractNumId w:val="31"/>
  </w:num>
  <w:num w:numId="35">
    <w:abstractNumId w:val="14"/>
  </w:num>
  <w:num w:numId="36">
    <w:abstractNumId w:val="28"/>
  </w:num>
  <w:num w:numId="37">
    <w:abstractNumId w:val="0"/>
  </w:num>
  <w:num w:numId="38">
    <w:abstractNumId w:val="25"/>
  </w:num>
  <w:num w:numId="39">
    <w:abstractNumId w:val="21"/>
  </w:num>
  <w:num w:numId="40">
    <w:abstractNumId w:val="41"/>
  </w:num>
  <w:num w:numId="41">
    <w:abstractNumId w:val="20"/>
  </w:num>
  <w:num w:numId="42">
    <w:abstractNumId w:val="12"/>
  </w:num>
  <w:num w:numId="43">
    <w:abstractNumId w:val="39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00AD9"/>
    <w:rsid w:val="000038EA"/>
    <w:rsid w:val="00005179"/>
    <w:rsid w:val="00014EF7"/>
    <w:rsid w:val="0002405E"/>
    <w:rsid w:val="00024A04"/>
    <w:rsid w:val="00024A21"/>
    <w:rsid w:val="00026672"/>
    <w:rsid w:val="00030C00"/>
    <w:rsid w:val="000423C8"/>
    <w:rsid w:val="00043A56"/>
    <w:rsid w:val="00047956"/>
    <w:rsid w:val="000512B5"/>
    <w:rsid w:val="00055ABD"/>
    <w:rsid w:val="00056EB1"/>
    <w:rsid w:val="0007569C"/>
    <w:rsid w:val="000776EB"/>
    <w:rsid w:val="0008051C"/>
    <w:rsid w:val="00085230"/>
    <w:rsid w:val="000869A2"/>
    <w:rsid w:val="00090FCC"/>
    <w:rsid w:val="0009101D"/>
    <w:rsid w:val="00095E8D"/>
    <w:rsid w:val="00097E4C"/>
    <w:rsid w:val="000A2143"/>
    <w:rsid w:val="000A3BA7"/>
    <w:rsid w:val="000C1DA4"/>
    <w:rsid w:val="000C3718"/>
    <w:rsid w:val="000C4B67"/>
    <w:rsid w:val="000D0C52"/>
    <w:rsid w:val="000D3DC7"/>
    <w:rsid w:val="000D4428"/>
    <w:rsid w:val="000D4D83"/>
    <w:rsid w:val="000F0130"/>
    <w:rsid w:val="000F5A07"/>
    <w:rsid w:val="000F68E2"/>
    <w:rsid w:val="001003F1"/>
    <w:rsid w:val="00103DA4"/>
    <w:rsid w:val="0010598F"/>
    <w:rsid w:val="001104DD"/>
    <w:rsid w:val="00111EF6"/>
    <w:rsid w:val="001158D7"/>
    <w:rsid w:val="00117295"/>
    <w:rsid w:val="0012375A"/>
    <w:rsid w:val="00132472"/>
    <w:rsid w:val="0014763A"/>
    <w:rsid w:val="00151720"/>
    <w:rsid w:val="001538F3"/>
    <w:rsid w:val="0016048D"/>
    <w:rsid w:val="00160ED3"/>
    <w:rsid w:val="00162EF1"/>
    <w:rsid w:val="001633DA"/>
    <w:rsid w:val="0016470A"/>
    <w:rsid w:val="00166A06"/>
    <w:rsid w:val="00167681"/>
    <w:rsid w:val="001704DA"/>
    <w:rsid w:val="001740A4"/>
    <w:rsid w:val="00174F20"/>
    <w:rsid w:val="0017670B"/>
    <w:rsid w:val="00176D49"/>
    <w:rsid w:val="001821FF"/>
    <w:rsid w:val="00184723"/>
    <w:rsid w:val="00187E55"/>
    <w:rsid w:val="00190CAC"/>
    <w:rsid w:val="00193EF5"/>
    <w:rsid w:val="00197EE2"/>
    <w:rsid w:val="001A2E41"/>
    <w:rsid w:val="001B4786"/>
    <w:rsid w:val="001C01F7"/>
    <w:rsid w:val="001C7BEE"/>
    <w:rsid w:val="001D58B2"/>
    <w:rsid w:val="001E53E7"/>
    <w:rsid w:val="001F24F9"/>
    <w:rsid w:val="001F32D8"/>
    <w:rsid w:val="001F38E3"/>
    <w:rsid w:val="001F7076"/>
    <w:rsid w:val="001F79F8"/>
    <w:rsid w:val="00203E96"/>
    <w:rsid w:val="00206FE0"/>
    <w:rsid w:val="00210522"/>
    <w:rsid w:val="002132AA"/>
    <w:rsid w:val="00223DAC"/>
    <w:rsid w:val="00227C85"/>
    <w:rsid w:val="002363A1"/>
    <w:rsid w:val="0023787C"/>
    <w:rsid w:val="00237AA1"/>
    <w:rsid w:val="002423E7"/>
    <w:rsid w:val="002639F4"/>
    <w:rsid w:val="002709C3"/>
    <w:rsid w:val="00273434"/>
    <w:rsid w:val="00273617"/>
    <w:rsid w:val="00283668"/>
    <w:rsid w:val="002840A9"/>
    <w:rsid w:val="00285ACC"/>
    <w:rsid w:val="00286F83"/>
    <w:rsid w:val="00290077"/>
    <w:rsid w:val="002A4D93"/>
    <w:rsid w:val="002A6913"/>
    <w:rsid w:val="002B21E9"/>
    <w:rsid w:val="002C4877"/>
    <w:rsid w:val="002C55C2"/>
    <w:rsid w:val="002C737F"/>
    <w:rsid w:val="002D0C3F"/>
    <w:rsid w:val="002E1CB5"/>
    <w:rsid w:val="002E1F65"/>
    <w:rsid w:val="002E38E1"/>
    <w:rsid w:val="002F4437"/>
    <w:rsid w:val="002F784E"/>
    <w:rsid w:val="003072D2"/>
    <w:rsid w:val="00310E2F"/>
    <w:rsid w:val="00312413"/>
    <w:rsid w:val="003172A5"/>
    <w:rsid w:val="00322A71"/>
    <w:rsid w:val="00324A4C"/>
    <w:rsid w:val="00325B3E"/>
    <w:rsid w:val="00325D6B"/>
    <w:rsid w:val="00343E48"/>
    <w:rsid w:val="00343E64"/>
    <w:rsid w:val="00347F6E"/>
    <w:rsid w:val="00350CE2"/>
    <w:rsid w:val="00354B9B"/>
    <w:rsid w:val="00356CE0"/>
    <w:rsid w:val="00363BD7"/>
    <w:rsid w:val="003735DD"/>
    <w:rsid w:val="00373B0F"/>
    <w:rsid w:val="003746DD"/>
    <w:rsid w:val="003753B8"/>
    <w:rsid w:val="00380487"/>
    <w:rsid w:val="00381B77"/>
    <w:rsid w:val="0038244A"/>
    <w:rsid w:val="0039396F"/>
    <w:rsid w:val="003A2EEC"/>
    <w:rsid w:val="003A3589"/>
    <w:rsid w:val="003A7A5D"/>
    <w:rsid w:val="003B779E"/>
    <w:rsid w:val="003C2315"/>
    <w:rsid w:val="003C2D0C"/>
    <w:rsid w:val="003C449D"/>
    <w:rsid w:val="003C6772"/>
    <w:rsid w:val="003D1A96"/>
    <w:rsid w:val="003D3A7B"/>
    <w:rsid w:val="003D4C70"/>
    <w:rsid w:val="003E57BD"/>
    <w:rsid w:val="003E7FCE"/>
    <w:rsid w:val="003F1D54"/>
    <w:rsid w:val="003F4698"/>
    <w:rsid w:val="003F46FB"/>
    <w:rsid w:val="003F79E7"/>
    <w:rsid w:val="004051ED"/>
    <w:rsid w:val="00410898"/>
    <w:rsid w:val="00411431"/>
    <w:rsid w:val="00411652"/>
    <w:rsid w:val="004150DE"/>
    <w:rsid w:val="004202CB"/>
    <w:rsid w:val="00432D83"/>
    <w:rsid w:val="00434207"/>
    <w:rsid w:val="004353EA"/>
    <w:rsid w:val="004358E7"/>
    <w:rsid w:val="00440CEB"/>
    <w:rsid w:val="00454716"/>
    <w:rsid w:val="00466555"/>
    <w:rsid w:val="00471326"/>
    <w:rsid w:val="004714B4"/>
    <w:rsid w:val="00477B04"/>
    <w:rsid w:val="00477B91"/>
    <w:rsid w:val="004803C6"/>
    <w:rsid w:val="00480F1D"/>
    <w:rsid w:val="00481144"/>
    <w:rsid w:val="00481C64"/>
    <w:rsid w:val="00485EAC"/>
    <w:rsid w:val="004A55B0"/>
    <w:rsid w:val="004B2084"/>
    <w:rsid w:val="004B2D88"/>
    <w:rsid w:val="004B4081"/>
    <w:rsid w:val="004B416E"/>
    <w:rsid w:val="004C05E7"/>
    <w:rsid w:val="004C5B5B"/>
    <w:rsid w:val="004C731B"/>
    <w:rsid w:val="004D37C0"/>
    <w:rsid w:val="004E6BEC"/>
    <w:rsid w:val="004E7B21"/>
    <w:rsid w:val="004F2C8A"/>
    <w:rsid w:val="00514C04"/>
    <w:rsid w:val="00515789"/>
    <w:rsid w:val="005157AF"/>
    <w:rsid w:val="005218AA"/>
    <w:rsid w:val="00522138"/>
    <w:rsid w:val="00523905"/>
    <w:rsid w:val="00526751"/>
    <w:rsid w:val="005368CC"/>
    <w:rsid w:val="00544D73"/>
    <w:rsid w:val="00546089"/>
    <w:rsid w:val="0054639D"/>
    <w:rsid w:val="00546492"/>
    <w:rsid w:val="005516C5"/>
    <w:rsid w:val="005524C3"/>
    <w:rsid w:val="00556D04"/>
    <w:rsid w:val="005579D0"/>
    <w:rsid w:val="005617F4"/>
    <w:rsid w:val="00564554"/>
    <w:rsid w:val="005675D1"/>
    <w:rsid w:val="0057079A"/>
    <w:rsid w:val="00590681"/>
    <w:rsid w:val="00591FA7"/>
    <w:rsid w:val="005A0D39"/>
    <w:rsid w:val="005A1408"/>
    <w:rsid w:val="005A4D0D"/>
    <w:rsid w:val="005A6663"/>
    <w:rsid w:val="005B1E09"/>
    <w:rsid w:val="005B5CAF"/>
    <w:rsid w:val="005C0975"/>
    <w:rsid w:val="005D6E2D"/>
    <w:rsid w:val="005E62C4"/>
    <w:rsid w:val="005E6E19"/>
    <w:rsid w:val="006120EB"/>
    <w:rsid w:val="00617097"/>
    <w:rsid w:val="00617884"/>
    <w:rsid w:val="006200B5"/>
    <w:rsid w:val="00623EAF"/>
    <w:rsid w:val="00632E80"/>
    <w:rsid w:val="00635ECD"/>
    <w:rsid w:val="006403F9"/>
    <w:rsid w:val="006433C4"/>
    <w:rsid w:val="00644597"/>
    <w:rsid w:val="0064473C"/>
    <w:rsid w:val="00651190"/>
    <w:rsid w:val="00655535"/>
    <w:rsid w:val="00661BDC"/>
    <w:rsid w:val="0066251F"/>
    <w:rsid w:val="00664C3A"/>
    <w:rsid w:val="00666465"/>
    <w:rsid w:val="006716AC"/>
    <w:rsid w:val="006936AF"/>
    <w:rsid w:val="006944DC"/>
    <w:rsid w:val="006967C8"/>
    <w:rsid w:val="006A0E87"/>
    <w:rsid w:val="006A0F73"/>
    <w:rsid w:val="006A6FF1"/>
    <w:rsid w:val="006B0644"/>
    <w:rsid w:val="006B108E"/>
    <w:rsid w:val="006B157B"/>
    <w:rsid w:val="006B5E72"/>
    <w:rsid w:val="006C19EA"/>
    <w:rsid w:val="006C5FC3"/>
    <w:rsid w:val="006D1853"/>
    <w:rsid w:val="006D4742"/>
    <w:rsid w:val="006D72AF"/>
    <w:rsid w:val="006D7622"/>
    <w:rsid w:val="006D7B5A"/>
    <w:rsid w:val="006E0C76"/>
    <w:rsid w:val="006E1D1B"/>
    <w:rsid w:val="006E3E08"/>
    <w:rsid w:val="006E677B"/>
    <w:rsid w:val="006F1263"/>
    <w:rsid w:val="006F1F89"/>
    <w:rsid w:val="006F39C7"/>
    <w:rsid w:val="006F3D08"/>
    <w:rsid w:val="006F4E33"/>
    <w:rsid w:val="006F78B0"/>
    <w:rsid w:val="0070024A"/>
    <w:rsid w:val="00702A42"/>
    <w:rsid w:val="0070704A"/>
    <w:rsid w:val="00707967"/>
    <w:rsid w:val="00711B86"/>
    <w:rsid w:val="00713870"/>
    <w:rsid w:val="00715D55"/>
    <w:rsid w:val="007161A4"/>
    <w:rsid w:val="00717EE5"/>
    <w:rsid w:val="00720D00"/>
    <w:rsid w:val="00720F07"/>
    <w:rsid w:val="00742A60"/>
    <w:rsid w:val="00743787"/>
    <w:rsid w:val="00744BCD"/>
    <w:rsid w:val="00746B86"/>
    <w:rsid w:val="007614E2"/>
    <w:rsid w:val="00766F5C"/>
    <w:rsid w:val="00774F8E"/>
    <w:rsid w:val="00776280"/>
    <w:rsid w:val="007835B1"/>
    <w:rsid w:val="00783771"/>
    <w:rsid w:val="00787619"/>
    <w:rsid w:val="0078792E"/>
    <w:rsid w:val="007902C4"/>
    <w:rsid w:val="00794170"/>
    <w:rsid w:val="00794AAA"/>
    <w:rsid w:val="007A7742"/>
    <w:rsid w:val="007B7DAB"/>
    <w:rsid w:val="007C20D7"/>
    <w:rsid w:val="007C4E96"/>
    <w:rsid w:val="007D2796"/>
    <w:rsid w:val="007D409D"/>
    <w:rsid w:val="007E0ACD"/>
    <w:rsid w:val="007F3537"/>
    <w:rsid w:val="007F6E11"/>
    <w:rsid w:val="007F72A1"/>
    <w:rsid w:val="00813B7F"/>
    <w:rsid w:val="0081532D"/>
    <w:rsid w:val="00832431"/>
    <w:rsid w:val="00832D2C"/>
    <w:rsid w:val="00835E65"/>
    <w:rsid w:val="008373D9"/>
    <w:rsid w:val="00843086"/>
    <w:rsid w:val="00844195"/>
    <w:rsid w:val="00845295"/>
    <w:rsid w:val="008528A7"/>
    <w:rsid w:val="008558DA"/>
    <w:rsid w:val="0086011D"/>
    <w:rsid w:val="0087384A"/>
    <w:rsid w:val="00885C7A"/>
    <w:rsid w:val="0088753F"/>
    <w:rsid w:val="00890FF2"/>
    <w:rsid w:val="008910BE"/>
    <w:rsid w:val="00897671"/>
    <w:rsid w:val="008A2EDD"/>
    <w:rsid w:val="008A7E2B"/>
    <w:rsid w:val="008B0404"/>
    <w:rsid w:val="008B5798"/>
    <w:rsid w:val="008B58A0"/>
    <w:rsid w:val="008B5EF7"/>
    <w:rsid w:val="008B7ECB"/>
    <w:rsid w:val="008C0368"/>
    <w:rsid w:val="008C415B"/>
    <w:rsid w:val="008C584B"/>
    <w:rsid w:val="008C6AF4"/>
    <w:rsid w:val="008C7F4F"/>
    <w:rsid w:val="008D6C41"/>
    <w:rsid w:val="008E1056"/>
    <w:rsid w:val="008E2052"/>
    <w:rsid w:val="008E2E60"/>
    <w:rsid w:val="008F0F75"/>
    <w:rsid w:val="008F2D8F"/>
    <w:rsid w:val="009003E6"/>
    <w:rsid w:val="00903C3D"/>
    <w:rsid w:val="00904CFA"/>
    <w:rsid w:val="0092151B"/>
    <w:rsid w:val="00923A97"/>
    <w:rsid w:val="00925A59"/>
    <w:rsid w:val="00926DDA"/>
    <w:rsid w:val="00931210"/>
    <w:rsid w:val="00932067"/>
    <w:rsid w:val="009403EC"/>
    <w:rsid w:val="009437E6"/>
    <w:rsid w:val="00944C3C"/>
    <w:rsid w:val="00947EE9"/>
    <w:rsid w:val="00951474"/>
    <w:rsid w:val="0095464D"/>
    <w:rsid w:val="009560F4"/>
    <w:rsid w:val="00964000"/>
    <w:rsid w:val="009648A0"/>
    <w:rsid w:val="0096610A"/>
    <w:rsid w:val="009764B5"/>
    <w:rsid w:val="0097736E"/>
    <w:rsid w:val="009849DA"/>
    <w:rsid w:val="009857D9"/>
    <w:rsid w:val="00990378"/>
    <w:rsid w:val="00990AB9"/>
    <w:rsid w:val="009A246E"/>
    <w:rsid w:val="009A4CB0"/>
    <w:rsid w:val="009B53EF"/>
    <w:rsid w:val="009C0547"/>
    <w:rsid w:val="009C28F9"/>
    <w:rsid w:val="009C2D41"/>
    <w:rsid w:val="009C47BF"/>
    <w:rsid w:val="009C5DF1"/>
    <w:rsid w:val="009C7124"/>
    <w:rsid w:val="009C745F"/>
    <w:rsid w:val="009D0966"/>
    <w:rsid w:val="009D3A28"/>
    <w:rsid w:val="009E1697"/>
    <w:rsid w:val="009F186C"/>
    <w:rsid w:val="00A03117"/>
    <w:rsid w:val="00A03370"/>
    <w:rsid w:val="00A07E67"/>
    <w:rsid w:val="00A11083"/>
    <w:rsid w:val="00A118EF"/>
    <w:rsid w:val="00A12A52"/>
    <w:rsid w:val="00A15268"/>
    <w:rsid w:val="00A16964"/>
    <w:rsid w:val="00A2027B"/>
    <w:rsid w:val="00A20710"/>
    <w:rsid w:val="00A22F1E"/>
    <w:rsid w:val="00A279EE"/>
    <w:rsid w:val="00A30BE4"/>
    <w:rsid w:val="00A31AA0"/>
    <w:rsid w:val="00A33A3E"/>
    <w:rsid w:val="00A40E6F"/>
    <w:rsid w:val="00A42D72"/>
    <w:rsid w:val="00A5260D"/>
    <w:rsid w:val="00A5344B"/>
    <w:rsid w:val="00A543D4"/>
    <w:rsid w:val="00A62B42"/>
    <w:rsid w:val="00A71097"/>
    <w:rsid w:val="00A741FA"/>
    <w:rsid w:val="00A765EB"/>
    <w:rsid w:val="00A8240D"/>
    <w:rsid w:val="00A824BF"/>
    <w:rsid w:val="00A83D00"/>
    <w:rsid w:val="00A84103"/>
    <w:rsid w:val="00A86144"/>
    <w:rsid w:val="00A93951"/>
    <w:rsid w:val="00A9452E"/>
    <w:rsid w:val="00A9547E"/>
    <w:rsid w:val="00AA14D9"/>
    <w:rsid w:val="00AA25DA"/>
    <w:rsid w:val="00AA2ED4"/>
    <w:rsid w:val="00AB17CF"/>
    <w:rsid w:val="00AB7080"/>
    <w:rsid w:val="00AB7587"/>
    <w:rsid w:val="00AC064B"/>
    <w:rsid w:val="00AC0D1C"/>
    <w:rsid w:val="00AD6533"/>
    <w:rsid w:val="00AE02A2"/>
    <w:rsid w:val="00AE03C1"/>
    <w:rsid w:val="00AE5BB3"/>
    <w:rsid w:val="00AE65FC"/>
    <w:rsid w:val="00AF2957"/>
    <w:rsid w:val="00AF301D"/>
    <w:rsid w:val="00B00565"/>
    <w:rsid w:val="00B03225"/>
    <w:rsid w:val="00B036F9"/>
    <w:rsid w:val="00B10EE0"/>
    <w:rsid w:val="00B11833"/>
    <w:rsid w:val="00B203FA"/>
    <w:rsid w:val="00B2280E"/>
    <w:rsid w:val="00B23097"/>
    <w:rsid w:val="00B252F2"/>
    <w:rsid w:val="00B2552A"/>
    <w:rsid w:val="00B258D9"/>
    <w:rsid w:val="00B274FB"/>
    <w:rsid w:val="00B276D6"/>
    <w:rsid w:val="00B367BB"/>
    <w:rsid w:val="00B41459"/>
    <w:rsid w:val="00B43256"/>
    <w:rsid w:val="00B478B1"/>
    <w:rsid w:val="00B47913"/>
    <w:rsid w:val="00B56FA1"/>
    <w:rsid w:val="00B578BF"/>
    <w:rsid w:val="00B62810"/>
    <w:rsid w:val="00B64E45"/>
    <w:rsid w:val="00B97D5A"/>
    <w:rsid w:val="00BA7749"/>
    <w:rsid w:val="00BB2087"/>
    <w:rsid w:val="00BB3712"/>
    <w:rsid w:val="00BC5E25"/>
    <w:rsid w:val="00BC6254"/>
    <w:rsid w:val="00BD0EBB"/>
    <w:rsid w:val="00BD3F78"/>
    <w:rsid w:val="00BD4930"/>
    <w:rsid w:val="00BE0C67"/>
    <w:rsid w:val="00BE27E6"/>
    <w:rsid w:val="00BE3E19"/>
    <w:rsid w:val="00BE483F"/>
    <w:rsid w:val="00BE7F85"/>
    <w:rsid w:val="00BF0F7F"/>
    <w:rsid w:val="00BF12F6"/>
    <w:rsid w:val="00BF3F43"/>
    <w:rsid w:val="00BF564C"/>
    <w:rsid w:val="00BF5CB0"/>
    <w:rsid w:val="00C0155D"/>
    <w:rsid w:val="00C02720"/>
    <w:rsid w:val="00C03815"/>
    <w:rsid w:val="00C04E58"/>
    <w:rsid w:val="00C050EF"/>
    <w:rsid w:val="00C06DCA"/>
    <w:rsid w:val="00C119B9"/>
    <w:rsid w:val="00C124F6"/>
    <w:rsid w:val="00C12C0D"/>
    <w:rsid w:val="00C140F3"/>
    <w:rsid w:val="00C21CB0"/>
    <w:rsid w:val="00C2722F"/>
    <w:rsid w:val="00C30246"/>
    <w:rsid w:val="00C30CD6"/>
    <w:rsid w:val="00C32171"/>
    <w:rsid w:val="00C3410D"/>
    <w:rsid w:val="00C34A7F"/>
    <w:rsid w:val="00C34EF2"/>
    <w:rsid w:val="00C37BE3"/>
    <w:rsid w:val="00C46FE8"/>
    <w:rsid w:val="00C47F0E"/>
    <w:rsid w:val="00C5002B"/>
    <w:rsid w:val="00C524C9"/>
    <w:rsid w:val="00C53CC1"/>
    <w:rsid w:val="00C6119E"/>
    <w:rsid w:val="00C6278F"/>
    <w:rsid w:val="00C64F06"/>
    <w:rsid w:val="00C65F0A"/>
    <w:rsid w:val="00C6615A"/>
    <w:rsid w:val="00C70A19"/>
    <w:rsid w:val="00C71F07"/>
    <w:rsid w:val="00C74BE5"/>
    <w:rsid w:val="00C80C9B"/>
    <w:rsid w:val="00C8105E"/>
    <w:rsid w:val="00C81381"/>
    <w:rsid w:val="00C81E9B"/>
    <w:rsid w:val="00C8413F"/>
    <w:rsid w:val="00C86A0B"/>
    <w:rsid w:val="00C979BE"/>
    <w:rsid w:val="00CA17FC"/>
    <w:rsid w:val="00CA7C26"/>
    <w:rsid w:val="00CB403F"/>
    <w:rsid w:val="00CB4944"/>
    <w:rsid w:val="00CC4B84"/>
    <w:rsid w:val="00CC5347"/>
    <w:rsid w:val="00CC58CF"/>
    <w:rsid w:val="00CC7519"/>
    <w:rsid w:val="00CD630F"/>
    <w:rsid w:val="00CE620A"/>
    <w:rsid w:val="00CF2D3A"/>
    <w:rsid w:val="00CF2EE8"/>
    <w:rsid w:val="00CF43E5"/>
    <w:rsid w:val="00CF46D3"/>
    <w:rsid w:val="00CF4923"/>
    <w:rsid w:val="00D05061"/>
    <w:rsid w:val="00D05C90"/>
    <w:rsid w:val="00D065FF"/>
    <w:rsid w:val="00D104A3"/>
    <w:rsid w:val="00D22DEE"/>
    <w:rsid w:val="00D254ED"/>
    <w:rsid w:val="00D25F3E"/>
    <w:rsid w:val="00D31F3B"/>
    <w:rsid w:val="00D371D1"/>
    <w:rsid w:val="00D376FF"/>
    <w:rsid w:val="00D379A6"/>
    <w:rsid w:val="00D42F20"/>
    <w:rsid w:val="00D4303F"/>
    <w:rsid w:val="00D552CD"/>
    <w:rsid w:val="00D56072"/>
    <w:rsid w:val="00D56642"/>
    <w:rsid w:val="00D617ED"/>
    <w:rsid w:val="00D654B1"/>
    <w:rsid w:val="00D658BC"/>
    <w:rsid w:val="00D66044"/>
    <w:rsid w:val="00D715B7"/>
    <w:rsid w:val="00D806D4"/>
    <w:rsid w:val="00D82D1A"/>
    <w:rsid w:val="00D92781"/>
    <w:rsid w:val="00DA48A5"/>
    <w:rsid w:val="00DB2B00"/>
    <w:rsid w:val="00DC241B"/>
    <w:rsid w:val="00DC7434"/>
    <w:rsid w:val="00DC77A6"/>
    <w:rsid w:val="00DD2BE0"/>
    <w:rsid w:val="00DD41D9"/>
    <w:rsid w:val="00DD4E17"/>
    <w:rsid w:val="00DD6131"/>
    <w:rsid w:val="00DE10DF"/>
    <w:rsid w:val="00DF25E5"/>
    <w:rsid w:val="00E03E62"/>
    <w:rsid w:val="00E12809"/>
    <w:rsid w:val="00E12FC1"/>
    <w:rsid w:val="00E13456"/>
    <w:rsid w:val="00E134AA"/>
    <w:rsid w:val="00E202DB"/>
    <w:rsid w:val="00E235C6"/>
    <w:rsid w:val="00E23E84"/>
    <w:rsid w:val="00E2693B"/>
    <w:rsid w:val="00E357EE"/>
    <w:rsid w:val="00E37C72"/>
    <w:rsid w:val="00E51B5B"/>
    <w:rsid w:val="00E61506"/>
    <w:rsid w:val="00E615C9"/>
    <w:rsid w:val="00E65870"/>
    <w:rsid w:val="00E66FF2"/>
    <w:rsid w:val="00E6790F"/>
    <w:rsid w:val="00E70CA1"/>
    <w:rsid w:val="00E757AE"/>
    <w:rsid w:val="00E76643"/>
    <w:rsid w:val="00E903DB"/>
    <w:rsid w:val="00E90C4B"/>
    <w:rsid w:val="00E9277E"/>
    <w:rsid w:val="00E9723E"/>
    <w:rsid w:val="00EA3B8C"/>
    <w:rsid w:val="00EA44C1"/>
    <w:rsid w:val="00EB3D8F"/>
    <w:rsid w:val="00EB5221"/>
    <w:rsid w:val="00EB7652"/>
    <w:rsid w:val="00EC0A75"/>
    <w:rsid w:val="00EC21A0"/>
    <w:rsid w:val="00ED2A8A"/>
    <w:rsid w:val="00ED40E8"/>
    <w:rsid w:val="00ED51E6"/>
    <w:rsid w:val="00EE2902"/>
    <w:rsid w:val="00F011C0"/>
    <w:rsid w:val="00F034A6"/>
    <w:rsid w:val="00F052B1"/>
    <w:rsid w:val="00F107A6"/>
    <w:rsid w:val="00F15FD9"/>
    <w:rsid w:val="00F210DC"/>
    <w:rsid w:val="00F26E0A"/>
    <w:rsid w:val="00F313A7"/>
    <w:rsid w:val="00F332A3"/>
    <w:rsid w:val="00F34357"/>
    <w:rsid w:val="00F34CCC"/>
    <w:rsid w:val="00F36460"/>
    <w:rsid w:val="00F4407D"/>
    <w:rsid w:val="00F440AA"/>
    <w:rsid w:val="00F442DE"/>
    <w:rsid w:val="00F451A0"/>
    <w:rsid w:val="00F47008"/>
    <w:rsid w:val="00F515F4"/>
    <w:rsid w:val="00F72B1B"/>
    <w:rsid w:val="00F73753"/>
    <w:rsid w:val="00F760BB"/>
    <w:rsid w:val="00F779FE"/>
    <w:rsid w:val="00F77E75"/>
    <w:rsid w:val="00F77E8C"/>
    <w:rsid w:val="00F81B9C"/>
    <w:rsid w:val="00F85F64"/>
    <w:rsid w:val="00F87464"/>
    <w:rsid w:val="00F91DC8"/>
    <w:rsid w:val="00F93E4A"/>
    <w:rsid w:val="00F94B27"/>
    <w:rsid w:val="00F97926"/>
    <w:rsid w:val="00FA0786"/>
    <w:rsid w:val="00FA1678"/>
    <w:rsid w:val="00FA3432"/>
    <w:rsid w:val="00FA5814"/>
    <w:rsid w:val="00FA5E77"/>
    <w:rsid w:val="00FB4AE3"/>
    <w:rsid w:val="00FC0372"/>
    <w:rsid w:val="00FC1BB5"/>
    <w:rsid w:val="00FC2CF3"/>
    <w:rsid w:val="00FC6341"/>
    <w:rsid w:val="00FD00ED"/>
    <w:rsid w:val="00FE130B"/>
    <w:rsid w:val="00FE67B9"/>
    <w:rsid w:val="00FE69D4"/>
    <w:rsid w:val="00FE7715"/>
    <w:rsid w:val="00FE7E3F"/>
    <w:rsid w:val="00FE7FCB"/>
    <w:rsid w:val="00FF0F8E"/>
    <w:rsid w:val="00FF48B0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63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A666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A6663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5A6663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5A6663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5A6663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5A6663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5A6663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5A6663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5A6663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A6663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5A6663"/>
    <w:pPr>
      <w:ind w:left="283" w:hanging="283"/>
    </w:pPr>
  </w:style>
  <w:style w:type="paragraph" w:styleId="List2">
    <w:name w:val="List 2"/>
    <w:basedOn w:val="Normal"/>
    <w:semiHidden/>
    <w:rsid w:val="005A6663"/>
    <w:pPr>
      <w:ind w:left="566" w:hanging="283"/>
    </w:pPr>
  </w:style>
  <w:style w:type="paragraph" w:styleId="BodyText2">
    <w:name w:val="Body Text 2"/>
    <w:basedOn w:val="Normal"/>
    <w:semiHidden/>
    <w:rsid w:val="005A6663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link w:val="BodyTextIndentChar"/>
    <w:semiHidden/>
    <w:rsid w:val="005A6663"/>
    <w:pPr>
      <w:ind w:left="2040"/>
    </w:pPr>
  </w:style>
  <w:style w:type="paragraph" w:styleId="BodyText3">
    <w:name w:val="Body Text 3"/>
    <w:basedOn w:val="Normal"/>
    <w:semiHidden/>
    <w:rsid w:val="005A6663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rsid w:val="005A6663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rsid w:val="005A66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A6663"/>
  </w:style>
  <w:style w:type="paragraph" w:customStyle="1" w:styleId="xl24">
    <w:name w:val="xl24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5A6663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5A6663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5A6663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5A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5A6663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5A666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5A6663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5A6663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5A666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5A6663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5A666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5A6663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5A6663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5A6663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5A666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5A6663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5A6663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5A666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5A6663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5A666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5A666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5A666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5A666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5A6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5A6663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5A6663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5A6663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5A6663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5A6663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5A6663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uiPriority w:val="99"/>
    <w:rsid w:val="005A66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A6663"/>
    <w:rPr>
      <w:sz w:val="20"/>
      <w:szCs w:val="20"/>
    </w:rPr>
  </w:style>
  <w:style w:type="paragraph" w:styleId="BlockText">
    <w:name w:val="Block Text"/>
    <w:basedOn w:val="Normal"/>
    <w:semiHidden/>
    <w:rsid w:val="005A6663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5A6663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5A6663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rsid w:val="005A666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A6663"/>
    <w:rPr>
      <w:color w:val="800080"/>
      <w:u w:val="single"/>
    </w:rPr>
  </w:style>
  <w:style w:type="paragraph" w:styleId="CommentText">
    <w:name w:val="annotation text"/>
    <w:basedOn w:val="Normal"/>
    <w:semiHidden/>
    <w:rsid w:val="005A6663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5A6663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5A6663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A6663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89"/>
    <w:rPr>
      <w:rFonts w:ascii="Tahoma" w:hAnsi="Tahoma" w:cs="Tahoma"/>
      <w:sz w:val="16"/>
      <w:szCs w:val="1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260D"/>
    <w:rPr>
      <w:sz w:val="24"/>
      <w:szCs w:val="24"/>
      <w:lang w:eastAsia="ar-SA"/>
    </w:rPr>
  </w:style>
  <w:style w:type="table" w:styleId="TableGrid">
    <w:name w:val="Table Grid"/>
    <w:basedOn w:val="TableNormal"/>
    <w:rsid w:val="004E7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16768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3.9568345323741011E-2"/>
          <c:y val="5.9828849518810165E-2"/>
          <c:w val="0.84892086330938743"/>
          <c:h val="0.6599513342082550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spPr>
              <a:solidFill>
                <a:schemeClr val="accent2"/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chemeClr val="accent5">
                  <a:lumMod val="50000"/>
                </a:schemeClr>
              </a:solidFill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ar-SA" sz="800">
                        <a:latin typeface="Arial" pitchFamily="34" charset="0"/>
                        <a:cs typeface="Arial" pitchFamily="34" charset="0"/>
                      </a:rPr>
                      <a:t>9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لبنان</c:v>
                </c:pt>
                <c:pt idx="1">
                  <c:v>الأردن</c:v>
                </c:pt>
                <c:pt idx="2">
                  <c:v>سوريا</c:v>
                </c:pt>
                <c:pt idx="3">
                  <c:v>الضفة الغربية</c:v>
                </c:pt>
                <c:pt idx="4">
                  <c:v>قطاع غزة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9</c:v>
                </c:pt>
                <c:pt idx="3">
                  <c:v>19</c:v>
                </c:pt>
                <c:pt idx="4">
                  <c:v>8</c:v>
                </c:pt>
              </c:numCache>
            </c:numRef>
          </c:val>
        </c:ser>
        <c:dLbls>
          <c:showVal val="1"/>
        </c:dLbls>
        <c:axId val="76852608"/>
        <c:axId val="76862592"/>
      </c:barChart>
      <c:catAx>
        <c:axId val="768526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862592"/>
        <c:crosses val="autoZero"/>
        <c:auto val="1"/>
        <c:lblAlgn val="ctr"/>
        <c:lblOffset val="100"/>
        <c:tickLblSkip val="1"/>
        <c:tickMarkSkip val="1"/>
      </c:catAx>
      <c:valAx>
        <c:axId val="768625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852608"/>
        <c:crosses val="autoZero"/>
        <c:crossBetween val="between"/>
        <c:majorUnit val="5"/>
      </c:valAx>
      <c:spPr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0.9758025092224295"/>
          <c:h val="0.932416581898529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</c:spPr>
          </c:dPt>
          <c:dPt>
            <c:idx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bg2">
                  <a:lumMod val="25000"/>
                </a:schemeClr>
              </a:solidFill>
            </c:spPr>
          </c:dPt>
          <c:dLbls>
            <c:dLbl>
              <c:idx val="0"/>
              <c:layout>
                <c:manualLayout>
                  <c:x val="0.23896871138530953"/>
                  <c:y val="-6.7911944532944954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9.1034806216234068E-2"/>
                  <c:y val="0.3193731130429712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2688962848716076"/>
                  <c:y val="4.470984479541209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5.4629253817499723E-3"/>
                  <c:y val="-0.12603340767375168"/>
                </c:manualLayout>
              </c:layout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لبنان</c:v>
                </c:pt>
                <c:pt idx="1">
                  <c:v>الأردن</c:v>
                </c:pt>
                <c:pt idx="2">
                  <c:v>سوريا</c:v>
                </c:pt>
                <c:pt idx="3">
                  <c:v>دولة فلسطين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8.7000000000000011</c:v>
                </c:pt>
                <c:pt idx="1">
                  <c:v>38.6</c:v>
                </c:pt>
                <c:pt idx="2">
                  <c:v>10.5</c:v>
                </c:pt>
                <c:pt idx="3">
                  <c:v>42.2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>
          <a:noFill/>
        </a:ln>
      </c:spPr>
    </c:plotArea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2047402809251309"/>
          <c:y val="4.6852358426405886E-2"/>
          <c:w val="0.83025385544612074"/>
          <c:h val="0.7316446638200242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chemeClr val="tx2">
                  <a:lumMod val="75000"/>
                </a:schemeClr>
              </a:solidFill>
            </c:spPr>
          </c:dPt>
          <c:dLbls>
            <c:showVal val="1"/>
          </c:dLbls>
          <c:cat>
            <c:strRef>
              <c:f>Sheet1!$A$2:$A$4</c:f>
              <c:strCache>
                <c:ptCount val="3"/>
                <c:pt idx="0">
                  <c:v>دولة 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 formatCode="General">
                  <c:v>41.2</c:v>
                </c:pt>
                <c:pt idx="1">
                  <c:v>26</c:v>
                </c:pt>
                <c:pt idx="2">
                  <c:v>64</c:v>
                </c:pt>
              </c:numCache>
            </c:numRef>
          </c:val>
        </c:ser>
        <c:axId val="80149504"/>
        <c:axId val="83709312"/>
      </c:barChart>
      <c:catAx>
        <c:axId val="801495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3709312"/>
        <c:crosses val="autoZero"/>
        <c:auto val="1"/>
        <c:lblAlgn val="ctr"/>
        <c:lblOffset val="100"/>
      </c:catAx>
      <c:valAx>
        <c:axId val="83709312"/>
        <c:scaling>
          <c:orientation val="minMax"/>
          <c:max val="70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80149504"/>
        <c:crosses val="autoZero"/>
        <c:crossBetween val="between"/>
        <c:majorUnit val="10"/>
      </c:valAx>
      <c:spPr>
        <a:noFill/>
        <a:ln w="25395">
          <a:noFill/>
        </a:ln>
      </c:spPr>
    </c:plotArea>
    <c:plotVisOnly val="1"/>
    <c:dispBlanksAs val="gap"/>
  </c:chart>
  <c:spPr>
    <a:noFill/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3.9285714285716193E-2"/>
          <c:y val="8.5365853658536647E-2"/>
          <c:w val="0.83928571428571463"/>
          <c:h val="0.6585365853658535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dPt>
            <c:idx val="1"/>
            <c:spPr>
              <a:solidFill>
                <a:schemeClr val="accent2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2.0978241121922202E-3"/>
                  <c:y val="8.6100864809897266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2882809751876973E-3"/>
                  <c:y val="-1.334166282200421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9.0730926675408748E-4"/>
                  <c:y val="-5.480490085922251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لاجئة</c:v>
                </c:pt>
                <c:pt idx="1">
                  <c:v>غير لاجئة</c:v>
                </c:pt>
                <c:pt idx="2">
                  <c:v>دولة فلسطين</c:v>
                </c:pt>
              </c:strCache>
            </c:strRef>
          </c:cat>
          <c:val>
            <c:numRef>
              <c:f>Sheet1!$B$2:$D$2</c:f>
              <c:numCache>
                <c:formatCode>#,##0.0</c:formatCode>
                <c:ptCount val="3"/>
                <c:pt idx="0" formatCode="General">
                  <c:v>4.5</c:v>
                </c:pt>
                <c:pt idx="1">
                  <c:v>4.3</c:v>
                </c:pt>
                <c:pt idx="2" formatCode="General">
                  <c:v>4.4000000000000004</c:v>
                </c:pt>
              </c:numCache>
            </c:numRef>
          </c:val>
        </c:ser>
        <c:dLbls>
          <c:showVal val="1"/>
        </c:dLbls>
        <c:axId val="95789056"/>
        <c:axId val="95790592"/>
      </c:barChart>
      <c:catAx>
        <c:axId val="95789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5790592"/>
        <c:crosses val="autoZero"/>
        <c:auto val="1"/>
        <c:lblAlgn val="ctr"/>
        <c:lblOffset val="100"/>
        <c:tickLblSkip val="1"/>
        <c:tickMarkSkip val="1"/>
      </c:catAx>
      <c:valAx>
        <c:axId val="95790592"/>
        <c:scaling>
          <c:orientation val="minMax"/>
          <c:max val="4.5"/>
          <c:min val="3"/>
        </c:scaling>
        <c:axPos val="l"/>
        <c:majorGridlines/>
        <c:numFmt formatCode="#,##0.0" sourceLinked="0"/>
        <c:tickLblPos val="nextTo"/>
        <c:txPr>
          <a:bodyPr rot="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5789056"/>
        <c:crosses val="autoZero"/>
        <c:crossBetween val="between"/>
        <c:majorUnit val="0.5"/>
        <c:minorUnit val="0.5"/>
      </c:val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7"/>
  <c:chart>
    <c:plotArea>
      <c:layout>
        <c:manualLayout>
          <c:layoutTarget val="inner"/>
          <c:xMode val="edge"/>
          <c:yMode val="edge"/>
          <c:x val="0.16553561823808816"/>
          <c:y val="0.17693862735243374"/>
          <c:w val="0.78519226530054409"/>
          <c:h val="0.57752476685094956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ذكور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امتلاك هاتف خلوي أو هاتف ذكي</c:v>
                </c:pt>
                <c:pt idx="1">
                  <c:v>استخدام هاتف خلوي أو ذكي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93.5</c:v>
                </c:pt>
                <c:pt idx="1">
                  <c:v>95.5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اناث</c:v>
                </c:pt>
              </c:strCache>
            </c:strRef>
          </c:tx>
          <c:dLbls>
            <c:txPr>
              <a:bodyPr/>
              <a:lstStyle/>
              <a:p>
                <a:pPr>
                  <a:defRPr sz="8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Sheet1!$A$2:$A$3</c:f>
              <c:strCache>
                <c:ptCount val="2"/>
                <c:pt idx="0">
                  <c:v>امتلاك هاتف خلوي أو هاتف ذكي</c:v>
                </c:pt>
                <c:pt idx="1">
                  <c:v>استخدام هاتف خلوي أو ذكي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78.8</c:v>
                </c:pt>
                <c:pt idx="1">
                  <c:v>88.8</c:v>
                </c:pt>
              </c:numCache>
            </c:numRef>
          </c:val>
        </c:ser>
        <c:axId val="76855168"/>
        <c:axId val="76856704"/>
      </c:barChart>
      <c:catAx>
        <c:axId val="76855168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856704"/>
        <c:crosses val="autoZero"/>
        <c:auto val="1"/>
        <c:lblAlgn val="ctr"/>
        <c:lblOffset val="100"/>
      </c:catAx>
      <c:valAx>
        <c:axId val="76856704"/>
        <c:scaling>
          <c:orientation val="minMax"/>
          <c:max val="100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76855168"/>
        <c:crosses val="autoZero"/>
        <c:crossBetween val="between"/>
        <c:majorUnit val="20"/>
      </c:valAx>
    </c:plotArea>
    <c:legend>
      <c:legendPos val="t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7A4B-7417-439A-9706-EDF98348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8298</CharactersWithSpaces>
  <SharedDoc>false</SharedDoc>
  <HLinks>
    <vt:vector size="6" baseType="variant">
      <vt:variant>
        <vt:i4>4522005</vt:i4>
      </vt:variant>
      <vt:variant>
        <vt:i4>6</vt:i4>
      </vt:variant>
      <vt:variant>
        <vt:i4>0</vt:i4>
      </vt:variant>
      <vt:variant>
        <vt:i4>5</vt:i4>
      </vt:variant>
      <vt:variant>
        <vt:lpwstr>http://www.unrwa.org/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hbadran</cp:lastModifiedBy>
  <cp:revision>2</cp:revision>
  <cp:lastPrinted>2019-06-19T11:01:00Z</cp:lastPrinted>
  <dcterms:created xsi:type="dcterms:W3CDTF">2019-06-19T11:05:00Z</dcterms:created>
  <dcterms:modified xsi:type="dcterms:W3CDTF">2019-06-19T11:05:00Z</dcterms:modified>
</cp:coreProperties>
</file>