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68" w:rsidRDefault="00E31968" w:rsidP="00E31968">
      <w:pPr>
        <w:ind w:left="-28" w:right="-272"/>
        <w:jc w:val="center"/>
        <w:rPr>
          <w:rFonts w:cs="Simplified Arabic" w:hint="cs"/>
          <w:b/>
          <w:bCs/>
          <w:color w:val="000000"/>
          <w:sz w:val="28"/>
          <w:szCs w:val="28"/>
          <w:rtl/>
        </w:rPr>
      </w:pPr>
      <w:bookmarkStart w:id="0" w:name="OLE_LINK5"/>
      <w:bookmarkStart w:id="1" w:name="OLE_LINK6"/>
    </w:p>
    <w:p w:rsidR="00E31968" w:rsidRDefault="00E31968" w:rsidP="00E31968">
      <w:pPr>
        <w:ind w:left="-28" w:right="-272"/>
        <w:jc w:val="center"/>
        <w:rPr>
          <w:rFonts w:cs="Simplified Arabic" w:hint="cs"/>
          <w:b/>
          <w:bCs/>
          <w:color w:val="000000"/>
          <w:sz w:val="32"/>
          <w:szCs w:val="32"/>
          <w:rtl/>
        </w:rPr>
      </w:pPr>
    </w:p>
    <w:p w:rsidR="003F4B73" w:rsidRPr="00E31968" w:rsidRDefault="00E31968" w:rsidP="00E31968">
      <w:pPr>
        <w:ind w:left="-28" w:right="-272"/>
        <w:jc w:val="center"/>
        <w:rPr>
          <w:rFonts w:cs="Simplified Arabic"/>
          <w:b/>
          <w:bCs/>
          <w:color w:val="000000"/>
          <w:sz w:val="32"/>
          <w:szCs w:val="32"/>
        </w:rPr>
      </w:pPr>
      <w:r w:rsidRPr="00E31968">
        <w:rPr>
          <w:rFonts w:cs="Simplified Arabic" w:hint="cs"/>
          <w:b/>
          <w:bCs/>
          <w:color w:val="000000"/>
          <w:sz w:val="32"/>
          <w:szCs w:val="32"/>
          <w:rtl/>
        </w:rPr>
        <w:t xml:space="preserve">الاحصاء الفلسطيني: </w:t>
      </w:r>
      <w:r w:rsidR="00D84C6E" w:rsidRPr="00E31968">
        <w:rPr>
          <w:rFonts w:cs="Simplified Arabic" w:hint="cs"/>
          <w:b/>
          <w:bCs/>
          <w:color w:val="000000"/>
          <w:sz w:val="32"/>
          <w:szCs w:val="32"/>
          <w:rtl/>
        </w:rPr>
        <w:t>انخفاض في</w:t>
      </w:r>
      <w:r w:rsidR="003F4B73" w:rsidRPr="00E31968">
        <w:rPr>
          <w:rFonts w:cs="Simplified Arabic" w:hint="cs"/>
          <w:b/>
          <w:bCs/>
          <w:color w:val="000000"/>
          <w:sz w:val="32"/>
          <w:szCs w:val="32"/>
          <w:rtl/>
        </w:rPr>
        <w:t xml:space="preserve"> الرقم القياسي ل</w:t>
      </w:r>
      <w:r w:rsidR="003F4B73" w:rsidRPr="00E31968">
        <w:rPr>
          <w:rFonts w:cs="Simplified Arabic"/>
          <w:b/>
          <w:bCs/>
          <w:color w:val="000000"/>
          <w:sz w:val="32"/>
          <w:szCs w:val="32"/>
          <w:rtl/>
        </w:rPr>
        <w:t>أسعار الجملة</w:t>
      </w:r>
      <w:r w:rsidR="003F4B73" w:rsidRPr="00E31968">
        <w:rPr>
          <w:rStyle w:val="FootnoteReference"/>
          <w:rFonts w:cs="Simplified Arabic"/>
          <w:b/>
          <w:bCs/>
          <w:color w:val="000000"/>
          <w:sz w:val="32"/>
          <w:szCs w:val="32"/>
          <w:rtl/>
        </w:rPr>
        <w:footnoteReference w:customMarkFollows="1" w:id="1"/>
        <w:t>1</w:t>
      </w:r>
      <w:r w:rsidR="003F4B73" w:rsidRPr="00E31968">
        <w:rPr>
          <w:rFonts w:cs="Simplified Arabic"/>
          <w:b/>
          <w:bCs/>
          <w:color w:val="000000"/>
          <w:sz w:val="32"/>
          <w:szCs w:val="32"/>
          <w:rtl/>
        </w:rPr>
        <w:t xml:space="preserve"> خلال </w:t>
      </w:r>
      <w:r w:rsidR="00850A4B" w:rsidRPr="00E31968">
        <w:rPr>
          <w:rFonts w:cs="Simplified Arabic" w:hint="cs"/>
          <w:b/>
          <w:bCs/>
          <w:color w:val="000000"/>
          <w:sz w:val="32"/>
          <w:szCs w:val="32"/>
          <w:rtl/>
        </w:rPr>
        <w:t xml:space="preserve">الربع </w:t>
      </w:r>
      <w:r w:rsidR="00D84C6E" w:rsidRPr="00E31968">
        <w:rPr>
          <w:rFonts w:cs="Simplified Arabic" w:hint="cs"/>
          <w:b/>
          <w:bCs/>
          <w:color w:val="000000"/>
          <w:sz w:val="32"/>
          <w:szCs w:val="32"/>
          <w:rtl/>
        </w:rPr>
        <w:t>الثاني</w:t>
      </w:r>
      <w:r w:rsidR="00850A4B" w:rsidRPr="00E31968">
        <w:rPr>
          <w:rFonts w:cs="Simplified Arabic" w:hint="cs"/>
          <w:b/>
          <w:bCs/>
          <w:color w:val="000000"/>
          <w:sz w:val="32"/>
          <w:szCs w:val="32"/>
          <w:rtl/>
        </w:rPr>
        <w:t xml:space="preserve"> من العام 2019</w:t>
      </w:r>
    </w:p>
    <w:bookmarkEnd w:id="0"/>
    <w:bookmarkEnd w:id="1"/>
    <w:p w:rsidR="00850A4B" w:rsidRPr="00E31968" w:rsidRDefault="00850A4B" w:rsidP="00083D26">
      <w:pPr>
        <w:pStyle w:val="Header"/>
        <w:tabs>
          <w:tab w:val="left" w:pos="5925"/>
        </w:tabs>
        <w:jc w:val="both"/>
        <w:rPr>
          <w:rFonts w:ascii="Simplified Arabic" w:hAnsi="Simplified Arabic" w:cs="Simplified Arabic"/>
          <w:color w:val="000000"/>
          <w:sz w:val="16"/>
          <w:szCs w:val="16"/>
          <w:rtl/>
        </w:rPr>
      </w:pPr>
    </w:p>
    <w:p w:rsidR="00F321C5" w:rsidRPr="00D709D4" w:rsidRDefault="00F321C5" w:rsidP="00694978">
      <w:pPr>
        <w:pStyle w:val="Header"/>
        <w:tabs>
          <w:tab w:val="left" w:pos="5925"/>
        </w:tabs>
        <w:jc w:val="both"/>
        <w:rPr>
          <w:rFonts w:ascii="Simplified Arabic" w:hAnsi="Simplified Arabic" w:cs="Simplified Arabic"/>
          <w:b/>
          <w:bCs/>
          <w:color w:val="000000"/>
          <w:sz w:val="24"/>
          <w:szCs w:val="24"/>
          <w:rtl/>
        </w:rPr>
      </w:pPr>
      <w:r w:rsidRPr="00D709D4">
        <w:rPr>
          <w:rFonts w:ascii="Simplified Arabic" w:hAnsi="Simplified Arabic" w:cs="Simplified Arabic"/>
          <w:color w:val="000000"/>
          <w:sz w:val="24"/>
          <w:szCs w:val="24"/>
          <w:rtl/>
        </w:rPr>
        <w:t xml:space="preserve">سجل الرقم القياسي العام لأسعار الجملة </w:t>
      </w:r>
      <w:r w:rsidR="00D84C6E">
        <w:rPr>
          <w:rFonts w:ascii="Simplified Arabic" w:hAnsi="Simplified Arabic" w:cs="Simplified Arabic" w:hint="cs"/>
          <w:color w:val="000000"/>
          <w:sz w:val="24"/>
          <w:szCs w:val="24"/>
          <w:rtl/>
        </w:rPr>
        <w:t>انخفاضاً مقداره 1.58</w:t>
      </w:r>
      <w:r w:rsidRPr="00D709D4">
        <w:rPr>
          <w:rFonts w:ascii="Simplified Arabic" w:hAnsi="Simplified Arabic" w:cs="Simplified Arabic"/>
          <w:color w:val="000000"/>
          <w:sz w:val="24"/>
          <w:szCs w:val="24"/>
          <w:rtl/>
        </w:rPr>
        <w:t xml:space="preserve">% خلال الربع </w:t>
      </w:r>
      <w:r w:rsidR="00D84C6E">
        <w:rPr>
          <w:rFonts w:ascii="Simplified Arabic" w:hAnsi="Simplified Arabic" w:cs="Simplified Arabic" w:hint="cs"/>
          <w:color w:val="000000"/>
          <w:sz w:val="24"/>
          <w:szCs w:val="24"/>
          <w:rtl/>
        </w:rPr>
        <w:t>الثاني</w:t>
      </w:r>
      <w:r w:rsidRPr="00D709D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مقارنة </w:t>
      </w:r>
      <w:r w:rsidR="006879BB">
        <w:rPr>
          <w:rFonts w:ascii="Simplified Arabic" w:hAnsi="Simplified Arabic" w:cs="Simplified Arabic" w:hint="cs"/>
          <w:color w:val="000000"/>
          <w:sz w:val="24"/>
          <w:szCs w:val="24"/>
          <w:rtl/>
        </w:rPr>
        <w:t>ب</w:t>
      </w:r>
      <w:r w:rsidR="006879BB" w:rsidRPr="00D709D4">
        <w:rPr>
          <w:rFonts w:ascii="Simplified Arabic" w:hAnsi="Simplified Arabic" w:cs="Simplified Arabic"/>
          <w:color w:val="000000"/>
          <w:sz w:val="24"/>
          <w:szCs w:val="24"/>
          <w:rtl/>
        </w:rPr>
        <w:t xml:space="preserve">الربع </w:t>
      </w:r>
      <w:r w:rsidR="00D84C6E">
        <w:rPr>
          <w:rFonts w:ascii="Simplified Arabic" w:hAnsi="Simplified Arabic" w:cs="Simplified Arabic" w:hint="cs"/>
          <w:color w:val="000000"/>
          <w:sz w:val="24"/>
          <w:szCs w:val="24"/>
          <w:rtl/>
        </w:rPr>
        <w:t>الأول</w:t>
      </w:r>
      <w:r w:rsidR="006879BB" w:rsidRPr="00D709D4">
        <w:rPr>
          <w:rFonts w:ascii="Simplified Arabic" w:hAnsi="Simplified Arabic" w:cs="Simplified Arabic"/>
          <w:color w:val="000000"/>
          <w:sz w:val="24"/>
          <w:szCs w:val="24"/>
          <w:rtl/>
        </w:rPr>
        <w:t xml:space="preserve"> </w:t>
      </w:r>
      <w:r w:rsidR="00D84C6E">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حيث بلغ الرقم القياسي العام لأسعار الجملة </w:t>
      </w:r>
      <w:r w:rsidR="00D84C6E">
        <w:rPr>
          <w:rFonts w:ascii="Simplified Arabic" w:hAnsi="Simplified Arabic" w:cs="Simplified Arabic" w:hint="cs"/>
          <w:color w:val="000000"/>
          <w:sz w:val="24"/>
          <w:szCs w:val="24"/>
          <w:rtl/>
        </w:rPr>
        <w:t>125.10</w:t>
      </w:r>
      <w:r w:rsidRPr="00D709D4">
        <w:rPr>
          <w:rFonts w:ascii="Simplified Arabic" w:hAnsi="Simplified Arabic" w:cs="Simplified Arabic"/>
          <w:color w:val="000000"/>
          <w:sz w:val="24"/>
          <w:szCs w:val="24"/>
          <w:rtl/>
        </w:rPr>
        <w:t xml:space="preserve"> خلال الربع </w:t>
      </w:r>
      <w:r w:rsidR="00D84C6E">
        <w:rPr>
          <w:rFonts w:ascii="Simplified Arabic" w:hAnsi="Simplified Arabic" w:cs="Simplified Arabic" w:hint="cs"/>
          <w:color w:val="000000"/>
          <w:sz w:val="24"/>
          <w:szCs w:val="24"/>
          <w:rtl/>
        </w:rPr>
        <w:t>الثاني</w:t>
      </w:r>
      <w:r w:rsidRPr="00D709D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مقارنة </w:t>
      </w:r>
      <w:proofErr w:type="spellStart"/>
      <w:r w:rsidRPr="00D709D4">
        <w:rPr>
          <w:rFonts w:ascii="Simplified Arabic" w:hAnsi="Simplified Arabic" w:cs="Simplified Arabic"/>
          <w:color w:val="000000"/>
          <w:sz w:val="24"/>
          <w:szCs w:val="24"/>
          <w:rtl/>
        </w:rPr>
        <w:t>بـ</w:t>
      </w:r>
      <w:proofErr w:type="spellEnd"/>
      <w:r w:rsidRPr="00D709D4">
        <w:rPr>
          <w:rFonts w:ascii="Simplified Arabic" w:hAnsi="Simplified Arabic" w:cs="Simplified Arabic"/>
          <w:color w:val="000000"/>
          <w:sz w:val="24"/>
          <w:szCs w:val="24"/>
          <w:rtl/>
        </w:rPr>
        <w:t xml:space="preserve"> </w:t>
      </w:r>
      <w:r w:rsidR="00D84C6E">
        <w:rPr>
          <w:rFonts w:ascii="Simplified Arabic" w:hAnsi="Simplified Arabic" w:cs="Simplified Arabic" w:hint="cs"/>
          <w:color w:val="000000"/>
          <w:sz w:val="24"/>
          <w:szCs w:val="24"/>
          <w:rtl/>
        </w:rPr>
        <w:t>127.12</w:t>
      </w:r>
      <w:r w:rsidR="00995421">
        <w:rPr>
          <w:rFonts w:ascii="Simplified Arabic" w:hAnsi="Simplified Arabic" w:cs="Simplified Arabic"/>
          <w:color w:val="000000"/>
          <w:sz w:val="24"/>
          <w:szCs w:val="24"/>
          <w:rtl/>
        </w:rPr>
        <w:t xml:space="preserve"> خلال الربع </w:t>
      </w:r>
      <w:r w:rsidR="00D84C6E">
        <w:rPr>
          <w:rFonts w:ascii="Simplified Arabic" w:hAnsi="Simplified Arabic" w:cs="Simplified Arabic" w:hint="cs"/>
          <w:color w:val="000000"/>
          <w:sz w:val="24"/>
          <w:szCs w:val="24"/>
          <w:rtl/>
        </w:rPr>
        <w:t>الأول</w:t>
      </w:r>
      <w:r w:rsidR="00995421">
        <w:rPr>
          <w:rFonts w:ascii="Simplified Arabic" w:hAnsi="Simplified Arabic" w:cs="Simplified Arabic" w:hint="cs"/>
          <w:color w:val="000000"/>
          <w:sz w:val="24"/>
          <w:szCs w:val="24"/>
          <w:rtl/>
        </w:rPr>
        <w:t xml:space="preserve"> </w:t>
      </w:r>
      <w:r w:rsidR="00D84C6E">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(سنة الأساس 2007</w:t>
      </w:r>
      <w:r w:rsidR="00995421">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w:t>
      </w:r>
      <w:r w:rsidR="00995421">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100).</w:t>
      </w:r>
    </w:p>
    <w:p w:rsidR="00F321C5" w:rsidRPr="00E31968" w:rsidRDefault="00F321C5" w:rsidP="00F321C5">
      <w:pPr>
        <w:pStyle w:val="Header"/>
        <w:tabs>
          <w:tab w:val="left" w:pos="5925"/>
        </w:tabs>
        <w:jc w:val="both"/>
        <w:rPr>
          <w:rFonts w:ascii="Simplified Arabic" w:hAnsi="Simplified Arabic" w:cs="Simplified Arabic"/>
          <w:b/>
          <w:bCs/>
          <w:color w:val="000000"/>
          <w:sz w:val="16"/>
          <w:szCs w:val="16"/>
          <w:rtl/>
        </w:rPr>
      </w:pPr>
    </w:p>
    <w:p w:rsidR="00E73C8F" w:rsidRPr="00E31968" w:rsidRDefault="00E73C8F" w:rsidP="00E73C8F">
      <w:pPr>
        <w:pStyle w:val="Header"/>
        <w:tabs>
          <w:tab w:val="left" w:pos="5925"/>
        </w:tabs>
        <w:jc w:val="both"/>
        <w:rPr>
          <w:rFonts w:ascii="Simplified Arabic" w:hAnsi="Simplified Arabic" w:cs="Simplified Arabic"/>
          <w:b/>
          <w:bCs/>
          <w:sz w:val="26"/>
          <w:szCs w:val="26"/>
          <w:rtl/>
        </w:rPr>
      </w:pPr>
      <w:r w:rsidRPr="00E31968">
        <w:rPr>
          <w:rFonts w:ascii="Simplified Arabic" w:hAnsi="Simplified Arabic" w:cs="Simplified Arabic"/>
          <w:b/>
          <w:bCs/>
          <w:sz w:val="26"/>
          <w:szCs w:val="26"/>
          <w:rtl/>
        </w:rPr>
        <w:t>الرقم القياسي لأسعار الجملة للسلع المحلية</w:t>
      </w:r>
    </w:p>
    <w:p w:rsidR="00E73C8F" w:rsidRPr="00071184" w:rsidRDefault="00E73C8F" w:rsidP="00E31968">
      <w:pPr>
        <w:pStyle w:val="Header"/>
        <w:tabs>
          <w:tab w:val="left" w:pos="5925"/>
        </w:tabs>
        <w:jc w:val="both"/>
        <w:rPr>
          <w:rFonts w:ascii="Simplified Arabic" w:hAnsi="Simplified Arabic" w:cs="Simplified Arabic"/>
          <w:color w:val="000000"/>
          <w:sz w:val="24"/>
          <w:szCs w:val="24"/>
          <w:rtl/>
        </w:rPr>
      </w:pPr>
      <w:r w:rsidRPr="00071184">
        <w:rPr>
          <w:rFonts w:ascii="Simplified Arabic" w:hAnsi="Simplified Arabic" w:cs="Simplified Arabic"/>
          <w:color w:val="000000"/>
          <w:sz w:val="24"/>
          <w:szCs w:val="24"/>
          <w:rtl/>
        </w:rPr>
        <w:t xml:space="preserve">سجل الرقم القياسي لأسعار الجملة للسلع المحلية </w:t>
      </w:r>
      <w:r w:rsidR="00D84C6E">
        <w:rPr>
          <w:rFonts w:ascii="Simplified Arabic" w:hAnsi="Simplified Arabic" w:cs="Simplified Arabic" w:hint="cs"/>
          <w:color w:val="000000"/>
          <w:sz w:val="24"/>
          <w:szCs w:val="24"/>
          <w:rtl/>
        </w:rPr>
        <w:t>انخفاضاً مقداره</w:t>
      </w:r>
      <w:r w:rsidRPr="00071184">
        <w:rPr>
          <w:rFonts w:ascii="Simplified Arabic" w:hAnsi="Simplified Arabic" w:cs="Simplified Arabic"/>
          <w:color w:val="000000"/>
          <w:sz w:val="24"/>
          <w:szCs w:val="24"/>
          <w:rtl/>
        </w:rPr>
        <w:t xml:space="preserve"> </w:t>
      </w:r>
      <w:r w:rsidR="00D84C6E">
        <w:rPr>
          <w:rFonts w:ascii="Simplified Arabic" w:hAnsi="Simplified Arabic" w:cs="Simplified Arabic" w:hint="cs"/>
          <w:color w:val="000000"/>
          <w:sz w:val="24"/>
          <w:szCs w:val="24"/>
          <w:rtl/>
        </w:rPr>
        <w:t>2.80</w:t>
      </w:r>
      <w:r w:rsidRPr="00071184">
        <w:rPr>
          <w:rFonts w:ascii="Simplified Arabic" w:hAnsi="Simplified Arabic" w:cs="Simplified Arabic"/>
          <w:color w:val="000000"/>
          <w:sz w:val="24"/>
          <w:szCs w:val="24"/>
          <w:rtl/>
        </w:rPr>
        <w:t xml:space="preserve">%، حيث بلغ الرقم القياسي لأسعار الجملة للسلع المحلية </w:t>
      </w:r>
      <w:r w:rsidR="00D84C6E">
        <w:rPr>
          <w:rFonts w:ascii="Simplified Arabic" w:hAnsi="Simplified Arabic" w:cs="Simplified Arabic" w:hint="cs"/>
          <w:color w:val="000000"/>
          <w:sz w:val="24"/>
          <w:szCs w:val="24"/>
          <w:rtl/>
        </w:rPr>
        <w:t>128.54</w:t>
      </w:r>
      <w:r>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 xml:space="preserve">خلال الربع </w:t>
      </w:r>
      <w:r w:rsidR="00D84C6E">
        <w:rPr>
          <w:rFonts w:ascii="Simplified Arabic" w:hAnsi="Simplified Arabic" w:cs="Simplified Arabic" w:hint="cs"/>
          <w:color w:val="000000"/>
          <w:sz w:val="24"/>
          <w:szCs w:val="24"/>
          <w:rtl/>
        </w:rPr>
        <w:t>الثاني</w:t>
      </w:r>
      <w:r w:rsidRPr="0007118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071184">
        <w:rPr>
          <w:rFonts w:ascii="Simplified Arabic" w:hAnsi="Simplified Arabic" w:cs="Simplified Arabic"/>
          <w:color w:val="000000"/>
          <w:sz w:val="24"/>
          <w:szCs w:val="24"/>
          <w:rtl/>
        </w:rPr>
        <w:t xml:space="preserve"> مقارنة</w:t>
      </w:r>
      <w:r w:rsidR="00DB71DC">
        <w:rPr>
          <w:rFonts w:ascii="Simplified Arabic" w:hAnsi="Simplified Arabic" w:cs="Simplified Arabic" w:hint="cs"/>
          <w:color w:val="000000"/>
          <w:sz w:val="24"/>
          <w:szCs w:val="24"/>
          <w:rtl/>
        </w:rPr>
        <w:t xml:space="preserve"> </w:t>
      </w:r>
      <w:proofErr w:type="spellStart"/>
      <w:r w:rsidRPr="00071184">
        <w:rPr>
          <w:rFonts w:ascii="Simplified Arabic" w:hAnsi="Simplified Arabic" w:cs="Simplified Arabic"/>
          <w:color w:val="000000"/>
          <w:sz w:val="24"/>
          <w:szCs w:val="24"/>
          <w:rtl/>
        </w:rPr>
        <w:t>بـ</w:t>
      </w:r>
      <w:proofErr w:type="spellEnd"/>
      <w:r w:rsidRPr="00071184">
        <w:rPr>
          <w:rFonts w:ascii="Simplified Arabic" w:hAnsi="Simplified Arabic" w:cs="Simplified Arabic"/>
          <w:color w:val="000000"/>
          <w:sz w:val="24"/>
          <w:szCs w:val="24"/>
          <w:rtl/>
        </w:rPr>
        <w:t xml:space="preserve"> </w:t>
      </w:r>
      <w:r w:rsidR="00D84C6E">
        <w:rPr>
          <w:rFonts w:ascii="Simplified Arabic" w:hAnsi="Simplified Arabic" w:cs="Simplified Arabic" w:hint="cs"/>
          <w:color w:val="000000"/>
          <w:sz w:val="24"/>
          <w:szCs w:val="24"/>
          <w:rtl/>
        </w:rPr>
        <w:t>132.25</w:t>
      </w:r>
      <w:r w:rsidRPr="00071184">
        <w:rPr>
          <w:rFonts w:ascii="Simplified Arabic" w:hAnsi="Simplified Arabic" w:cs="Simplified Arabic"/>
          <w:color w:val="000000"/>
          <w:sz w:val="24"/>
          <w:szCs w:val="24"/>
          <w:rtl/>
        </w:rPr>
        <w:t xml:space="preserve"> خلال الربع </w:t>
      </w:r>
      <w:r w:rsidR="00D84C6E">
        <w:rPr>
          <w:rFonts w:ascii="Simplified Arabic" w:hAnsi="Simplified Arabic" w:cs="Simplified Arabic" w:hint="cs"/>
          <w:color w:val="000000"/>
          <w:sz w:val="24"/>
          <w:szCs w:val="24"/>
          <w:rtl/>
        </w:rPr>
        <w:t>الأول</w:t>
      </w:r>
      <w:r w:rsidRPr="00071184">
        <w:rPr>
          <w:rFonts w:ascii="Simplified Arabic" w:hAnsi="Simplified Arabic" w:cs="Simplified Arabic" w:hint="cs"/>
          <w:color w:val="000000"/>
          <w:sz w:val="24"/>
          <w:szCs w:val="24"/>
          <w:rtl/>
        </w:rPr>
        <w:t xml:space="preserve"> </w:t>
      </w:r>
      <w:r w:rsidR="00D84C6E">
        <w:rPr>
          <w:rFonts w:ascii="Simplified Arabic" w:hAnsi="Simplified Arabic" w:cs="Simplified Arabic" w:hint="cs"/>
          <w:color w:val="000000"/>
          <w:sz w:val="24"/>
          <w:szCs w:val="24"/>
          <w:rtl/>
        </w:rPr>
        <w:t>2019</w:t>
      </w:r>
      <w:r w:rsidRPr="00071184">
        <w:rPr>
          <w:rFonts w:ascii="Simplified Arabic" w:hAnsi="Simplified Arabic" w:cs="Simplified Arabic"/>
          <w:color w:val="000000"/>
          <w:sz w:val="24"/>
          <w:szCs w:val="24"/>
          <w:rtl/>
        </w:rPr>
        <w:t xml:space="preserve"> (سنة الأساس 2007</w:t>
      </w:r>
      <w:r w:rsidRPr="00071184">
        <w:rPr>
          <w:rFonts w:ascii="Simplified Arabic" w:hAnsi="Simplified Arabic" w:cs="Simplified Arabic" w:hint="cs"/>
          <w:color w:val="000000"/>
          <w:sz w:val="24"/>
          <w:szCs w:val="24"/>
          <w:rtl/>
        </w:rPr>
        <w:t xml:space="preserve"> </w:t>
      </w:r>
      <w:proofErr w:type="spellStart"/>
      <w:r w:rsidRPr="00071184">
        <w:rPr>
          <w:rFonts w:ascii="Simplified Arabic" w:hAnsi="Simplified Arabic" w:cs="Simplified Arabic"/>
          <w:color w:val="000000"/>
          <w:sz w:val="24"/>
          <w:szCs w:val="24"/>
          <w:rtl/>
        </w:rPr>
        <w:t>=</w:t>
      </w:r>
      <w:proofErr w:type="spellEnd"/>
      <w:r w:rsidRPr="00071184">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100</w:t>
      </w:r>
      <w:proofErr w:type="spellStart"/>
      <w:r w:rsidRPr="00071184">
        <w:rPr>
          <w:rFonts w:ascii="Simplified Arabic" w:hAnsi="Simplified Arabic" w:cs="Simplified Arabic"/>
          <w:color w:val="000000"/>
          <w:sz w:val="24"/>
          <w:szCs w:val="24"/>
          <w:rtl/>
        </w:rPr>
        <w:t>).</w:t>
      </w:r>
      <w:proofErr w:type="spellEnd"/>
    </w:p>
    <w:p w:rsidR="00CA4C1F" w:rsidRPr="00E31968" w:rsidRDefault="00CA4C1F" w:rsidP="00071184">
      <w:pPr>
        <w:pStyle w:val="Header"/>
        <w:tabs>
          <w:tab w:val="left" w:pos="5925"/>
        </w:tabs>
        <w:jc w:val="both"/>
        <w:rPr>
          <w:rFonts w:ascii="Simplified Arabic" w:hAnsi="Simplified Arabic" w:cs="Simplified Arabic"/>
          <w:b/>
          <w:bCs/>
          <w:color w:val="000000"/>
          <w:sz w:val="16"/>
          <w:szCs w:val="16"/>
          <w:rtl/>
        </w:rPr>
      </w:pPr>
    </w:p>
    <w:p w:rsidR="00071184" w:rsidRPr="00E31968" w:rsidRDefault="00071184" w:rsidP="00071184">
      <w:pPr>
        <w:pStyle w:val="Header"/>
        <w:tabs>
          <w:tab w:val="left" w:pos="5925"/>
        </w:tabs>
        <w:jc w:val="both"/>
        <w:rPr>
          <w:rFonts w:ascii="Simplified Arabic" w:hAnsi="Simplified Arabic" w:cs="Simplified Arabic"/>
          <w:b/>
          <w:bCs/>
          <w:sz w:val="26"/>
          <w:szCs w:val="26"/>
          <w:rtl/>
        </w:rPr>
      </w:pPr>
      <w:r w:rsidRPr="00E31968">
        <w:rPr>
          <w:rFonts w:ascii="Simplified Arabic" w:hAnsi="Simplified Arabic" w:cs="Simplified Arabic"/>
          <w:b/>
          <w:bCs/>
          <w:sz w:val="26"/>
          <w:szCs w:val="26"/>
          <w:rtl/>
        </w:rPr>
        <w:t>الرقم القياسي لأسعار الجملة للسلع المستوردة</w:t>
      </w:r>
    </w:p>
    <w:p w:rsidR="00071184" w:rsidRPr="00D709D4" w:rsidRDefault="00071184" w:rsidP="00E31968">
      <w:pPr>
        <w:pStyle w:val="Header"/>
        <w:tabs>
          <w:tab w:val="left" w:pos="5925"/>
        </w:tabs>
        <w:jc w:val="both"/>
        <w:rPr>
          <w:rFonts w:ascii="Simplified Arabic" w:hAnsi="Simplified Arabic" w:cs="Simplified Arabic"/>
          <w:color w:val="000000"/>
          <w:sz w:val="24"/>
          <w:szCs w:val="24"/>
          <w:rtl/>
        </w:rPr>
      </w:pPr>
      <w:r w:rsidRPr="00D709D4">
        <w:rPr>
          <w:rFonts w:ascii="Simplified Arabic" w:hAnsi="Simplified Arabic" w:cs="Simplified Arabic"/>
          <w:color w:val="000000"/>
          <w:sz w:val="24"/>
          <w:szCs w:val="24"/>
          <w:rtl/>
        </w:rPr>
        <w:t xml:space="preserve">سجل الرقم القياسي لأسعار الجملة للسلع المستوردة </w:t>
      </w:r>
      <w:r>
        <w:rPr>
          <w:rFonts w:ascii="Simplified Arabic" w:hAnsi="Simplified Arabic" w:cs="Simplified Arabic" w:hint="cs"/>
          <w:color w:val="000000"/>
          <w:sz w:val="24"/>
          <w:szCs w:val="24"/>
          <w:rtl/>
        </w:rPr>
        <w:t>ا</w:t>
      </w:r>
      <w:r w:rsidR="00E73C8F">
        <w:rPr>
          <w:rFonts w:ascii="Simplified Arabic" w:hAnsi="Simplified Arabic" w:cs="Simplified Arabic" w:hint="cs"/>
          <w:color w:val="000000"/>
          <w:sz w:val="24"/>
          <w:szCs w:val="24"/>
          <w:rtl/>
        </w:rPr>
        <w:t>نخفاض</w:t>
      </w:r>
      <w:r>
        <w:rPr>
          <w:rFonts w:ascii="Simplified Arabic" w:hAnsi="Simplified Arabic" w:cs="Simplified Arabic" w:hint="cs"/>
          <w:color w:val="000000"/>
          <w:sz w:val="24"/>
          <w:szCs w:val="24"/>
          <w:rtl/>
        </w:rPr>
        <w:t>اً</w:t>
      </w:r>
      <w:r w:rsidRPr="00D709D4">
        <w:rPr>
          <w:rFonts w:ascii="Simplified Arabic" w:hAnsi="Simplified Arabic" w:cs="Simplified Arabic" w:hint="cs"/>
          <w:color w:val="000000"/>
          <w:sz w:val="24"/>
          <w:szCs w:val="24"/>
          <w:rtl/>
        </w:rPr>
        <w:t xml:space="preserve"> </w:t>
      </w:r>
      <w:r w:rsidR="00E73C8F">
        <w:rPr>
          <w:rFonts w:ascii="Simplified Arabic" w:hAnsi="Simplified Arabic" w:cs="Simplified Arabic" w:hint="cs"/>
          <w:color w:val="000000"/>
          <w:sz w:val="24"/>
          <w:szCs w:val="24"/>
          <w:rtl/>
        </w:rPr>
        <w:t>مقداره</w:t>
      </w:r>
      <w:r w:rsidRPr="00D709D4">
        <w:rPr>
          <w:rFonts w:ascii="Simplified Arabic" w:hAnsi="Simplified Arabic" w:cs="Simplified Arabic"/>
          <w:color w:val="000000"/>
          <w:sz w:val="24"/>
          <w:szCs w:val="24"/>
          <w:rtl/>
        </w:rPr>
        <w:t xml:space="preserve"> </w:t>
      </w:r>
      <w:r w:rsidR="00D84C6E">
        <w:rPr>
          <w:rFonts w:ascii="Simplified Arabic" w:hAnsi="Simplified Arabic" w:cs="Simplified Arabic" w:hint="cs"/>
          <w:color w:val="000000"/>
          <w:sz w:val="24"/>
          <w:szCs w:val="24"/>
          <w:rtl/>
        </w:rPr>
        <w:t>0.20</w:t>
      </w:r>
      <w:r w:rsidRPr="00D709D4">
        <w:rPr>
          <w:rFonts w:ascii="Simplified Arabic" w:hAnsi="Simplified Arabic" w:cs="Simplified Arabic"/>
          <w:color w:val="000000"/>
          <w:sz w:val="24"/>
          <w:szCs w:val="24"/>
          <w:rtl/>
        </w:rPr>
        <w:t xml:space="preserve">%، حيث بلغ الرقم القياسي لأسعار الجملة للسلع المستوردة </w:t>
      </w:r>
      <w:r w:rsidR="00D84C6E">
        <w:rPr>
          <w:rFonts w:ascii="Simplified Arabic" w:hAnsi="Simplified Arabic" w:cs="Simplified Arabic" w:hint="cs"/>
          <w:color w:val="000000"/>
          <w:sz w:val="24"/>
          <w:szCs w:val="24"/>
          <w:rtl/>
        </w:rPr>
        <w:t>121.62</w:t>
      </w:r>
      <w:r w:rsidRPr="00D709D4">
        <w:rPr>
          <w:rFonts w:ascii="Simplified Arabic" w:hAnsi="Simplified Arabic" w:cs="Simplified Arabic"/>
          <w:color w:val="000000"/>
          <w:sz w:val="24"/>
          <w:szCs w:val="24"/>
          <w:rtl/>
        </w:rPr>
        <w:t xml:space="preserve"> خلال الربع </w:t>
      </w:r>
      <w:r w:rsidR="00D84C6E">
        <w:rPr>
          <w:rFonts w:ascii="Simplified Arabic" w:hAnsi="Simplified Arabic" w:cs="Simplified Arabic" w:hint="cs"/>
          <w:color w:val="000000"/>
          <w:sz w:val="24"/>
          <w:szCs w:val="24"/>
          <w:rtl/>
        </w:rPr>
        <w:t>الثاني</w:t>
      </w:r>
      <w:r w:rsidRPr="00D709D4">
        <w:rPr>
          <w:rFonts w:ascii="Simplified Arabic" w:hAnsi="Simplified Arabic" w:cs="Simplified Arabic"/>
          <w:color w:val="000000"/>
          <w:sz w:val="24"/>
          <w:szCs w:val="24"/>
          <w:rtl/>
        </w:rPr>
        <w:t xml:space="preserve"> </w:t>
      </w:r>
      <w:r w:rsidR="00850A4B">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مقارنة</w:t>
      </w:r>
      <w:r>
        <w:rPr>
          <w:rFonts w:ascii="Simplified Arabic" w:hAnsi="Simplified Arabic" w:cs="Simplified Arabic" w:hint="cs"/>
          <w:color w:val="000000"/>
          <w:sz w:val="24"/>
          <w:szCs w:val="24"/>
          <w:rtl/>
        </w:rPr>
        <w:t xml:space="preserve"> </w:t>
      </w:r>
      <w:proofErr w:type="spellStart"/>
      <w:r w:rsidRPr="00D709D4">
        <w:rPr>
          <w:rFonts w:ascii="Simplified Arabic" w:hAnsi="Simplified Arabic" w:cs="Simplified Arabic"/>
          <w:color w:val="000000"/>
          <w:sz w:val="24"/>
          <w:szCs w:val="24"/>
          <w:rtl/>
        </w:rPr>
        <w:t>بـ</w:t>
      </w:r>
      <w:proofErr w:type="spellEnd"/>
      <w:r w:rsidRPr="00D709D4">
        <w:rPr>
          <w:rFonts w:ascii="Simplified Arabic" w:hAnsi="Simplified Arabic" w:cs="Simplified Arabic"/>
          <w:color w:val="000000"/>
          <w:sz w:val="24"/>
          <w:szCs w:val="24"/>
          <w:rtl/>
        </w:rPr>
        <w:t xml:space="preserve"> </w:t>
      </w:r>
      <w:r w:rsidR="00D84C6E">
        <w:rPr>
          <w:rFonts w:ascii="Simplified Arabic" w:hAnsi="Simplified Arabic" w:cs="Simplified Arabic" w:hint="cs"/>
          <w:color w:val="000000"/>
          <w:sz w:val="24"/>
          <w:szCs w:val="24"/>
          <w:rtl/>
        </w:rPr>
        <w:t>121.87</w:t>
      </w:r>
      <w:r>
        <w:rPr>
          <w:rFonts w:ascii="Simplified Arabic" w:hAnsi="Simplified Arabic" w:cs="Simplified Arabic"/>
          <w:color w:val="000000"/>
          <w:sz w:val="24"/>
          <w:szCs w:val="24"/>
          <w:rtl/>
        </w:rPr>
        <w:t xml:space="preserve"> خلال الربع </w:t>
      </w:r>
      <w:r w:rsidR="00D84C6E">
        <w:rPr>
          <w:rFonts w:ascii="Simplified Arabic" w:hAnsi="Simplified Arabic" w:cs="Simplified Arabic" w:hint="cs"/>
          <w:color w:val="000000"/>
          <w:sz w:val="24"/>
          <w:szCs w:val="24"/>
          <w:rtl/>
        </w:rPr>
        <w:t>الأول</w:t>
      </w:r>
      <w:r>
        <w:rPr>
          <w:rFonts w:ascii="Simplified Arabic" w:hAnsi="Simplified Arabic" w:cs="Simplified Arabic" w:hint="cs"/>
          <w:color w:val="000000"/>
          <w:sz w:val="24"/>
          <w:szCs w:val="24"/>
          <w:rtl/>
        </w:rPr>
        <w:t xml:space="preserve"> </w:t>
      </w:r>
      <w:r w:rsidR="00D84C6E">
        <w:rPr>
          <w:rFonts w:ascii="Simplified Arabic" w:hAnsi="Simplified Arabic" w:cs="Simplified Arabic" w:hint="cs"/>
          <w:color w:val="000000"/>
          <w:sz w:val="24"/>
          <w:szCs w:val="24"/>
          <w:rtl/>
        </w:rPr>
        <w:t>2019</w:t>
      </w:r>
      <w:r w:rsidRPr="00D709D4">
        <w:rPr>
          <w:rFonts w:ascii="Simplified Arabic" w:hAnsi="Simplified Arabic" w:cs="Simplified Arabic"/>
          <w:color w:val="000000"/>
          <w:sz w:val="24"/>
          <w:szCs w:val="24"/>
          <w:rtl/>
        </w:rPr>
        <w:t xml:space="preserve"> (سنة الأساس</w:t>
      </w:r>
      <w:r w:rsidR="00E31968">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2007</w:t>
      </w:r>
      <w:r>
        <w:rPr>
          <w:rFonts w:ascii="Simplified Arabic" w:hAnsi="Simplified Arabic" w:cs="Simplified Arabic" w:hint="cs"/>
          <w:color w:val="000000"/>
          <w:sz w:val="24"/>
          <w:szCs w:val="24"/>
          <w:rtl/>
        </w:rPr>
        <w:t xml:space="preserve"> </w:t>
      </w:r>
      <w:proofErr w:type="spellStart"/>
      <w:r w:rsidRPr="00D709D4">
        <w:rPr>
          <w:rFonts w:ascii="Simplified Arabic" w:hAnsi="Simplified Arabic" w:cs="Simplified Arabic"/>
          <w:color w:val="000000"/>
          <w:sz w:val="24"/>
          <w:szCs w:val="24"/>
          <w:rtl/>
        </w:rPr>
        <w:t>=</w:t>
      </w:r>
      <w:proofErr w:type="spellEnd"/>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100</w:t>
      </w:r>
      <w:proofErr w:type="spellStart"/>
      <w:r w:rsidRPr="00D709D4">
        <w:rPr>
          <w:rFonts w:ascii="Simplified Arabic" w:hAnsi="Simplified Arabic" w:cs="Simplified Arabic"/>
          <w:color w:val="000000"/>
          <w:sz w:val="24"/>
          <w:szCs w:val="24"/>
          <w:rtl/>
        </w:rPr>
        <w:t>).</w:t>
      </w:r>
      <w:proofErr w:type="spellEnd"/>
    </w:p>
    <w:p w:rsidR="00F321C5" w:rsidRPr="00E31968" w:rsidRDefault="00F321C5" w:rsidP="00F321C5">
      <w:pPr>
        <w:pStyle w:val="Header"/>
        <w:tabs>
          <w:tab w:val="left" w:pos="5925"/>
        </w:tabs>
        <w:jc w:val="both"/>
        <w:rPr>
          <w:rFonts w:ascii="Simplified Arabic" w:hAnsi="Simplified Arabic" w:cs="Simplified Arabic"/>
          <w:color w:val="000000"/>
          <w:sz w:val="16"/>
          <w:szCs w:val="16"/>
          <w:rtl/>
        </w:rPr>
      </w:pPr>
    </w:p>
    <w:p w:rsidR="00F321C5" w:rsidRPr="00E31968" w:rsidRDefault="00F321C5" w:rsidP="00F321C5">
      <w:pPr>
        <w:pStyle w:val="BodyText2"/>
        <w:spacing w:after="0" w:line="240" w:lineRule="auto"/>
        <w:jc w:val="both"/>
        <w:rPr>
          <w:rFonts w:ascii="Simplified Arabic" w:hAnsi="Simplified Arabic" w:cs="Simplified Arabic"/>
          <w:b/>
          <w:bCs/>
          <w:sz w:val="26"/>
          <w:szCs w:val="26"/>
          <w:rtl/>
        </w:rPr>
      </w:pPr>
      <w:r w:rsidRPr="00E31968">
        <w:rPr>
          <w:rFonts w:ascii="Simplified Arabic" w:hAnsi="Simplified Arabic" w:cs="Simplified Arabic"/>
          <w:b/>
          <w:bCs/>
          <w:sz w:val="26"/>
          <w:szCs w:val="26"/>
          <w:rtl/>
        </w:rPr>
        <w:t xml:space="preserve">حركة أسعار الجملة ضمن الأنشطة الرئيسية </w:t>
      </w:r>
    </w:p>
    <w:p w:rsidR="00D84C6E" w:rsidRDefault="00D84C6E" w:rsidP="00D84C6E">
      <w:pPr>
        <w:jc w:val="both"/>
        <w:rPr>
          <w:rFonts w:ascii="Simplified Arabic" w:hAnsi="Simplified Arabic" w:cs="Simplified Arabic"/>
          <w:rtl/>
        </w:rPr>
      </w:pPr>
      <w:r>
        <w:rPr>
          <w:rFonts w:ascii="Simplified Arabic" w:hAnsi="Simplified Arabic" w:cs="Simplified Arabic" w:hint="cs"/>
          <w:rtl/>
        </w:rPr>
        <w:t>سجلت</w:t>
      </w:r>
      <w:r w:rsidRPr="00FB52CA">
        <w:rPr>
          <w:rFonts w:ascii="Simplified Arabic" w:hAnsi="Simplified Arabic" w:cs="Simplified Arabic"/>
          <w:rtl/>
        </w:rPr>
        <w:t xml:space="preserve"> أسعار السلع ضمن</w:t>
      </w:r>
      <w:r w:rsidRPr="00FB52CA">
        <w:rPr>
          <w:rFonts w:ascii="Simplified Arabic" w:hAnsi="Simplified Arabic" w:cs="Simplified Arabic"/>
          <w:b/>
          <w:bCs/>
          <w:rtl/>
        </w:rPr>
        <w:t xml:space="preserve"> نشاط</w:t>
      </w:r>
      <w:r w:rsidRPr="00FB52CA">
        <w:rPr>
          <w:rFonts w:ascii="Simplified Arabic" w:hAnsi="Simplified Arabic" w:cs="Simplified Arabic"/>
          <w:rtl/>
        </w:rPr>
        <w:t xml:space="preserve"> </w:t>
      </w:r>
      <w:r w:rsidRPr="00FB52CA">
        <w:rPr>
          <w:rFonts w:ascii="Simplified Arabic" w:hAnsi="Simplified Arabic" w:cs="Simplified Arabic"/>
          <w:b/>
          <w:bCs/>
          <w:rtl/>
        </w:rPr>
        <w:t>الزراعة</w:t>
      </w:r>
      <w:r>
        <w:rPr>
          <w:rFonts w:ascii="Simplified Arabic" w:hAnsi="Simplified Arabic" w:cs="Simplified Arabic" w:hint="cs"/>
          <w:b/>
          <w:bCs/>
          <w:rtl/>
        </w:rPr>
        <w:t xml:space="preserve"> </w:t>
      </w:r>
      <w:r>
        <w:rPr>
          <w:rFonts w:ascii="Simplified Arabic" w:hAnsi="Simplified Arabic" w:cs="Simplified Arabic" w:hint="cs"/>
          <w:rtl/>
        </w:rPr>
        <w:t>انخفاضاً</w:t>
      </w:r>
      <w:r w:rsidRPr="00FB52CA">
        <w:rPr>
          <w:rFonts w:ascii="Simplified Arabic" w:hAnsi="Simplified Arabic" w:cs="Simplified Arabic"/>
          <w:b/>
          <w:bCs/>
          <w:rtl/>
        </w:rPr>
        <w:t xml:space="preserve"> </w:t>
      </w:r>
      <w:r>
        <w:rPr>
          <w:rFonts w:ascii="Simplified Arabic" w:hAnsi="Simplified Arabic" w:cs="Simplified Arabic" w:hint="cs"/>
          <w:rtl/>
        </w:rPr>
        <w:t>مقداره</w:t>
      </w:r>
      <w:r w:rsidRPr="00FB52CA">
        <w:rPr>
          <w:rFonts w:ascii="Simplified Arabic" w:hAnsi="Simplified Arabic" w:cs="Simplified Arabic"/>
          <w:rtl/>
        </w:rPr>
        <w:t xml:space="preserve"> </w:t>
      </w:r>
      <w:r>
        <w:rPr>
          <w:rFonts w:ascii="Simplified Arabic" w:hAnsi="Simplified Arabic" w:cs="Simplified Arabic" w:hint="cs"/>
          <w:rtl/>
        </w:rPr>
        <w:t>4.25%</w:t>
      </w:r>
      <w:r w:rsidRPr="00FB52CA">
        <w:rPr>
          <w:rFonts w:ascii="Simplified Arabic" w:hAnsi="Simplified Arabic" w:cs="Simplified Arabic"/>
          <w:rtl/>
        </w:rPr>
        <w:t xml:space="preserve">، وذلك </w:t>
      </w:r>
      <w:r>
        <w:rPr>
          <w:rFonts w:ascii="Simplified Arabic" w:hAnsi="Simplified Arabic" w:cs="Simplified Arabic" w:hint="cs"/>
          <w:rtl/>
        </w:rPr>
        <w:t>نتيجة لانخفاض</w:t>
      </w:r>
      <w:r w:rsidRPr="00FB52CA">
        <w:rPr>
          <w:rFonts w:ascii="Simplified Arabic" w:hAnsi="Simplified Arabic" w:cs="Simplified Arabic"/>
          <w:rtl/>
        </w:rPr>
        <w:t xml:space="preserve"> </w:t>
      </w:r>
      <w:r>
        <w:rPr>
          <w:rFonts w:ascii="Simplified Arabic" w:hAnsi="Simplified Arabic" w:cs="Simplified Arabic" w:hint="cs"/>
          <w:rtl/>
        </w:rPr>
        <w:t xml:space="preserve">أسعار السلع ضمن نشاط </w:t>
      </w:r>
      <w:r>
        <w:rPr>
          <w:rFonts w:ascii="Simplified Arabic" w:hAnsi="Simplified Arabic" w:cs="Simplified Arabic" w:hint="cs"/>
          <w:b/>
          <w:bCs/>
          <w:rtl/>
        </w:rPr>
        <w:t>زراعة المحاصيل</w:t>
      </w:r>
      <w:r w:rsidRPr="00FB52CA">
        <w:rPr>
          <w:rFonts w:ascii="Simplified Arabic" w:hAnsi="Simplified Arabic" w:cs="Simplified Arabic"/>
          <w:rtl/>
        </w:rPr>
        <w:t xml:space="preserve"> </w:t>
      </w:r>
      <w:r>
        <w:rPr>
          <w:rFonts w:ascii="Simplified Arabic" w:hAnsi="Simplified Arabic" w:cs="Simplified Arabic" w:hint="cs"/>
          <w:rtl/>
        </w:rPr>
        <w:t>بمقدار</w:t>
      </w:r>
      <w:r w:rsidRPr="00FB52CA">
        <w:rPr>
          <w:rFonts w:ascii="Simplified Arabic" w:hAnsi="Simplified Arabic" w:cs="Simplified Arabic"/>
          <w:rtl/>
        </w:rPr>
        <w:t xml:space="preserve"> </w:t>
      </w:r>
      <w:r>
        <w:rPr>
          <w:rFonts w:ascii="Simplified Arabic" w:hAnsi="Simplified Arabic" w:cs="Simplified Arabic" w:hint="cs"/>
          <w:rtl/>
        </w:rPr>
        <w:t>7.30</w:t>
      </w:r>
      <w:r w:rsidRPr="00FB52CA">
        <w:rPr>
          <w:rFonts w:ascii="Simplified Arabic" w:hAnsi="Simplified Arabic" w:cs="Simplified Arabic"/>
          <w:rtl/>
        </w:rPr>
        <w:t xml:space="preserve">%، </w:t>
      </w:r>
      <w:r>
        <w:rPr>
          <w:rFonts w:ascii="Simplified Arabic" w:hAnsi="Simplified Arabic" w:cs="Simplified Arabic" w:hint="cs"/>
          <w:rtl/>
        </w:rPr>
        <w:t>متأثرةً بانخفاض أسعار الخضروات الطازجة والمجففة بمقدار 12.05%،</w:t>
      </w:r>
      <w:r w:rsidRPr="00FB52CA">
        <w:rPr>
          <w:rFonts w:ascii="Simplified Arabic" w:hAnsi="Simplified Arabic" w:cs="Simplified Arabic"/>
          <w:rtl/>
        </w:rPr>
        <w:t xml:space="preserve"> </w:t>
      </w:r>
      <w:r>
        <w:rPr>
          <w:rFonts w:ascii="Simplified Arabic" w:hAnsi="Simplified Arabic" w:cs="Simplified Arabic" w:hint="cs"/>
          <w:rtl/>
        </w:rPr>
        <w:t xml:space="preserve">في المقابل ارتفعت أسعار السلع ضمن نشاط </w:t>
      </w:r>
      <w:r>
        <w:rPr>
          <w:rFonts w:ascii="Simplified Arabic" w:hAnsi="Simplified Arabic" w:cs="Simplified Arabic" w:hint="cs"/>
          <w:b/>
          <w:bCs/>
          <w:rtl/>
        </w:rPr>
        <w:t>تربية الحيوان</w:t>
      </w:r>
      <w:r>
        <w:rPr>
          <w:rFonts w:ascii="Simplified Arabic" w:hAnsi="Simplified Arabic" w:cs="Simplified Arabic" w:hint="cs"/>
          <w:rtl/>
        </w:rPr>
        <w:t xml:space="preserve"> بنسبة 2.85%، متأثرة بارتفاع كل من المنتجات الحيوانية بنسبة 4.22%، وأسعار الحيوانات الحية بنسبة 2.28%. </w:t>
      </w:r>
    </w:p>
    <w:p w:rsidR="00DB71DC" w:rsidRDefault="00DB71DC" w:rsidP="00DB71DC">
      <w:pPr>
        <w:jc w:val="both"/>
        <w:rPr>
          <w:rFonts w:ascii="Simplified Arabic" w:hAnsi="Simplified Arabic" w:cs="Simplified Arabic"/>
          <w:rtl/>
        </w:rPr>
      </w:pPr>
      <w:r>
        <w:rPr>
          <w:rFonts w:ascii="Simplified Arabic" w:hAnsi="Simplified Arabic" w:cs="Simplified Arabic" w:hint="cs"/>
          <w:rtl/>
        </w:rPr>
        <w:t xml:space="preserve">كما </w:t>
      </w:r>
      <w:r w:rsidRPr="00FB52CA">
        <w:rPr>
          <w:rFonts w:ascii="Simplified Arabic" w:hAnsi="Simplified Arabic" w:cs="Simplified Arabic"/>
          <w:rtl/>
        </w:rPr>
        <w:t>سجلت أسعار</w:t>
      </w:r>
      <w:r w:rsidRPr="00FB52CA">
        <w:rPr>
          <w:rFonts w:ascii="Simplified Arabic" w:hAnsi="Simplified Arabic" w:cs="Simplified Arabic"/>
          <w:b/>
          <w:bCs/>
          <w:rtl/>
        </w:rPr>
        <w:t xml:space="preserve"> منتجات</w:t>
      </w:r>
      <w:r w:rsidRPr="00FB52CA">
        <w:rPr>
          <w:rFonts w:ascii="Simplified Arabic" w:hAnsi="Simplified Arabic" w:cs="Simplified Arabic"/>
          <w:rtl/>
        </w:rPr>
        <w:t xml:space="preserve"> </w:t>
      </w:r>
      <w:r w:rsidRPr="00FB52CA">
        <w:rPr>
          <w:rFonts w:ascii="Simplified Arabic" w:hAnsi="Simplified Arabic" w:cs="Simplified Arabic"/>
          <w:b/>
          <w:bCs/>
          <w:rtl/>
        </w:rPr>
        <w:t>الصناعات التحويلية</w:t>
      </w:r>
      <w:r w:rsidRPr="00FB52CA">
        <w:rPr>
          <w:rFonts w:ascii="Simplified Arabic" w:hAnsi="Simplified Arabic" w:cs="Simplified Arabic"/>
          <w:rtl/>
        </w:rPr>
        <w:t xml:space="preserve"> </w:t>
      </w:r>
      <w:r>
        <w:rPr>
          <w:rFonts w:ascii="Simplified Arabic" w:hAnsi="Simplified Arabic" w:cs="Simplified Arabic" w:hint="cs"/>
          <w:rtl/>
        </w:rPr>
        <w:t>انخفاضاً مقداره 0.30%</w:t>
      </w:r>
      <w:r w:rsidRPr="00FB52CA">
        <w:rPr>
          <w:rFonts w:ascii="Simplified Arabic" w:hAnsi="Simplified Arabic" w:cs="Simplified Arabic"/>
          <w:rtl/>
        </w:rPr>
        <w:t xml:space="preserve">، نتيجة </w:t>
      </w:r>
      <w:r>
        <w:rPr>
          <w:rFonts w:ascii="Simplified Arabic" w:hAnsi="Simplified Arabic" w:cs="Simplified Arabic" w:hint="cs"/>
          <w:rtl/>
        </w:rPr>
        <w:t>لانخفاض</w:t>
      </w:r>
      <w:r w:rsidRPr="00FB52CA">
        <w:rPr>
          <w:rFonts w:ascii="Simplified Arabic" w:hAnsi="Simplified Arabic" w:cs="Simplified Arabic"/>
          <w:rtl/>
        </w:rPr>
        <w:t xml:space="preserve"> أسعار </w:t>
      </w:r>
      <w:r>
        <w:rPr>
          <w:rFonts w:ascii="Simplified Arabic" w:hAnsi="Simplified Arabic" w:cs="Simplified Arabic" w:hint="cs"/>
          <w:rtl/>
        </w:rPr>
        <w:t xml:space="preserve">السلع ضمن بعض الأنشطة كنشاط الأقمشة وأصناف من التريكو بمقدار 11.74%، ونشاط المنسوجات بمقدار 5.39%، ونشاط منتجات الجلود بمقدار 4.16%، </w:t>
      </w:r>
      <w:r w:rsidRPr="00FB52CA">
        <w:rPr>
          <w:rFonts w:ascii="Simplified Arabic" w:hAnsi="Simplified Arabic" w:cs="Simplified Arabic"/>
          <w:rtl/>
        </w:rPr>
        <w:t xml:space="preserve">في المقابل </w:t>
      </w:r>
      <w:r>
        <w:rPr>
          <w:rFonts w:ascii="Simplified Arabic" w:hAnsi="Simplified Arabic" w:cs="Simplified Arabic" w:hint="cs"/>
          <w:rtl/>
        </w:rPr>
        <w:t>ارتفعت أسعار السلع ضمن بعض الأنشطة كنشاط الأعلاف الحيوانية بنسبة 3.85%، ونشاط المشروبات بنسبة 2.71% ونشاط الورق ومنتجاته بنسبة 1.40%.</w:t>
      </w:r>
    </w:p>
    <w:p w:rsidR="00DB71DC" w:rsidRPr="00E31968" w:rsidRDefault="00DB71DC" w:rsidP="00D84C6E">
      <w:pPr>
        <w:jc w:val="both"/>
        <w:rPr>
          <w:rFonts w:ascii="Simplified Arabic" w:hAnsi="Simplified Arabic" w:cs="Simplified Arabic"/>
          <w:sz w:val="16"/>
          <w:szCs w:val="16"/>
          <w:rtl/>
        </w:rPr>
      </w:pPr>
    </w:p>
    <w:p w:rsidR="00850A4B" w:rsidRDefault="00DB71DC" w:rsidP="00D84C6E">
      <w:pPr>
        <w:jc w:val="both"/>
        <w:rPr>
          <w:rFonts w:ascii="Simplified Arabic" w:hAnsi="Simplified Arabic" w:cs="Simplified Arabic"/>
          <w:rtl/>
        </w:rPr>
      </w:pPr>
      <w:r>
        <w:rPr>
          <w:rFonts w:ascii="Simplified Arabic" w:hAnsi="Simplified Arabic" w:cs="Simplified Arabic" w:hint="cs"/>
          <w:rtl/>
        </w:rPr>
        <w:t xml:space="preserve">بينما </w:t>
      </w:r>
      <w:r w:rsidR="00850A4B">
        <w:rPr>
          <w:rFonts w:ascii="Simplified Arabic" w:hAnsi="Simplified Arabic" w:cs="Simplified Arabic" w:hint="cs"/>
          <w:rtl/>
        </w:rPr>
        <w:t>سجلت</w:t>
      </w:r>
      <w:r w:rsidR="00850A4B" w:rsidRPr="00FB52CA">
        <w:rPr>
          <w:rFonts w:ascii="Simplified Arabic" w:hAnsi="Simplified Arabic" w:cs="Simplified Arabic"/>
          <w:rtl/>
        </w:rPr>
        <w:t xml:space="preserve"> أسعار </w:t>
      </w:r>
      <w:r w:rsidR="00850A4B" w:rsidRPr="00FB52CA">
        <w:rPr>
          <w:rFonts w:ascii="Simplified Arabic" w:hAnsi="Simplified Arabic" w:cs="Simplified Arabic"/>
          <w:b/>
          <w:bCs/>
          <w:rtl/>
        </w:rPr>
        <w:t>منتجات</w:t>
      </w:r>
      <w:r w:rsidR="00850A4B" w:rsidRPr="00FB52CA">
        <w:rPr>
          <w:rFonts w:ascii="Simplified Arabic" w:hAnsi="Simplified Arabic" w:cs="Simplified Arabic"/>
          <w:rtl/>
        </w:rPr>
        <w:t xml:space="preserve"> </w:t>
      </w:r>
      <w:r w:rsidR="00850A4B" w:rsidRPr="00FB52CA">
        <w:rPr>
          <w:rFonts w:ascii="Simplified Arabic" w:hAnsi="Simplified Arabic" w:cs="Simplified Arabic"/>
          <w:b/>
          <w:bCs/>
          <w:rtl/>
        </w:rPr>
        <w:t xml:space="preserve">صيد الأسماك </w:t>
      </w:r>
      <w:r w:rsidR="00850A4B">
        <w:rPr>
          <w:rFonts w:ascii="Simplified Arabic" w:hAnsi="Simplified Arabic" w:cs="Simplified Arabic" w:hint="cs"/>
          <w:rtl/>
        </w:rPr>
        <w:t>ارتفاعاً</w:t>
      </w:r>
      <w:r w:rsidR="00850A4B" w:rsidRPr="00FB52CA">
        <w:rPr>
          <w:rFonts w:ascii="Simplified Arabic" w:hAnsi="Simplified Arabic" w:cs="Simplified Arabic"/>
          <w:rtl/>
        </w:rPr>
        <w:t xml:space="preserve"> </w:t>
      </w:r>
      <w:r w:rsidR="00850A4B">
        <w:rPr>
          <w:rFonts w:ascii="Simplified Arabic" w:hAnsi="Simplified Arabic" w:cs="Simplified Arabic" w:hint="cs"/>
          <w:rtl/>
        </w:rPr>
        <w:t xml:space="preserve">نسبته </w:t>
      </w:r>
      <w:r w:rsidR="00D84C6E">
        <w:rPr>
          <w:rFonts w:ascii="Simplified Arabic" w:hAnsi="Simplified Arabic" w:cs="Simplified Arabic" w:hint="cs"/>
          <w:rtl/>
        </w:rPr>
        <w:t>5.05</w:t>
      </w:r>
      <w:r w:rsidR="00850A4B" w:rsidRPr="00FB52CA">
        <w:rPr>
          <w:rFonts w:ascii="Simplified Arabic" w:hAnsi="Simplified Arabic" w:cs="Simplified Arabic"/>
          <w:rtl/>
        </w:rPr>
        <w:t>%</w:t>
      </w:r>
      <w:r w:rsidR="00850A4B">
        <w:rPr>
          <w:rFonts w:ascii="Simplified Arabic" w:hAnsi="Simplified Arabic" w:cs="Simplified Arabic" w:hint="cs"/>
          <w:rtl/>
        </w:rPr>
        <w:t>،</w:t>
      </w:r>
      <w:r w:rsidR="00850A4B" w:rsidRPr="00FB52CA">
        <w:rPr>
          <w:rFonts w:ascii="Simplified Arabic" w:hAnsi="Simplified Arabic" w:cs="Simplified Arabic"/>
          <w:rtl/>
        </w:rPr>
        <w:t xml:space="preserve"> خلال الربع </w:t>
      </w:r>
      <w:r w:rsidR="00D84C6E">
        <w:rPr>
          <w:rFonts w:ascii="Simplified Arabic" w:hAnsi="Simplified Arabic" w:cs="Simplified Arabic" w:hint="cs"/>
          <w:rtl/>
        </w:rPr>
        <w:t>الثاني</w:t>
      </w:r>
      <w:r w:rsidR="00850A4B" w:rsidRPr="00FB52CA">
        <w:rPr>
          <w:rFonts w:ascii="Simplified Arabic" w:hAnsi="Simplified Arabic" w:cs="Simplified Arabic"/>
          <w:rtl/>
        </w:rPr>
        <w:t xml:space="preserve"> </w:t>
      </w:r>
      <w:r w:rsidR="00850A4B">
        <w:rPr>
          <w:rFonts w:ascii="Simplified Arabic" w:hAnsi="Simplified Arabic" w:cs="Simplified Arabic" w:hint="cs"/>
          <w:rtl/>
        </w:rPr>
        <w:t>2019</w:t>
      </w:r>
      <w:r w:rsidR="00850A4B" w:rsidRPr="00FB52CA">
        <w:rPr>
          <w:rFonts w:ascii="Simplified Arabic" w:hAnsi="Simplified Arabic" w:cs="Simplified Arabic"/>
          <w:rtl/>
        </w:rPr>
        <w:t xml:space="preserve"> مقارنة بالربع </w:t>
      </w:r>
      <w:r w:rsidR="00D84C6E">
        <w:rPr>
          <w:rFonts w:ascii="Simplified Arabic" w:hAnsi="Simplified Arabic" w:cs="Simplified Arabic" w:hint="cs"/>
          <w:rtl/>
        </w:rPr>
        <w:t>الأول</w:t>
      </w:r>
      <w:r w:rsidR="00850A4B" w:rsidRPr="00FB52CA">
        <w:rPr>
          <w:rFonts w:ascii="Simplified Arabic" w:hAnsi="Simplified Arabic" w:cs="Simplified Arabic"/>
          <w:rtl/>
        </w:rPr>
        <w:t xml:space="preserve"> </w:t>
      </w:r>
      <w:r w:rsidR="00D84C6E">
        <w:rPr>
          <w:rFonts w:ascii="Simplified Arabic" w:hAnsi="Simplified Arabic" w:cs="Simplified Arabic" w:hint="cs"/>
          <w:rtl/>
        </w:rPr>
        <w:t>2019</w:t>
      </w:r>
      <w:r w:rsidR="00850A4B" w:rsidRPr="00FB52CA">
        <w:rPr>
          <w:rFonts w:ascii="Simplified Arabic" w:hAnsi="Simplified Arabic" w:cs="Simplified Arabic"/>
          <w:rtl/>
        </w:rPr>
        <w:t>.</w:t>
      </w:r>
    </w:p>
    <w:p w:rsidR="00850A4B" w:rsidRPr="00E31968" w:rsidRDefault="00850A4B" w:rsidP="00E13447">
      <w:pPr>
        <w:jc w:val="both"/>
        <w:rPr>
          <w:rFonts w:ascii="Simplified Arabic" w:hAnsi="Simplified Arabic" w:cs="Simplified Arabic"/>
          <w:sz w:val="16"/>
          <w:szCs w:val="16"/>
          <w:rtl/>
        </w:rPr>
      </w:pPr>
    </w:p>
    <w:p w:rsidR="00E13447" w:rsidRDefault="00850A4B" w:rsidP="00D84C6E">
      <w:pPr>
        <w:jc w:val="both"/>
        <w:rPr>
          <w:rFonts w:ascii="Simplified Arabic" w:hAnsi="Simplified Arabic" w:cs="Simplified Arabic"/>
          <w:rtl/>
        </w:rPr>
      </w:pPr>
      <w:r>
        <w:rPr>
          <w:rFonts w:ascii="Simplified Arabic" w:hAnsi="Simplified Arabic" w:cs="Simplified Arabic" w:hint="cs"/>
          <w:rtl/>
        </w:rPr>
        <w:t xml:space="preserve">كما </w:t>
      </w:r>
      <w:r w:rsidR="00E13447" w:rsidRPr="00FB52CA">
        <w:rPr>
          <w:rFonts w:ascii="Simplified Arabic" w:hAnsi="Simplified Arabic" w:cs="Simplified Arabic"/>
          <w:rtl/>
        </w:rPr>
        <w:t xml:space="preserve">سجلت أسعار السلع ضمن </w:t>
      </w:r>
      <w:r w:rsidR="00E13447" w:rsidRPr="00FB52CA">
        <w:rPr>
          <w:rFonts w:ascii="Simplified Arabic" w:hAnsi="Simplified Arabic" w:cs="Simplified Arabic"/>
          <w:b/>
          <w:bCs/>
          <w:rtl/>
        </w:rPr>
        <w:t>نشاط</w:t>
      </w:r>
      <w:r w:rsidR="00E13447" w:rsidRPr="00FB52CA">
        <w:rPr>
          <w:rFonts w:ascii="Simplified Arabic" w:hAnsi="Simplified Arabic" w:cs="Simplified Arabic"/>
          <w:rtl/>
        </w:rPr>
        <w:t xml:space="preserve"> </w:t>
      </w:r>
      <w:r w:rsidR="00E13447" w:rsidRPr="00FB52CA">
        <w:rPr>
          <w:rFonts w:ascii="Simplified Arabic" w:hAnsi="Simplified Arabic" w:cs="Simplified Arabic"/>
          <w:b/>
          <w:bCs/>
          <w:rtl/>
        </w:rPr>
        <w:t>التعدين واستغلال المحاجر</w:t>
      </w:r>
      <w:r w:rsidR="00E13447" w:rsidRPr="00FB52CA">
        <w:rPr>
          <w:rFonts w:ascii="Simplified Arabic" w:hAnsi="Simplified Arabic" w:cs="Simplified Arabic"/>
          <w:rtl/>
        </w:rPr>
        <w:t xml:space="preserve"> </w:t>
      </w:r>
      <w:r w:rsidR="00E13447">
        <w:rPr>
          <w:rFonts w:ascii="Simplified Arabic" w:hAnsi="Simplified Arabic" w:cs="Simplified Arabic" w:hint="cs"/>
          <w:rtl/>
        </w:rPr>
        <w:t xml:space="preserve">ارتفاعاً نسبته </w:t>
      </w:r>
      <w:r w:rsidR="00D84C6E">
        <w:rPr>
          <w:rFonts w:ascii="Simplified Arabic" w:hAnsi="Simplified Arabic" w:cs="Simplified Arabic" w:hint="cs"/>
          <w:rtl/>
        </w:rPr>
        <w:t>0.88</w:t>
      </w:r>
      <w:r w:rsidR="00E13447">
        <w:rPr>
          <w:rFonts w:ascii="Simplified Arabic" w:hAnsi="Simplified Arabic" w:cs="Simplified Arabic" w:hint="cs"/>
          <w:rtl/>
        </w:rPr>
        <w:t>%،</w:t>
      </w:r>
      <w:r w:rsidR="00E13447" w:rsidRPr="00721CE3">
        <w:rPr>
          <w:rFonts w:ascii="Simplified Arabic" w:hAnsi="Simplified Arabic" w:cs="Simplified Arabic"/>
          <w:rtl/>
        </w:rPr>
        <w:t xml:space="preserve"> </w:t>
      </w:r>
      <w:r w:rsidR="00E13447" w:rsidRPr="00FB52CA">
        <w:rPr>
          <w:rFonts w:ascii="Simplified Arabic" w:hAnsi="Simplified Arabic" w:cs="Simplified Arabic"/>
          <w:rtl/>
        </w:rPr>
        <w:t xml:space="preserve">خلال الربع </w:t>
      </w:r>
      <w:r w:rsidR="00D84C6E">
        <w:rPr>
          <w:rFonts w:ascii="Simplified Arabic" w:hAnsi="Simplified Arabic" w:cs="Simplified Arabic" w:hint="cs"/>
          <w:rtl/>
        </w:rPr>
        <w:t>الثاني</w:t>
      </w:r>
      <w:r w:rsidR="00E13447" w:rsidRPr="00FB52CA">
        <w:rPr>
          <w:rFonts w:ascii="Simplified Arabic" w:hAnsi="Simplified Arabic" w:cs="Simplified Arabic"/>
          <w:rtl/>
        </w:rPr>
        <w:t xml:space="preserve"> </w:t>
      </w:r>
      <w:r>
        <w:rPr>
          <w:rFonts w:ascii="Simplified Arabic" w:hAnsi="Simplified Arabic" w:cs="Simplified Arabic" w:hint="cs"/>
          <w:rtl/>
        </w:rPr>
        <w:t>2019</w:t>
      </w:r>
      <w:r w:rsidR="00E13447" w:rsidRPr="00FB52CA">
        <w:rPr>
          <w:rFonts w:ascii="Simplified Arabic" w:hAnsi="Simplified Arabic" w:cs="Simplified Arabic"/>
          <w:rtl/>
        </w:rPr>
        <w:t xml:space="preserve"> مقارنة بالربع </w:t>
      </w:r>
      <w:r w:rsidR="00D84C6E">
        <w:rPr>
          <w:rFonts w:ascii="Simplified Arabic" w:hAnsi="Simplified Arabic" w:cs="Simplified Arabic" w:hint="cs"/>
          <w:rtl/>
        </w:rPr>
        <w:t>الأول</w:t>
      </w:r>
      <w:r w:rsidR="00E13447" w:rsidRPr="00FB52CA">
        <w:rPr>
          <w:rFonts w:ascii="Simplified Arabic" w:hAnsi="Simplified Arabic" w:cs="Simplified Arabic"/>
          <w:rtl/>
        </w:rPr>
        <w:t xml:space="preserve"> </w:t>
      </w:r>
      <w:r w:rsidR="00D84C6E">
        <w:rPr>
          <w:rFonts w:ascii="Simplified Arabic" w:hAnsi="Simplified Arabic" w:cs="Simplified Arabic" w:hint="cs"/>
          <w:rtl/>
        </w:rPr>
        <w:t>2019</w:t>
      </w:r>
      <w:r w:rsidR="00E13447" w:rsidRPr="00FB52CA">
        <w:rPr>
          <w:rFonts w:ascii="Simplified Arabic" w:hAnsi="Simplified Arabic" w:cs="Simplified Arabic"/>
          <w:rtl/>
        </w:rPr>
        <w:t>.</w:t>
      </w:r>
    </w:p>
    <w:p w:rsidR="002D763E" w:rsidRDefault="002D763E"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Default="00E31968" w:rsidP="005E2D89">
      <w:pPr>
        <w:jc w:val="both"/>
        <w:rPr>
          <w:rFonts w:ascii="Simplified Arabic" w:hAnsi="Simplified Arabic" w:cs="Simplified Arabic" w:hint="cs"/>
          <w:sz w:val="16"/>
          <w:szCs w:val="16"/>
          <w:rtl/>
        </w:rPr>
      </w:pPr>
    </w:p>
    <w:p w:rsidR="00E31968" w:rsidRPr="00E31968" w:rsidRDefault="00E31968" w:rsidP="005E2D89">
      <w:pPr>
        <w:jc w:val="both"/>
        <w:rPr>
          <w:rFonts w:ascii="Simplified Arabic" w:hAnsi="Simplified Arabic" w:cs="Simplified Arabic"/>
          <w:sz w:val="16"/>
          <w:szCs w:val="16"/>
          <w:rtl/>
        </w:rPr>
      </w:pPr>
    </w:p>
    <w:p w:rsidR="00E31968" w:rsidRDefault="00F321C5" w:rsidP="00E31968">
      <w:pPr>
        <w:ind w:left="24"/>
        <w:jc w:val="center"/>
        <w:rPr>
          <w:rFonts w:ascii="Simplified Arabic" w:hAnsi="Simplified Arabic" w:cs="Simplified Arabic" w:hint="cs"/>
          <w:b/>
          <w:bCs/>
          <w:sz w:val="26"/>
          <w:szCs w:val="26"/>
          <w:rtl/>
        </w:rPr>
      </w:pPr>
      <w:r w:rsidRPr="00E31968">
        <w:rPr>
          <w:rFonts w:ascii="Simplified Arabic" w:hAnsi="Simplified Arabic" w:cs="Simplified Arabic"/>
          <w:b/>
          <w:bCs/>
          <w:sz w:val="26"/>
          <w:szCs w:val="26"/>
          <w:rtl/>
        </w:rPr>
        <w:t>الجدول</w:t>
      </w:r>
      <w:r w:rsidR="00995421" w:rsidRPr="00E31968">
        <w:rPr>
          <w:rFonts w:ascii="Simplified Arabic" w:hAnsi="Simplified Arabic" w:cs="Simplified Arabic" w:hint="cs"/>
          <w:b/>
          <w:bCs/>
          <w:sz w:val="26"/>
          <w:szCs w:val="26"/>
          <w:rtl/>
        </w:rPr>
        <w:t xml:space="preserve"> </w:t>
      </w:r>
      <w:r w:rsidR="00995421" w:rsidRPr="00E31968">
        <w:rPr>
          <w:rFonts w:ascii="Simplified Arabic" w:hAnsi="Simplified Arabic" w:cs="Simplified Arabic"/>
          <w:b/>
          <w:bCs/>
          <w:sz w:val="26"/>
          <w:szCs w:val="26"/>
          <w:rtl/>
        </w:rPr>
        <w:t>يوضح الأهمية النسبية ونسب الت</w:t>
      </w:r>
      <w:r w:rsidR="00995421" w:rsidRPr="00E31968">
        <w:rPr>
          <w:rFonts w:ascii="Simplified Arabic" w:hAnsi="Simplified Arabic" w:cs="Simplified Arabic" w:hint="cs"/>
          <w:b/>
          <w:bCs/>
          <w:sz w:val="26"/>
          <w:szCs w:val="26"/>
          <w:rtl/>
        </w:rPr>
        <w:t>ّ</w:t>
      </w:r>
      <w:r w:rsidR="00995421" w:rsidRPr="00E31968">
        <w:rPr>
          <w:rFonts w:ascii="Simplified Arabic" w:hAnsi="Simplified Arabic" w:cs="Simplified Arabic"/>
          <w:b/>
          <w:bCs/>
          <w:sz w:val="26"/>
          <w:szCs w:val="26"/>
          <w:rtl/>
        </w:rPr>
        <w:t>غ</w:t>
      </w:r>
      <w:r w:rsidRPr="00E31968">
        <w:rPr>
          <w:rFonts w:ascii="Simplified Arabic" w:hAnsi="Simplified Arabic" w:cs="Simplified Arabic"/>
          <w:b/>
          <w:bCs/>
          <w:sz w:val="26"/>
          <w:szCs w:val="26"/>
          <w:rtl/>
        </w:rPr>
        <w:t xml:space="preserve">ير الربعية </w:t>
      </w:r>
      <w:r w:rsidR="005C6A34" w:rsidRPr="00E31968">
        <w:rPr>
          <w:rFonts w:ascii="Simplified Arabic" w:hAnsi="Simplified Arabic" w:cs="Simplified Arabic"/>
          <w:b/>
          <w:bCs/>
          <w:sz w:val="26"/>
          <w:szCs w:val="26"/>
          <w:rtl/>
        </w:rPr>
        <w:t xml:space="preserve">في الرقم القياسي لأسعار الجملة </w:t>
      </w:r>
      <w:r w:rsidRPr="00E31968">
        <w:rPr>
          <w:rFonts w:ascii="Simplified Arabic" w:hAnsi="Simplified Arabic" w:cs="Simplified Arabic"/>
          <w:b/>
          <w:bCs/>
          <w:sz w:val="26"/>
          <w:szCs w:val="26"/>
          <w:rtl/>
        </w:rPr>
        <w:t>حسب الأنشطة الرئيسية في فلسطين خلال</w:t>
      </w:r>
      <w:r w:rsidR="00BE4A59" w:rsidRPr="00E31968">
        <w:rPr>
          <w:rFonts w:ascii="Simplified Arabic" w:hAnsi="Simplified Arabic" w:cs="Simplified Arabic" w:hint="cs"/>
          <w:b/>
          <w:bCs/>
          <w:sz w:val="26"/>
          <w:szCs w:val="26"/>
          <w:rtl/>
        </w:rPr>
        <w:t xml:space="preserve"> الفترة</w:t>
      </w:r>
      <w:r w:rsidR="00B25F11" w:rsidRPr="00E31968">
        <w:rPr>
          <w:rFonts w:ascii="Simplified Arabic" w:hAnsi="Simplified Arabic" w:cs="Simplified Arabic" w:hint="cs"/>
          <w:b/>
          <w:bCs/>
          <w:sz w:val="26"/>
          <w:szCs w:val="26"/>
          <w:rtl/>
        </w:rPr>
        <w:t>:</w:t>
      </w:r>
      <w:r w:rsidRPr="00E31968">
        <w:rPr>
          <w:rFonts w:ascii="Simplified Arabic" w:hAnsi="Simplified Arabic" w:cs="Simplified Arabic"/>
          <w:b/>
          <w:bCs/>
          <w:sz w:val="26"/>
          <w:szCs w:val="26"/>
          <w:rtl/>
        </w:rPr>
        <w:t xml:space="preserve"> </w:t>
      </w:r>
    </w:p>
    <w:p w:rsidR="00F321C5" w:rsidRPr="00E31968" w:rsidRDefault="00F321C5" w:rsidP="00E31968">
      <w:pPr>
        <w:ind w:left="24"/>
        <w:jc w:val="center"/>
        <w:rPr>
          <w:rFonts w:ascii="Simplified Arabic" w:hAnsi="Simplified Arabic" w:cs="Simplified Arabic"/>
          <w:b/>
          <w:bCs/>
          <w:sz w:val="26"/>
          <w:szCs w:val="26"/>
          <w:rtl/>
        </w:rPr>
      </w:pPr>
      <w:r w:rsidRPr="00E31968">
        <w:rPr>
          <w:rFonts w:ascii="Simplified Arabic" w:hAnsi="Simplified Arabic" w:cs="Simplified Arabic"/>
          <w:b/>
          <w:bCs/>
          <w:sz w:val="26"/>
          <w:szCs w:val="26"/>
          <w:rtl/>
        </w:rPr>
        <w:t xml:space="preserve">الربع </w:t>
      </w:r>
      <w:r w:rsidR="00DF78E9" w:rsidRPr="00E31968">
        <w:rPr>
          <w:rFonts w:ascii="Simplified Arabic" w:hAnsi="Simplified Arabic" w:cs="Simplified Arabic" w:hint="cs"/>
          <w:b/>
          <w:bCs/>
          <w:sz w:val="26"/>
          <w:szCs w:val="26"/>
          <w:rtl/>
        </w:rPr>
        <w:t>الثالث</w:t>
      </w:r>
      <w:r w:rsidR="00646980" w:rsidRPr="00E31968">
        <w:rPr>
          <w:rFonts w:ascii="Simplified Arabic" w:hAnsi="Simplified Arabic" w:cs="Simplified Arabic" w:hint="cs"/>
          <w:b/>
          <w:bCs/>
          <w:sz w:val="26"/>
          <w:szCs w:val="26"/>
          <w:rtl/>
        </w:rPr>
        <w:t xml:space="preserve"> 2018</w:t>
      </w:r>
      <w:r w:rsidRPr="00E31968">
        <w:rPr>
          <w:rFonts w:ascii="Simplified Arabic" w:hAnsi="Simplified Arabic" w:cs="Simplified Arabic" w:hint="cs"/>
          <w:b/>
          <w:bCs/>
          <w:sz w:val="26"/>
          <w:szCs w:val="26"/>
          <w:rtl/>
        </w:rPr>
        <w:t xml:space="preserve"> </w:t>
      </w:r>
      <w:proofErr w:type="spellStart"/>
      <w:r w:rsidRPr="00E31968">
        <w:rPr>
          <w:rFonts w:ascii="Simplified Arabic" w:hAnsi="Simplified Arabic" w:cs="Simplified Arabic"/>
          <w:b/>
          <w:bCs/>
          <w:sz w:val="26"/>
          <w:szCs w:val="26"/>
          <w:rtl/>
        </w:rPr>
        <w:t>–</w:t>
      </w:r>
      <w:proofErr w:type="spellEnd"/>
      <w:r w:rsidRPr="00E31968">
        <w:rPr>
          <w:rFonts w:ascii="Simplified Arabic" w:hAnsi="Simplified Arabic" w:cs="Simplified Arabic"/>
          <w:b/>
          <w:bCs/>
          <w:sz w:val="26"/>
          <w:szCs w:val="26"/>
          <w:rtl/>
        </w:rPr>
        <w:t xml:space="preserve"> الربع </w:t>
      </w:r>
      <w:r w:rsidR="00DF78E9" w:rsidRPr="00E31968">
        <w:rPr>
          <w:rFonts w:ascii="Simplified Arabic" w:hAnsi="Simplified Arabic" w:cs="Simplified Arabic" w:hint="cs"/>
          <w:b/>
          <w:bCs/>
          <w:sz w:val="26"/>
          <w:szCs w:val="26"/>
          <w:rtl/>
        </w:rPr>
        <w:t>الثاني</w:t>
      </w:r>
      <w:r w:rsidRPr="00E31968">
        <w:rPr>
          <w:rFonts w:ascii="Simplified Arabic" w:hAnsi="Simplified Arabic" w:cs="Simplified Arabic"/>
          <w:b/>
          <w:bCs/>
          <w:sz w:val="26"/>
          <w:szCs w:val="26"/>
          <w:rtl/>
        </w:rPr>
        <w:t xml:space="preserve"> </w:t>
      </w:r>
      <w:r w:rsidR="00646980" w:rsidRPr="00E31968">
        <w:rPr>
          <w:rFonts w:ascii="Simplified Arabic" w:hAnsi="Simplified Arabic" w:cs="Simplified Arabic" w:hint="cs"/>
          <w:b/>
          <w:bCs/>
          <w:sz w:val="26"/>
          <w:szCs w:val="26"/>
          <w:rtl/>
        </w:rPr>
        <w:t>2019</w:t>
      </w:r>
    </w:p>
    <w:p w:rsidR="00F321C5" w:rsidRPr="00C00279" w:rsidRDefault="00F321C5" w:rsidP="00F321C5">
      <w:pPr>
        <w:jc w:val="center"/>
        <w:rPr>
          <w:rFonts w:ascii="Simplified Arabic" w:hAnsi="Simplified Arabic" w:cs="Simplified Arabic"/>
          <w:sz w:val="12"/>
          <w:szCs w:val="12"/>
          <w:rtl/>
        </w:rPr>
      </w:pPr>
    </w:p>
    <w:tbl>
      <w:tblPr>
        <w:bidiVisual/>
        <w:tblW w:w="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880"/>
        <w:gridCol w:w="784"/>
        <w:gridCol w:w="773"/>
        <w:gridCol w:w="857"/>
        <w:gridCol w:w="839"/>
      </w:tblGrid>
      <w:tr w:rsidR="00F321C5" w:rsidRPr="00E31968" w:rsidTr="00E31968">
        <w:trPr>
          <w:tblHeader/>
          <w:jc w:val="center"/>
        </w:trPr>
        <w:tc>
          <w:tcPr>
            <w:tcW w:w="1285" w:type="dxa"/>
            <w:vMerge w:val="restart"/>
            <w:vAlign w:val="center"/>
          </w:tcPr>
          <w:p w:rsidR="00F321C5" w:rsidRPr="00E31968" w:rsidRDefault="00F321C5" w:rsidP="008553E1">
            <w:pPr>
              <w:jc w:val="center"/>
              <w:rPr>
                <w:rFonts w:asciiTheme="majorBidi" w:hAnsiTheme="majorBidi" w:cstheme="majorBidi"/>
                <w:b/>
                <w:bCs/>
                <w:rtl/>
              </w:rPr>
            </w:pPr>
            <w:r w:rsidRPr="00E31968">
              <w:rPr>
                <w:rFonts w:asciiTheme="majorBidi" w:hAnsiTheme="majorBidi" w:cstheme="majorBidi"/>
                <w:b/>
                <w:bCs/>
                <w:rtl/>
              </w:rPr>
              <w:t>الأنشطة الرئيسية</w:t>
            </w:r>
          </w:p>
        </w:tc>
        <w:tc>
          <w:tcPr>
            <w:tcW w:w="880" w:type="dxa"/>
            <w:vMerge w:val="restart"/>
            <w:vAlign w:val="center"/>
          </w:tcPr>
          <w:p w:rsidR="00F321C5" w:rsidRPr="00E31968" w:rsidRDefault="00F321C5" w:rsidP="008553E1">
            <w:pPr>
              <w:jc w:val="center"/>
              <w:rPr>
                <w:rFonts w:asciiTheme="majorBidi" w:hAnsiTheme="majorBidi" w:cstheme="majorBidi"/>
                <w:b/>
                <w:bCs/>
                <w:rtl/>
              </w:rPr>
            </w:pPr>
            <w:r w:rsidRPr="00E31968">
              <w:rPr>
                <w:rFonts w:asciiTheme="majorBidi" w:hAnsiTheme="majorBidi" w:cstheme="majorBidi"/>
                <w:b/>
                <w:bCs/>
                <w:rtl/>
              </w:rPr>
              <w:t>الأهمية النسبية</w:t>
            </w:r>
            <w:r w:rsidR="00805BD4" w:rsidRPr="00E31968">
              <w:rPr>
                <w:rFonts w:asciiTheme="majorBidi" w:hAnsiTheme="majorBidi" w:cstheme="majorBidi"/>
                <w:b/>
                <w:bCs/>
                <w:rtl/>
              </w:rPr>
              <w:t xml:space="preserve"> %</w:t>
            </w:r>
          </w:p>
        </w:tc>
        <w:tc>
          <w:tcPr>
            <w:tcW w:w="3253" w:type="dxa"/>
            <w:gridSpan w:val="4"/>
            <w:vAlign w:val="center"/>
          </w:tcPr>
          <w:p w:rsidR="00F321C5" w:rsidRPr="00E31968" w:rsidRDefault="00995421" w:rsidP="008553E1">
            <w:pPr>
              <w:jc w:val="center"/>
              <w:rPr>
                <w:rFonts w:asciiTheme="majorBidi" w:hAnsiTheme="majorBidi" w:cstheme="majorBidi"/>
                <w:b/>
                <w:bCs/>
                <w:rtl/>
              </w:rPr>
            </w:pPr>
            <w:r w:rsidRPr="00E31968">
              <w:rPr>
                <w:rFonts w:asciiTheme="majorBidi" w:hAnsiTheme="majorBidi" w:cstheme="majorBidi"/>
                <w:b/>
                <w:bCs/>
                <w:rtl/>
              </w:rPr>
              <w:t>نسب التّغ</w:t>
            </w:r>
            <w:r w:rsidR="00F321C5" w:rsidRPr="00E31968">
              <w:rPr>
                <w:rFonts w:asciiTheme="majorBidi" w:hAnsiTheme="majorBidi" w:cstheme="majorBidi"/>
                <w:b/>
                <w:bCs/>
                <w:rtl/>
              </w:rPr>
              <w:t xml:space="preserve">ير </w:t>
            </w:r>
            <w:proofErr w:type="spellStart"/>
            <w:r w:rsidR="00F321C5" w:rsidRPr="00E31968">
              <w:rPr>
                <w:rFonts w:asciiTheme="majorBidi" w:hAnsiTheme="majorBidi" w:cstheme="majorBidi"/>
                <w:b/>
                <w:bCs/>
                <w:rtl/>
              </w:rPr>
              <w:t>الربعية</w:t>
            </w:r>
            <w:proofErr w:type="spellEnd"/>
          </w:p>
        </w:tc>
      </w:tr>
      <w:tr w:rsidR="00DB71DC" w:rsidRPr="00E31968" w:rsidTr="00E31968">
        <w:trPr>
          <w:tblHeader/>
          <w:jc w:val="center"/>
        </w:trPr>
        <w:tc>
          <w:tcPr>
            <w:tcW w:w="1285" w:type="dxa"/>
            <w:vMerge/>
            <w:vAlign w:val="center"/>
          </w:tcPr>
          <w:p w:rsidR="00DB71DC" w:rsidRPr="00E31968" w:rsidRDefault="00DB71DC" w:rsidP="008553E1">
            <w:pPr>
              <w:jc w:val="center"/>
              <w:rPr>
                <w:rFonts w:asciiTheme="majorBidi" w:hAnsiTheme="majorBidi" w:cstheme="majorBidi"/>
                <w:b/>
                <w:bCs/>
                <w:rtl/>
              </w:rPr>
            </w:pPr>
          </w:p>
        </w:tc>
        <w:tc>
          <w:tcPr>
            <w:tcW w:w="880" w:type="dxa"/>
            <w:vMerge/>
            <w:vAlign w:val="center"/>
          </w:tcPr>
          <w:p w:rsidR="00DB71DC" w:rsidRPr="00E31968" w:rsidRDefault="00DB71DC" w:rsidP="008553E1">
            <w:pPr>
              <w:jc w:val="center"/>
              <w:rPr>
                <w:rFonts w:asciiTheme="majorBidi" w:hAnsiTheme="majorBidi" w:cstheme="majorBidi"/>
                <w:b/>
                <w:bCs/>
                <w:rtl/>
              </w:rPr>
            </w:pPr>
          </w:p>
        </w:tc>
        <w:tc>
          <w:tcPr>
            <w:tcW w:w="1557" w:type="dxa"/>
            <w:gridSpan w:val="2"/>
            <w:vAlign w:val="center"/>
          </w:tcPr>
          <w:p w:rsidR="00DB71DC" w:rsidRPr="00E31968" w:rsidRDefault="00DB71DC" w:rsidP="008553E1">
            <w:pPr>
              <w:jc w:val="center"/>
              <w:rPr>
                <w:rFonts w:asciiTheme="majorBidi" w:hAnsiTheme="majorBidi" w:cstheme="majorBidi"/>
                <w:b/>
                <w:bCs/>
                <w:rtl/>
              </w:rPr>
            </w:pPr>
            <w:r w:rsidRPr="00E31968">
              <w:rPr>
                <w:rFonts w:asciiTheme="majorBidi" w:hAnsiTheme="majorBidi" w:cstheme="majorBidi"/>
                <w:b/>
                <w:bCs/>
                <w:rtl/>
              </w:rPr>
              <w:t>2018</w:t>
            </w:r>
          </w:p>
        </w:tc>
        <w:tc>
          <w:tcPr>
            <w:tcW w:w="1696" w:type="dxa"/>
            <w:gridSpan w:val="2"/>
            <w:vAlign w:val="center"/>
          </w:tcPr>
          <w:p w:rsidR="00DB71DC" w:rsidRPr="00E31968" w:rsidRDefault="00DB71DC" w:rsidP="008553E1">
            <w:pPr>
              <w:jc w:val="center"/>
              <w:rPr>
                <w:rFonts w:asciiTheme="majorBidi" w:hAnsiTheme="majorBidi" w:cstheme="majorBidi"/>
                <w:b/>
                <w:bCs/>
                <w:rtl/>
              </w:rPr>
            </w:pPr>
            <w:r w:rsidRPr="00E31968">
              <w:rPr>
                <w:rFonts w:asciiTheme="majorBidi" w:hAnsiTheme="majorBidi" w:cstheme="majorBidi"/>
                <w:b/>
                <w:bCs/>
                <w:rtl/>
              </w:rPr>
              <w:t>2019</w:t>
            </w:r>
          </w:p>
        </w:tc>
      </w:tr>
      <w:tr w:rsidR="00DF78E9" w:rsidRPr="00E31968" w:rsidTr="00E31968">
        <w:trPr>
          <w:tblHeader/>
          <w:jc w:val="center"/>
        </w:trPr>
        <w:tc>
          <w:tcPr>
            <w:tcW w:w="1285" w:type="dxa"/>
            <w:vMerge/>
            <w:vAlign w:val="center"/>
          </w:tcPr>
          <w:p w:rsidR="00DF78E9" w:rsidRPr="00E31968" w:rsidRDefault="00DF78E9" w:rsidP="008553E1">
            <w:pPr>
              <w:jc w:val="center"/>
              <w:rPr>
                <w:rFonts w:asciiTheme="majorBidi" w:hAnsiTheme="majorBidi" w:cstheme="majorBidi"/>
                <w:b/>
                <w:bCs/>
                <w:rtl/>
              </w:rPr>
            </w:pPr>
          </w:p>
        </w:tc>
        <w:tc>
          <w:tcPr>
            <w:tcW w:w="880" w:type="dxa"/>
            <w:vMerge/>
            <w:vAlign w:val="center"/>
          </w:tcPr>
          <w:p w:rsidR="00DF78E9" w:rsidRPr="00E31968" w:rsidRDefault="00DF78E9" w:rsidP="008553E1">
            <w:pPr>
              <w:jc w:val="center"/>
              <w:rPr>
                <w:rFonts w:asciiTheme="majorBidi" w:hAnsiTheme="majorBidi" w:cstheme="majorBidi"/>
                <w:b/>
                <w:bCs/>
                <w:rtl/>
              </w:rPr>
            </w:pPr>
          </w:p>
        </w:tc>
        <w:tc>
          <w:tcPr>
            <w:tcW w:w="784" w:type="dxa"/>
          </w:tcPr>
          <w:p w:rsidR="00DF78E9" w:rsidRPr="00E31968" w:rsidRDefault="00DF78E9" w:rsidP="00C47A94">
            <w:pPr>
              <w:jc w:val="center"/>
              <w:rPr>
                <w:rFonts w:asciiTheme="majorBidi" w:hAnsiTheme="majorBidi" w:cstheme="majorBidi"/>
                <w:b/>
                <w:bCs/>
                <w:rtl/>
              </w:rPr>
            </w:pPr>
            <w:r w:rsidRPr="00E31968">
              <w:rPr>
                <w:rFonts w:asciiTheme="majorBidi" w:hAnsiTheme="majorBidi" w:cstheme="majorBidi"/>
                <w:b/>
                <w:bCs/>
                <w:rtl/>
              </w:rPr>
              <w:t>الربع الثالث</w:t>
            </w:r>
          </w:p>
        </w:tc>
        <w:tc>
          <w:tcPr>
            <w:tcW w:w="773" w:type="dxa"/>
          </w:tcPr>
          <w:p w:rsidR="00DF78E9" w:rsidRPr="00E31968" w:rsidRDefault="00DF78E9" w:rsidP="00C47A94">
            <w:pPr>
              <w:jc w:val="center"/>
              <w:rPr>
                <w:rFonts w:asciiTheme="majorBidi" w:hAnsiTheme="majorBidi" w:cstheme="majorBidi"/>
                <w:b/>
                <w:bCs/>
                <w:rtl/>
              </w:rPr>
            </w:pPr>
            <w:r w:rsidRPr="00E31968">
              <w:rPr>
                <w:rFonts w:asciiTheme="majorBidi" w:hAnsiTheme="majorBidi" w:cstheme="majorBidi"/>
                <w:b/>
                <w:bCs/>
                <w:rtl/>
              </w:rPr>
              <w:t>الربع الرابع</w:t>
            </w:r>
          </w:p>
        </w:tc>
        <w:tc>
          <w:tcPr>
            <w:tcW w:w="857" w:type="dxa"/>
          </w:tcPr>
          <w:p w:rsidR="00DF78E9" w:rsidRPr="00E31968" w:rsidRDefault="00DF78E9" w:rsidP="00C47A94">
            <w:pPr>
              <w:jc w:val="center"/>
              <w:rPr>
                <w:rFonts w:asciiTheme="majorBidi" w:hAnsiTheme="majorBidi" w:cstheme="majorBidi"/>
                <w:b/>
                <w:bCs/>
                <w:rtl/>
              </w:rPr>
            </w:pPr>
            <w:r w:rsidRPr="00E31968">
              <w:rPr>
                <w:rFonts w:asciiTheme="majorBidi" w:hAnsiTheme="majorBidi" w:cstheme="majorBidi"/>
                <w:b/>
                <w:bCs/>
                <w:rtl/>
              </w:rPr>
              <w:t>الربع الأول</w:t>
            </w:r>
          </w:p>
        </w:tc>
        <w:tc>
          <w:tcPr>
            <w:tcW w:w="839" w:type="dxa"/>
          </w:tcPr>
          <w:p w:rsidR="00DF78E9" w:rsidRPr="00E31968" w:rsidRDefault="00DF78E9" w:rsidP="00DF78E9">
            <w:pPr>
              <w:jc w:val="center"/>
              <w:rPr>
                <w:rFonts w:asciiTheme="majorBidi" w:hAnsiTheme="majorBidi" w:cstheme="majorBidi"/>
                <w:b/>
                <w:bCs/>
                <w:rtl/>
              </w:rPr>
            </w:pPr>
            <w:r w:rsidRPr="00E31968">
              <w:rPr>
                <w:rFonts w:asciiTheme="majorBidi" w:hAnsiTheme="majorBidi" w:cstheme="majorBidi"/>
                <w:b/>
                <w:bCs/>
                <w:rtl/>
              </w:rPr>
              <w:t>الربع الثاني</w:t>
            </w:r>
          </w:p>
        </w:tc>
      </w:tr>
      <w:tr w:rsidR="00DF78E9" w:rsidRPr="00E31968" w:rsidTr="00E31968">
        <w:trPr>
          <w:tblHeader/>
          <w:jc w:val="center"/>
        </w:trPr>
        <w:tc>
          <w:tcPr>
            <w:tcW w:w="1285" w:type="dxa"/>
          </w:tcPr>
          <w:p w:rsidR="00DF78E9" w:rsidRPr="00E31968" w:rsidRDefault="00DF78E9" w:rsidP="008553E1">
            <w:pPr>
              <w:rPr>
                <w:rFonts w:asciiTheme="majorBidi" w:hAnsiTheme="majorBidi" w:cstheme="majorBidi"/>
                <w:rtl/>
              </w:rPr>
            </w:pPr>
            <w:r w:rsidRPr="00E31968">
              <w:rPr>
                <w:rFonts w:asciiTheme="majorBidi" w:hAnsiTheme="majorBidi" w:cstheme="majorBidi"/>
                <w:rtl/>
              </w:rPr>
              <w:t>الزراعة</w:t>
            </w:r>
          </w:p>
        </w:tc>
        <w:tc>
          <w:tcPr>
            <w:tcW w:w="880" w:type="dxa"/>
            <w:vAlign w:val="center"/>
          </w:tcPr>
          <w:p w:rsidR="00DF78E9" w:rsidRPr="00E31968" w:rsidRDefault="00DF78E9" w:rsidP="00D25A2F">
            <w:pPr>
              <w:ind w:right="-314"/>
              <w:rPr>
                <w:rFonts w:asciiTheme="majorBidi" w:hAnsiTheme="majorBidi" w:cstheme="majorBidi"/>
                <w:rtl/>
              </w:rPr>
            </w:pPr>
            <w:r w:rsidRPr="00E31968">
              <w:rPr>
                <w:rFonts w:asciiTheme="majorBidi" w:hAnsiTheme="majorBidi" w:cstheme="majorBidi"/>
                <w:rtl/>
              </w:rPr>
              <w:t>29.0</w:t>
            </w:r>
          </w:p>
        </w:tc>
        <w:tc>
          <w:tcPr>
            <w:tcW w:w="784"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tl/>
              </w:rPr>
              <w:t>+0.34</w:t>
            </w:r>
          </w:p>
        </w:tc>
        <w:tc>
          <w:tcPr>
            <w:tcW w:w="773"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tl/>
              </w:rPr>
              <w:t>+</w:t>
            </w:r>
            <w:r w:rsidRPr="00E31968">
              <w:rPr>
                <w:rFonts w:asciiTheme="majorBidi" w:hAnsiTheme="majorBidi" w:cstheme="majorBidi"/>
              </w:rPr>
              <w:t>1.26</w:t>
            </w:r>
          </w:p>
        </w:tc>
        <w:tc>
          <w:tcPr>
            <w:tcW w:w="857"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tl/>
              </w:rPr>
              <w:t>+0.99</w:t>
            </w:r>
          </w:p>
        </w:tc>
        <w:tc>
          <w:tcPr>
            <w:tcW w:w="839" w:type="dxa"/>
            <w:vAlign w:val="center"/>
          </w:tcPr>
          <w:p w:rsidR="00DF78E9" w:rsidRPr="00E31968" w:rsidRDefault="001A0C6D" w:rsidP="00DF78E9">
            <w:pPr>
              <w:rPr>
                <w:rFonts w:asciiTheme="majorBidi" w:hAnsiTheme="majorBidi" w:cstheme="majorBidi"/>
                <w:rtl/>
              </w:rPr>
            </w:pPr>
            <w:r w:rsidRPr="00E31968">
              <w:rPr>
                <w:rFonts w:asciiTheme="majorBidi" w:hAnsiTheme="majorBidi" w:cstheme="majorBidi"/>
                <w:rtl/>
              </w:rPr>
              <w:t>-</w:t>
            </w:r>
            <w:r w:rsidR="00DF78E9" w:rsidRPr="00E31968">
              <w:rPr>
                <w:rFonts w:asciiTheme="majorBidi" w:hAnsiTheme="majorBidi" w:cstheme="majorBidi"/>
                <w:rtl/>
              </w:rPr>
              <w:t>4.25</w:t>
            </w:r>
          </w:p>
        </w:tc>
      </w:tr>
      <w:tr w:rsidR="00DF78E9" w:rsidRPr="00E31968" w:rsidTr="00E31968">
        <w:trPr>
          <w:tblHeader/>
          <w:jc w:val="center"/>
        </w:trPr>
        <w:tc>
          <w:tcPr>
            <w:tcW w:w="1285" w:type="dxa"/>
          </w:tcPr>
          <w:p w:rsidR="00DF78E9" w:rsidRPr="00E31968" w:rsidRDefault="00DF78E9" w:rsidP="008553E1">
            <w:pPr>
              <w:rPr>
                <w:rFonts w:asciiTheme="majorBidi" w:hAnsiTheme="majorBidi" w:cstheme="majorBidi"/>
                <w:rtl/>
              </w:rPr>
            </w:pPr>
            <w:r w:rsidRPr="00E31968">
              <w:rPr>
                <w:rFonts w:asciiTheme="majorBidi" w:hAnsiTheme="majorBidi" w:cstheme="majorBidi"/>
                <w:rtl/>
              </w:rPr>
              <w:t>صيد الأسماك</w:t>
            </w:r>
          </w:p>
        </w:tc>
        <w:tc>
          <w:tcPr>
            <w:tcW w:w="880" w:type="dxa"/>
            <w:vAlign w:val="center"/>
          </w:tcPr>
          <w:p w:rsidR="00DF78E9" w:rsidRPr="00E31968" w:rsidRDefault="00DF78E9" w:rsidP="008553E1">
            <w:pPr>
              <w:rPr>
                <w:rFonts w:asciiTheme="majorBidi" w:hAnsiTheme="majorBidi" w:cstheme="majorBidi"/>
                <w:rtl/>
              </w:rPr>
            </w:pPr>
            <w:r w:rsidRPr="00E31968">
              <w:rPr>
                <w:rFonts w:asciiTheme="majorBidi" w:hAnsiTheme="majorBidi" w:cstheme="majorBidi"/>
                <w:rtl/>
              </w:rPr>
              <w:t xml:space="preserve">0.10 </w:t>
            </w:r>
          </w:p>
        </w:tc>
        <w:tc>
          <w:tcPr>
            <w:tcW w:w="784"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tl/>
              </w:rPr>
              <w:t>+4.28</w:t>
            </w:r>
          </w:p>
        </w:tc>
        <w:tc>
          <w:tcPr>
            <w:tcW w:w="773" w:type="dxa"/>
            <w:vAlign w:val="center"/>
          </w:tcPr>
          <w:p w:rsidR="00DF78E9" w:rsidRPr="00E31968" w:rsidRDefault="00DF78E9" w:rsidP="00C47A94">
            <w:pPr>
              <w:rPr>
                <w:rFonts w:asciiTheme="majorBidi" w:hAnsiTheme="majorBidi" w:cstheme="majorBidi"/>
              </w:rPr>
            </w:pPr>
            <w:r w:rsidRPr="00E31968">
              <w:rPr>
                <w:rFonts w:asciiTheme="majorBidi" w:hAnsiTheme="majorBidi" w:cstheme="majorBidi"/>
              </w:rPr>
              <w:t>3.02-</w:t>
            </w:r>
          </w:p>
        </w:tc>
        <w:tc>
          <w:tcPr>
            <w:tcW w:w="857" w:type="dxa"/>
            <w:vAlign w:val="center"/>
          </w:tcPr>
          <w:p w:rsidR="00DF78E9" w:rsidRPr="00E31968" w:rsidRDefault="00DF78E9" w:rsidP="00C47A94">
            <w:pPr>
              <w:rPr>
                <w:rFonts w:asciiTheme="majorBidi" w:hAnsiTheme="majorBidi" w:cstheme="majorBidi"/>
              </w:rPr>
            </w:pPr>
            <w:r w:rsidRPr="00E31968">
              <w:rPr>
                <w:rFonts w:asciiTheme="majorBidi" w:hAnsiTheme="majorBidi" w:cstheme="majorBidi"/>
              </w:rPr>
              <w:t>5.10+</w:t>
            </w:r>
          </w:p>
        </w:tc>
        <w:tc>
          <w:tcPr>
            <w:tcW w:w="839" w:type="dxa"/>
            <w:vAlign w:val="center"/>
          </w:tcPr>
          <w:p w:rsidR="00DF78E9" w:rsidRPr="00E31968" w:rsidRDefault="00DF78E9" w:rsidP="00646980">
            <w:pPr>
              <w:rPr>
                <w:rFonts w:asciiTheme="majorBidi" w:hAnsiTheme="majorBidi" w:cstheme="majorBidi"/>
              </w:rPr>
            </w:pPr>
            <w:r w:rsidRPr="00E31968">
              <w:rPr>
                <w:rFonts w:asciiTheme="majorBidi" w:hAnsiTheme="majorBidi" w:cstheme="majorBidi"/>
              </w:rPr>
              <w:t>5.05+</w:t>
            </w:r>
          </w:p>
        </w:tc>
      </w:tr>
      <w:tr w:rsidR="00DF78E9" w:rsidRPr="00E31968" w:rsidTr="00E31968">
        <w:trPr>
          <w:trHeight w:val="647"/>
          <w:tblHeader/>
          <w:jc w:val="center"/>
        </w:trPr>
        <w:tc>
          <w:tcPr>
            <w:tcW w:w="1285" w:type="dxa"/>
          </w:tcPr>
          <w:p w:rsidR="00DF78E9" w:rsidRPr="00E31968" w:rsidRDefault="00DF78E9" w:rsidP="008553E1">
            <w:pPr>
              <w:rPr>
                <w:rFonts w:asciiTheme="majorBidi" w:hAnsiTheme="majorBidi" w:cstheme="majorBidi"/>
                <w:rtl/>
              </w:rPr>
            </w:pPr>
            <w:r w:rsidRPr="00E31968">
              <w:rPr>
                <w:rFonts w:asciiTheme="majorBidi" w:hAnsiTheme="majorBidi" w:cstheme="majorBidi"/>
                <w:rtl/>
              </w:rPr>
              <w:t>التعدين واستغلال المحاجر</w:t>
            </w:r>
          </w:p>
        </w:tc>
        <w:tc>
          <w:tcPr>
            <w:tcW w:w="880" w:type="dxa"/>
            <w:vAlign w:val="center"/>
          </w:tcPr>
          <w:p w:rsidR="00DF78E9" w:rsidRPr="00E31968" w:rsidRDefault="00DF78E9" w:rsidP="008553E1">
            <w:pPr>
              <w:rPr>
                <w:rFonts w:asciiTheme="majorBidi" w:hAnsiTheme="majorBidi" w:cstheme="majorBidi"/>
                <w:rtl/>
              </w:rPr>
            </w:pPr>
            <w:r w:rsidRPr="00E31968">
              <w:rPr>
                <w:rFonts w:asciiTheme="majorBidi" w:hAnsiTheme="majorBidi" w:cstheme="majorBidi"/>
                <w:rtl/>
              </w:rPr>
              <w:t>0.90</w:t>
            </w:r>
          </w:p>
        </w:tc>
        <w:tc>
          <w:tcPr>
            <w:tcW w:w="784"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tl/>
              </w:rPr>
              <w:t>-2.95</w:t>
            </w:r>
          </w:p>
        </w:tc>
        <w:tc>
          <w:tcPr>
            <w:tcW w:w="773"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Pr>
              <w:t>3.60+</w:t>
            </w:r>
          </w:p>
        </w:tc>
        <w:tc>
          <w:tcPr>
            <w:tcW w:w="857"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Pr>
              <w:t>1.09+</w:t>
            </w:r>
          </w:p>
        </w:tc>
        <w:tc>
          <w:tcPr>
            <w:tcW w:w="839" w:type="dxa"/>
            <w:vAlign w:val="center"/>
          </w:tcPr>
          <w:p w:rsidR="00DF78E9" w:rsidRPr="00E31968" w:rsidRDefault="00DF78E9" w:rsidP="00D64D91">
            <w:pPr>
              <w:rPr>
                <w:rFonts w:asciiTheme="majorBidi" w:hAnsiTheme="majorBidi" w:cstheme="majorBidi"/>
                <w:rtl/>
              </w:rPr>
            </w:pPr>
            <w:r w:rsidRPr="00E31968">
              <w:rPr>
                <w:rFonts w:asciiTheme="majorBidi" w:hAnsiTheme="majorBidi" w:cstheme="majorBidi"/>
              </w:rPr>
              <w:t>0.88+</w:t>
            </w:r>
          </w:p>
        </w:tc>
      </w:tr>
      <w:tr w:rsidR="00DF78E9" w:rsidRPr="00E31968" w:rsidTr="00E31968">
        <w:trPr>
          <w:trHeight w:val="504"/>
          <w:tblHeader/>
          <w:jc w:val="center"/>
        </w:trPr>
        <w:tc>
          <w:tcPr>
            <w:tcW w:w="1285" w:type="dxa"/>
          </w:tcPr>
          <w:p w:rsidR="00DF78E9" w:rsidRPr="00E31968" w:rsidRDefault="00DF78E9" w:rsidP="008553E1">
            <w:pPr>
              <w:rPr>
                <w:rFonts w:asciiTheme="majorBidi" w:hAnsiTheme="majorBidi" w:cstheme="majorBidi"/>
                <w:rtl/>
              </w:rPr>
            </w:pPr>
            <w:r w:rsidRPr="00E31968">
              <w:rPr>
                <w:rFonts w:asciiTheme="majorBidi" w:hAnsiTheme="majorBidi" w:cstheme="majorBidi"/>
                <w:rtl/>
              </w:rPr>
              <w:t>الصناعات التحويلية</w:t>
            </w:r>
          </w:p>
        </w:tc>
        <w:tc>
          <w:tcPr>
            <w:tcW w:w="880" w:type="dxa"/>
            <w:vAlign w:val="center"/>
          </w:tcPr>
          <w:p w:rsidR="00DF78E9" w:rsidRPr="00E31968" w:rsidRDefault="00DF78E9" w:rsidP="008553E1">
            <w:pPr>
              <w:rPr>
                <w:rFonts w:asciiTheme="majorBidi" w:hAnsiTheme="majorBidi" w:cstheme="majorBidi"/>
                <w:rtl/>
              </w:rPr>
            </w:pPr>
            <w:r w:rsidRPr="00E31968">
              <w:rPr>
                <w:rFonts w:asciiTheme="majorBidi" w:hAnsiTheme="majorBidi" w:cstheme="majorBidi"/>
                <w:rtl/>
              </w:rPr>
              <w:t>70.0</w:t>
            </w:r>
          </w:p>
        </w:tc>
        <w:tc>
          <w:tcPr>
            <w:tcW w:w="784"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tl/>
              </w:rPr>
              <w:t>+0.53</w:t>
            </w:r>
          </w:p>
        </w:tc>
        <w:tc>
          <w:tcPr>
            <w:tcW w:w="773"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Pr>
              <w:t>0.08+</w:t>
            </w:r>
          </w:p>
        </w:tc>
        <w:tc>
          <w:tcPr>
            <w:tcW w:w="857" w:type="dxa"/>
            <w:vAlign w:val="center"/>
          </w:tcPr>
          <w:p w:rsidR="00DF78E9" w:rsidRPr="00E31968" w:rsidRDefault="00DF78E9" w:rsidP="00C47A94">
            <w:pPr>
              <w:rPr>
                <w:rFonts w:asciiTheme="majorBidi" w:hAnsiTheme="majorBidi" w:cstheme="majorBidi"/>
                <w:rtl/>
              </w:rPr>
            </w:pPr>
            <w:r w:rsidRPr="00E31968">
              <w:rPr>
                <w:rFonts w:asciiTheme="majorBidi" w:hAnsiTheme="majorBidi" w:cstheme="majorBidi"/>
              </w:rPr>
              <w:t>0.42-</w:t>
            </w:r>
          </w:p>
        </w:tc>
        <w:tc>
          <w:tcPr>
            <w:tcW w:w="839" w:type="dxa"/>
            <w:vAlign w:val="center"/>
          </w:tcPr>
          <w:p w:rsidR="00DF78E9" w:rsidRPr="00E31968" w:rsidRDefault="00DF78E9" w:rsidP="00646980">
            <w:pPr>
              <w:rPr>
                <w:rFonts w:asciiTheme="majorBidi" w:hAnsiTheme="majorBidi" w:cstheme="majorBidi"/>
                <w:rtl/>
              </w:rPr>
            </w:pPr>
            <w:r w:rsidRPr="00E31968">
              <w:rPr>
                <w:rFonts w:asciiTheme="majorBidi" w:hAnsiTheme="majorBidi" w:cstheme="majorBidi"/>
              </w:rPr>
              <w:t>0.30-</w:t>
            </w:r>
          </w:p>
        </w:tc>
      </w:tr>
      <w:tr w:rsidR="00DF78E9" w:rsidRPr="00E31968" w:rsidTr="00E31968">
        <w:trPr>
          <w:tblHeader/>
          <w:jc w:val="center"/>
        </w:trPr>
        <w:tc>
          <w:tcPr>
            <w:tcW w:w="1285" w:type="dxa"/>
          </w:tcPr>
          <w:p w:rsidR="00DF78E9" w:rsidRPr="00E31968" w:rsidRDefault="00DF78E9" w:rsidP="008553E1">
            <w:pPr>
              <w:rPr>
                <w:rFonts w:asciiTheme="majorBidi" w:hAnsiTheme="majorBidi" w:cstheme="majorBidi"/>
                <w:b/>
                <w:bCs/>
                <w:rtl/>
              </w:rPr>
            </w:pPr>
            <w:r w:rsidRPr="00E31968">
              <w:rPr>
                <w:rFonts w:asciiTheme="majorBidi" w:hAnsiTheme="majorBidi" w:cstheme="majorBidi"/>
                <w:b/>
                <w:bCs/>
                <w:rtl/>
              </w:rPr>
              <w:t xml:space="preserve">الرقم القياسي العام </w:t>
            </w:r>
          </w:p>
        </w:tc>
        <w:tc>
          <w:tcPr>
            <w:tcW w:w="880" w:type="dxa"/>
            <w:vAlign w:val="center"/>
          </w:tcPr>
          <w:p w:rsidR="00DF78E9" w:rsidRPr="00E31968" w:rsidRDefault="00DF78E9" w:rsidP="008553E1">
            <w:pPr>
              <w:rPr>
                <w:rFonts w:asciiTheme="majorBidi" w:hAnsiTheme="majorBidi" w:cstheme="majorBidi"/>
                <w:b/>
                <w:bCs/>
                <w:rtl/>
              </w:rPr>
            </w:pPr>
            <w:r w:rsidRPr="00E31968">
              <w:rPr>
                <w:rFonts w:asciiTheme="majorBidi" w:hAnsiTheme="majorBidi" w:cstheme="majorBidi"/>
                <w:b/>
                <w:bCs/>
                <w:rtl/>
              </w:rPr>
              <w:t>100</w:t>
            </w:r>
          </w:p>
        </w:tc>
        <w:tc>
          <w:tcPr>
            <w:tcW w:w="784" w:type="dxa"/>
            <w:vAlign w:val="center"/>
          </w:tcPr>
          <w:p w:rsidR="00DF78E9" w:rsidRPr="00E31968" w:rsidRDefault="00DF78E9" w:rsidP="00C47A94">
            <w:pPr>
              <w:rPr>
                <w:rFonts w:asciiTheme="majorBidi" w:hAnsiTheme="majorBidi" w:cstheme="majorBidi"/>
                <w:b/>
                <w:bCs/>
                <w:rtl/>
              </w:rPr>
            </w:pPr>
            <w:r w:rsidRPr="00E31968">
              <w:rPr>
                <w:rFonts w:asciiTheme="majorBidi" w:hAnsiTheme="majorBidi" w:cstheme="majorBidi"/>
                <w:b/>
                <w:bCs/>
                <w:rtl/>
              </w:rPr>
              <w:t>+0.45</w:t>
            </w:r>
          </w:p>
        </w:tc>
        <w:tc>
          <w:tcPr>
            <w:tcW w:w="773" w:type="dxa"/>
            <w:vAlign w:val="center"/>
          </w:tcPr>
          <w:p w:rsidR="00DF78E9" w:rsidRPr="00E31968" w:rsidRDefault="00DF78E9" w:rsidP="00C47A94">
            <w:pPr>
              <w:rPr>
                <w:rFonts w:asciiTheme="majorBidi" w:hAnsiTheme="majorBidi" w:cstheme="majorBidi"/>
                <w:b/>
                <w:bCs/>
                <w:rtl/>
              </w:rPr>
            </w:pPr>
            <w:r w:rsidRPr="00E31968">
              <w:rPr>
                <w:rFonts w:asciiTheme="majorBidi" w:hAnsiTheme="majorBidi" w:cstheme="majorBidi"/>
                <w:b/>
                <w:bCs/>
                <w:rtl/>
              </w:rPr>
              <w:t>+0.49</w:t>
            </w:r>
          </w:p>
        </w:tc>
        <w:tc>
          <w:tcPr>
            <w:tcW w:w="857" w:type="dxa"/>
            <w:vAlign w:val="center"/>
          </w:tcPr>
          <w:p w:rsidR="00DF78E9" w:rsidRPr="00E31968" w:rsidRDefault="00DF78E9" w:rsidP="00C47A94">
            <w:pPr>
              <w:rPr>
                <w:rFonts w:asciiTheme="majorBidi" w:hAnsiTheme="majorBidi" w:cstheme="majorBidi"/>
                <w:b/>
                <w:bCs/>
                <w:rtl/>
              </w:rPr>
            </w:pPr>
            <w:r w:rsidRPr="00E31968">
              <w:rPr>
                <w:rFonts w:asciiTheme="majorBidi" w:hAnsiTheme="majorBidi" w:cstheme="majorBidi"/>
                <w:b/>
                <w:bCs/>
                <w:rtl/>
              </w:rPr>
              <w:t>+</w:t>
            </w:r>
            <w:r w:rsidRPr="00E31968">
              <w:rPr>
                <w:rFonts w:asciiTheme="majorBidi" w:hAnsiTheme="majorBidi" w:cstheme="majorBidi"/>
                <w:b/>
                <w:bCs/>
              </w:rPr>
              <w:t>0.06</w:t>
            </w:r>
          </w:p>
        </w:tc>
        <w:tc>
          <w:tcPr>
            <w:tcW w:w="839" w:type="dxa"/>
            <w:vAlign w:val="center"/>
          </w:tcPr>
          <w:p w:rsidR="00DF78E9" w:rsidRPr="00E31968" w:rsidRDefault="00DF78E9" w:rsidP="00DF78E9">
            <w:pPr>
              <w:rPr>
                <w:rFonts w:asciiTheme="majorBidi" w:hAnsiTheme="majorBidi" w:cstheme="majorBidi"/>
                <w:b/>
                <w:bCs/>
                <w:rtl/>
              </w:rPr>
            </w:pPr>
            <w:r w:rsidRPr="00E31968">
              <w:rPr>
                <w:rFonts w:asciiTheme="majorBidi" w:hAnsiTheme="majorBidi" w:cstheme="majorBidi"/>
                <w:b/>
                <w:bCs/>
                <w:rtl/>
              </w:rPr>
              <w:t>-</w:t>
            </w:r>
            <w:r w:rsidRPr="00E31968">
              <w:rPr>
                <w:rFonts w:asciiTheme="majorBidi" w:hAnsiTheme="majorBidi" w:cstheme="majorBidi"/>
                <w:b/>
                <w:bCs/>
              </w:rPr>
              <w:t>1.58</w:t>
            </w:r>
          </w:p>
        </w:tc>
      </w:tr>
    </w:tbl>
    <w:p w:rsidR="00F321C5" w:rsidRPr="00E31968" w:rsidRDefault="00F321C5" w:rsidP="00F321C5">
      <w:pPr>
        <w:pStyle w:val="BodyText2"/>
        <w:spacing w:after="0" w:line="240" w:lineRule="auto"/>
        <w:jc w:val="center"/>
        <w:rPr>
          <w:rFonts w:ascii="Simplified Arabic" w:hAnsi="Simplified Arabic" w:cs="Simplified Arabic"/>
          <w:b/>
          <w:bCs/>
          <w:sz w:val="16"/>
          <w:szCs w:val="16"/>
          <w:rtl/>
        </w:rPr>
      </w:pPr>
    </w:p>
    <w:p w:rsidR="00F321C5" w:rsidRPr="00E31968" w:rsidRDefault="009547CF" w:rsidP="00E31968">
      <w:pPr>
        <w:pStyle w:val="BodyText2"/>
        <w:spacing w:after="0" w:line="240" w:lineRule="auto"/>
        <w:jc w:val="center"/>
        <w:rPr>
          <w:rFonts w:ascii="Simplified Arabic" w:hAnsi="Simplified Arabic" w:cs="Simplified Arabic"/>
          <w:b/>
          <w:bCs/>
          <w:sz w:val="26"/>
          <w:szCs w:val="26"/>
        </w:rPr>
      </w:pPr>
      <w:r w:rsidRPr="00E31968">
        <w:rPr>
          <w:rFonts w:ascii="Simplified Arabic" w:hAnsi="Simplified Arabic" w:cs="Simplified Arabic" w:hint="cs"/>
          <w:b/>
          <w:bCs/>
          <w:sz w:val="26"/>
          <w:szCs w:val="26"/>
          <w:rtl/>
        </w:rPr>
        <w:t>الاتجاه العام لحركة ا</w:t>
      </w:r>
      <w:r w:rsidR="00F321C5" w:rsidRPr="00E31968">
        <w:rPr>
          <w:rFonts w:ascii="Simplified Arabic" w:hAnsi="Simplified Arabic" w:cs="Simplified Arabic"/>
          <w:b/>
          <w:bCs/>
          <w:sz w:val="26"/>
          <w:szCs w:val="26"/>
          <w:rtl/>
        </w:rPr>
        <w:t>لأرقام القياسية لأسعار الجملة في فلسطين</w:t>
      </w:r>
      <w:r w:rsidRPr="00E31968">
        <w:rPr>
          <w:rFonts w:ascii="Simplified Arabic" w:hAnsi="Simplified Arabic" w:cs="Simplified Arabic" w:hint="cs"/>
          <w:b/>
          <w:bCs/>
          <w:sz w:val="26"/>
          <w:szCs w:val="26"/>
          <w:rtl/>
        </w:rPr>
        <w:t xml:space="preserve"> خلال الفترة</w:t>
      </w:r>
      <w:r w:rsidR="00F321C5" w:rsidRPr="00E31968">
        <w:rPr>
          <w:rFonts w:ascii="Simplified Arabic" w:hAnsi="Simplified Arabic" w:cs="Simplified Arabic"/>
          <w:b/>
          <w:bCs/>
          <w:sz w:val="26"/>
          <w:szCs w:val="26"/>
          <w:rtl/>
        </w:rPr>
        <w:t>:</w:t>
      </w:r>
      <w:r w:rsidR="00F321C5" w:rsidRPr="00E31968">
        <w:rPr>
          <w:rFonts w:ascii="Simplified Arabic" w:hAnsi="Simplified Arabic" w:cs="Simplified Arabic" w:hint="cs"/>
          <w:b/>
          <w:bCs/>
          <w:sz w:val="26"/>
          <w:szCs w:val="26"/>
          <w:rtl/>
        </w:rPr>
        <w:t xml:space="preserve"> </w:t>
      </w:r>
      <w:r w:rsidR="00F321C5" w:rsidRPr="00E31968">
        <w:rPr>
          <w:rFonts w:ascii="Simplified Arabic" w:hAnsi="Simplified Arabic" w:cs="Simplified Arabic"/>
          <w:b/>
          <w:bCs/>
          <w:sz w:val="26"/>
          <w:szCs w:val="26"/>
          <w:rtl/>
        </w:rPr>
        <w:t xml:space="preserve">الربع </w:t>
      </w:r>
      <w:r w:rsidR="00DF78E9" w:rsidRPr="00E31968">
        <w:rPr>
          <w:rFonts w:ascii="Simplified Arabic" w:hAnsi="Simplified Arabic" w:cs="Simplified Arabic" w:hint="cs"/>
          <w:b/>
          <w:bCs/>
          <w:sz w:val="26"/>
          <w:szCs w:val="26"/>
          <w:rtl/>
        </w:rPr>
        <w:t>الثاني</w:t>
      </w:r>
      <w:r w:rsidR="00F321C5" w:rsidRPr="00E31968">
        <w:rPr>
          <w:rFonts w:ascii="Simplified Arabic" w:hAnsi="Simplified Arabic" w:cs="Simplified Arabic"/>
          <w:b/>
          <w:bCs/>
          <w:sz w:val="26"/>
          <w:szCs w:val="26"/>
          <w:rtl/>
        </w:rPr>
        <w:t xml:space="preserve"> </w:t>
      </w:r>
      <w:r w:rsidR="00646980" w:rsidRPr="00E31968">
        <w:rPr>
          <w:rFonts w:ascii="Simplified Arabic" w:hAnsi="Simplified Arabic" w:cs="Simplified Arabic" w:hint="cs"/>
          <w:b/>
          <w:bCs/>
          <w:sz w:val="26"/>
          <w:szCs w:val="26"/>
          <w:rtl/>
        </w:rPr>
        <w:t>2017</w:t>
      </w:r>
      <w:r w:rsidR="00F321C5" w:rsidRPr="00E31968">
        <w:rPr>
          <w:rFonts w:ascii="Simplified Arabic" w:hAnsi="Simplified Arabic" w:cs="Simplified Arabic"/>
          <w:b/>
          <w:bCs/>
          <w:sz w:val="26"/>
          <w:szCs w:val="26"/>
          <w:rtl/>
        </w:rPr>
        <w:t xml:space="preserve"> – الربع </w:t>
      </w:r>
      <w:r w:rsidR="00DF78E9" w:rsidRPr="00E31968">
        <w:rPr>
          <w:rFonts w:ascii="Simplified Arabic" w:hAnsi="Simplified Arabic" w:cs="Simplified Arabic" w:hint="cs"/>
          <w:b/>
          <w:bCs/>
          <w:sz w:val="26"/>
          <w:szCs w:val="26"/>
          <w:rtl/>
        </w:rPr>
        <w:t>الثاني</w:t>
      </w:r>
      <w:r w:rsidR="00F321C5" w:rsidRPr="00E31968">
        <w:rPr>
          <w:rFonts w:ascii="Simplified Arabic" w:hAnsi="Simplified Arabic" w:cs="Simplified Arabic"/>
          <w:b/>
          <w:bCs/>
          <w:sz w:val="26"/>
          <w:szCs w:val="26"/>
          <w:rtl/>
        </w:rPr>
        <w:t xml:space="preserve"> </w:t>
      </w:r>
      <w:r w:rsidR="00646980" w:rsidRPr="00E31968">
        <w:rPr>
          <w:rFonts w:ascii="Simplified Arabic" w:hAnsi="Simplified Arabic" w:cs="Simplified Arabic" w:hint="cs"/>
          <w:b/>
          <w:bCs/>
          <w:sz w:val="26"/>
          <w:szCs w:val="26"/>
          <w:rtl/>
        </w:rPr>
        <w:t>2019</w:t>
      </w:r>
    </w:p>
    <w:p w:rsidR="00F321C5" w:rsidRPr="00E31968" w:rsidRDefault="00F321C5" w:rsidP="00F321C5">
      <w:pPr>
        <w:pStyle w:val="BodyText2"/>
        <w:spacing w:after="0" w:line="240" w:lineRule="auto"/>
        <w:jc w:val="center"/>
        <w:rPr>
          <w:rFonts w:ascii="Simplified Arabic" w:hAnsi="Simplified Arabic" w:cs="Simplified Arabic"/>
          <w:b/>
          <w:bCs/>
          <w:sz w:val="26"/>
          <w:szCs w:val="26"/>
          <w:rtl/>
        </w:rPr>
      </w:pPr>
      <w:r w:rsidRPr="00E31968">
        <w:rPr>
          <w:rFonts w:ascii="Simplified Arabic" w:hAnsi="Simplified Arabic" w:cs="Simplified Arabic"/>
          <w:b/>
          <w:bCs/>
          <w:sz w:val="26"/>
          <w:szCs w:val="26"/>
          <w:rtl/>
        </w:rPr>
        <w:t>(سنة الأساس 2007 = 100)</w:t>
      </w:r>
    </w:p>
    <w:p w:rsidR="00F321C5" w:rsidRPr="00AB032B" w:rsidRDefault="00F321C5" w:rsidP="00F321C5">
      <w:pPr>
        <w:pStyle w:val="BodyText2"/>
        <w:spacing w:after="0" w:line="240" w:lineRule="auto"/>
        <w:jc w:val="center"/>
        <w:rPr>
          <w:rFonts w:ascii="Simplified Arabic" w:hAnsi="Simplified Arabic" w:cs="Simplified Arabic"/>
          <w:b/>
          <w:bCs/>
          <w:sz w:val="10"/>
          <w:szCs w:val="10"/>
          <w:rtl/>
        </w:rPr>
      </w:pPr>
    </w:p>
    <w:tbl>
      <w:tblPr>
        <w:bidiVisual/>
        <w:tblW w:w="4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6"/>
      </w:tblGrid>
      <w:tr w:rsidR="00F321C5" w:rsidTr="003B315D">
        <w:trPr>
          <w:trHeight w:val="3875"/>
          <w:jc w:val="center"/>
        </w:trPr>
        <w:tc>
          <w:tcPr>
            <w:tcW w:w="4417" w:type="dxa"/>
          </w:tcPr>
          <w:p w:rsidR="00F321C5" w:rsidRPr="00F321C5" w:rsidRDefault="00CB0584" w:rsidP="00F321C5">
            <w:pPr>
              <w:pStyle w:val="BodyText2"/>
              <w:spacing w:after="0" w:line="240" w:lineRule="auto"/>
              <w:jc w:val="center"/>
              <w:rPr>
                <w:rFonts w:ascii="Simplified Arabic" w:hAnsi="Simplified Arabic" w:cs="Simplified Arabic"/>
                <w:b/>
                <w:bCs/>
                <w:rtl/>
              </w:rPr>
            </w:pPr>
            <w:r>
              <w:rPr>
                <w:rFonts w:ascii="Simplified Arabic" w:hAnsi="Simplified Arabic" w:cs="Simplified Arabic"/>
                <w:b/>
                <w:bCs/>
                <w:noProof/>
                <w:lang w:eastAsia="en-US"/>
              </w:rPr>
              <w:drawing>
                <wp:inline distT="0" distB="0" distL="0" distR="0">
                  <wp:extent cx="3048000" cy="283845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E31968" w:rsidRDefault="00E31968" w:rsidP="00F321C5">
      <w:pPr>
        <w:pStyle w:val="BodyText2"/>
        <w:spacing w:after="0" w:line="240" w:lineRule="auto"/>
        <w:rPr>
          <w:rFonts w:ascii="Simplified Arabic" w:hAnsi="Simplified Arabic" w:cs="Simplified Arabic" w:hint="cs"/>
          <w:b/>
          <w:bCs/>
          <w:sz w:val="16"/>
          <w:szCs w:val="16"/>
          <w:rtl/>
        </w:rPr>
      </w:pPr>
    </w:p>
    <w:p w:rsidR="00E31968" w:rsidRDefault="00E31968" w:rsidP="00F321C5">
      <w:pPr>
        <w:pStyle w:val="BodyText2"/>
        <w:spacing w:after="0" w:line="240" w:lineRule="auto"/>
        <w:rPr>
          <w:rFonts w:ascii="Simplified Arabic" w:hAnsi="Simplified Arabic" w:cs="Simplified Arabic" w:hint="cs"/>
          <w:b/>
          <w:bCs/>
          <w:sz w:val="16"/>
          <w:szCs w:val="16"/>
          <w:rtl/>
        </w:rPr>
      </w:pPr>
    </w:p>
    <w:p w:rsidR="00A57501" w:rsidRPr="00286D0A" w:rsidRDefault="00A57501" w:rsidP="006016E8">
      <w:pPr>
        <w:jc w:val="both"/>
        <w:rPr>
          <w:rFonts w:cs="Simplified Arabic"/>
          <w:sz w:val="19"/>
          <w:szCs w:val="19"/>
        </w:rPr>
      </w:pPr>
    </w:p>
    <w:sectPr w:rsidR="00A57501" w:rsidRPr="00286D0A" w:rsidSect="00E31968">
      <w:footerReference w:type="even" r:id="rId9"/>
      <w:footerReference w:type="default" r:id="rId10"/>
      <w:pgSz w:w="11907" w:h="16840" w:code="9"/>
      <w:pgMar w:top="720" w:right="720" w:bottom="720" w:left="720"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691" w:rsidRDefault="001F2691">
      <w:r>
        <w:separator/>
      </w:r>
    </w:p>
  </w:endnote>
  <w:endnote w:type="continuationSeparator" w:id="0">
    <w:p w:rsidR="001F2691" w:rsidRDefault="001F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6E" w:rsidRDefault="00294784">
    <w:pPr>
      <w:pStyle w:val="Footer"/>
      <w:framePr w:wrap="around" w:vAnchor="text" w:hAnchor="margin" w:xAlign="center" w:y="1"/>
      <w:rPr>
        <w:rStyle w:val="PageNumber"/>
        <w:rtl/>
      </w:rPr>
    </w:pPr>
    <w:r>
      <w:rPr>
        <w:rStyle w:val="PageNumber"/>
        <w:rtl/>
      </w:rPr>
      <w:fldChar w:fldCharType="begin"/>
    </w:r>
    <w:r w:rsidR="00D84C6E">
      <w:rPr>
        <w:rStyle w:val="PageNumber"/>
      </w:rPr>
      <w:instrText xml:space="preserve">PAGE  </w:instrText>
    </w:r>
    <w:r>
      <w:rPr>
        <w:rStyle w:val="PageNumber"/>
        <w:rtl/>
      </w:rPr>
      <w:fldChar w:fldCharType="end"/>
    </w:r>
  </w:p>
  <w:p w:rsidR="00D84C6E" w:rsidRDefault="00D84C6E">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6E" w:rsidRDefault="00294784">
    <w:pPr>
      <w:pStyle w:val="Footer"/>
      <w:jc w:val="center"/>
    </w:pPr>
    <w:fldSimple w:instr=" PAGE   \* MERGEFORMAT ">
      <w:r w:rsidR="00E31968">
        <w:rPr>
          <w:noProof/>
          <w:rtl/>
        </w:rPr>
        <w:t>1</w:t>
      </w:r>
    </w:fldSimple>
  </w:p>
  <w:p w:rsidR="00D84C6E" w:rsidRDefault="00D84C6E">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691" w:rsidRDefault="001F2691">
      <w:r>
        <w:separator/>
      </w:r>
    </w:p>
  </w:footnote>
  <w:footnote w:type="continuationSeparator" w:id="0">
    <w:p w:rsidR="001F2691" w:rsidRDefault="001F2691">
      <w:r>
        <w:continuationSeparator/>
      </w:r>
    </w:p>
  </w:footnote>
  <w:footnote w:id="1">
    <w:p w:rsidR="00D84C6E" w:rsidRDefault="00D84C6E" w:rsidP="003F4B73">
      <w:pPr>
        <w:pStyle w:val="FootnoteText"/>
        <w:jc w:val="lowKashida"/>
        <w:rPr>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25602"/>
  </w:hdrShapeDefaults>
  <w:footnotePr>
    <w:footnote w:id="-1"/>
    <w:footnote w:id="0"/>
  </w:footnotePr>
  <w:endnotePr>
    <w:endnote w:id="-1"/>
    <w:endnote w:id="0"/>
  </w:endnotePr>
  <w:compat/>
  <w:rsids>
    <w:rsidRoot w:val="00521E76"/>
    <w:rsid w:val="000003EC"/>
    <w:rsid w:val="000040EF"/>
    <w:rsid w:val="00017FAB"/>
    <w:rsid w:val="00020270"/>
    <w:rsid w:val="00021919"/>
    <w:rsid w:val="0002407B"/>
    <w:rsid w:val="000404FF"/>
    <w:rsid w:val="00046D2C"/>
    <w:rsid w:val="0005122E"/>
    <w:rsid w:val="00055D53"/>
    <w:rsid w:val="00062C05"/>
    <w:rsid w:val="00065884"/>
    <w:rsid w:val="00071184"/>
    <w:rsid w:val="000727C2"/>
    <w:rsid w:val="00075AE6"/>
    <w:rsid w:val="000773D2"/>
    <w:rsid w:val="00080277"/>
    <w:rsid w:val="000820DC"/>
    <w:rsid w:val="0008245D"/>
    <w:rsid w:val="00083045"/>
    <w:rsid w:val="00083D26"/>
    <w:rsid w:val="00086206"/>
    <w:rsid w:val="00091F06"/>
    <w:rsid w:val="00096B23"/>
    <w:rsid w:val="000A466A"/>
    <w:rsid w:val="000A6E8F"/>
    <w:rsid w:val="000B36A5"/>
    <w:rsid w:val="000B3A77"/>
    <w:rsid w:val="000C0D08"/>
    <w:rsid w:val="000C3DED"/>
    <w:rsid w:val="000C3E34"/>
    <w:rsid w:val="000E40F2"/>
    <w:rsid w:val="000E7D2B"/>
    <w:rsid w:val="000F2FB5"/>
    <w:rsid w:val="000F584E"/>
    <w:rsid w:val="000F6B34"/>
    <w:rsid w:val="00110A08"/>
    <w:rsid w:val="00124F83"/>
    <w:rsid w:val="001251AF"/>
    <w:rsid w:val="00131EEE"/>
    <w:rsid w:val="001327FE"/>
    <w:rsid w:val="00132C19"/>
    <w:rsid w:val="001334DE"/>
    <w:rsid w:val="0013502C"/>
    <w:rsid w:val="00136AE4"/>
    <w:rsid w:val="00140307"/>
    <w:rsid w:val="00141C84"/>
    <w:rsid w:val="00145148"/>
    <w:rsid w:val="00152EFA"/>
    <w:rsid w:val="001530F6"/>
    <w:rsid w:val="0016431E"/>
    <w:rsid w:val="00172A1D"/>
    <w:rsid w:val="00173C68"/>
    <w:rsid w:val="001746D5"/>
    <w:rsid w:val="00180704"/>
    <w:rsid w:val="00182907"/>
    <w:rsid w:val="001831CC"/>
    <w:rsid w:val="0019681D"/>
    <w:rsid w:val="001A0C6D"/>
    <w:rsid w:val="001A0C78"/>
    <w:rsid w:val="001A318F"/>
    <w:rsid w:val="001A48D6"/>
    <w:rsid w:val="001A5B28"/>
    <w:rsid w:val="001A69A7"/>
    <w:rsid w:val="001A7376"/>
    <w:rsid w:val="001B0E21"/>
    <w:rsid w:val="001B52AD"/>
    <w:rsid w:val="001B62AE"/>
    <w:rsid w:val="001B7C33"/>
    <w:rsid w:val="001C7795"/>
    <w:rsid w:val="001D45D4"/>
    <w:rsid w:val="001D6417"/>
    <w:rsid w:val="001D78B2"/>
    <w:rsid w:val="001D7909"/>
    <w:rsid w:val="001E0FE8"/>
    <w:rsid w:val="001E1281"/>
    <w:rsid w:val="001E340B"/>
    <w:rsid w:val="001E5302"/>
    <w:rsid w:val="001F16EC"/>
    <w:rsid w:val="001F1A06"/>
    <w:rsid w:val="001F1B3A"/>
    <w:rsid w:val="001F2691"/>
    <w:rsid w:val="00201435"/>
    <w:rsid w:val="00203B3E"/>
    <w:rsid w:val="0020537C"/>
    <w:rsid w:val="002165DF"/>
    <w:rsid w:val="00240E4C"/>
    <w:rsid w:val="00243704"/>
    <w:rsid w:val="00244C06"/>
    <w:rsid w:val="00247441"/>
    <w:rsid w:val="00257CB8"/>
    <w:rsid w:val="0026086E"/>
    <w:rsid w:val="00272C61"/>
    <w:rsid w:val="002825AA"/>
    <w:rsid w:val="0028424E"/>
    <w:rsid w:val="00286D0A"/>
    <w:rsid w:val="00287685"/>
    <w:rsid w:val="00294784"/>
    <w:rsid w:val="002A4788"/>
    <w:rsid w:val="002C69E3"/>
    <w:rsid w:val="002D0754"/>
    <w:rsid w:val="002D2CB1"/>
    <w:rsid w:val="002D39D1"/>
    <w:rsid w:val="002D426D"/>
    <w:rsid w:val="002D4916"/>
    <w:rsid w:val="002D4D45"/>
    <w:rsid w:val="002D763E"/>
    <w:rsid w:val="002E1E6C"/>
    <w:rsid w:val="002E7B9F"/>
    <w:rsid w:val="002F0405"/>
    <w:rsid w:val="002F132B"/>
    <w:rsid w:val="002F6CC7"/>
    <w:rsid w:val="003012DA"/>
    <w:rsid w:val="00310839"/>
    <w:rsid w:val="00310F91"/>
    <w:rsid w:val="0031498B"/>
    <w:rsid w:val="00315B24"/>
    <w:rsid w:val="0031714A"/>
    <w:rsid w:val="00317E5C"/>
    <w:rsid w:val="00320A5A"/>
    <w:rsid w:val="00327D78"/>
    <w:rsid w:val="0033254C"/>
    <w:rsid w:val="003351D9"/>
    <w:rsid w:val="00347E8D"/>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553E"/>
    <w:rsid w:val="003A7270"/>
    <w:rsid w:val="003B064B"/>
    <w:rsid w:val="003B27EC"/>
    <w:rsid w:val="003B315D"/>
    <w:rsid w:val="003B6BC5"/>
    <w:rsid w:val="003D5D0A"/>
    <w:rsid w:val="003D680B"/>
    <w:rsid w:val="003F153F"/>
    <w:rsid w:val="003F4B73"/>
    <w:rsid w:val="003F5A50"/>
    <w:rsid w:val="00417F22"/>
    <w:rsid w:val="00427E93"/>
    <w:rsid w:val="00431743"/>
    <w:rsid w:val="004335A9"/>
    <w:rsid w:val="00433D5E"/>
    <w:rsid w:val="00440247"/>
    <w:rsid w:val="00441941"/>
    <w:rsid w:val="0044509E"/>
    <w:rsid w:val="00447C02"/>
    <w:rsid w:val="00453476"/>
    <w:rsid w:val="004539BF"/>
    <w:rsid w:val="00455B60"/>
    <w:rsid w:val="0047363C"/>
    <w:rsid w:val="004752A9"/>
    <w:rsid w:val="00480B8F"/>
    <w:rsid w:val="00480F5D"/>
    <w:rsid w:val="0048345C"/>
    <w:rsid w:val="004844C3"/>
    <w:rsid w:val="004844EB"/>
    <w:rsid w:val="00484B72"/>
    <w:rsid w:val="00495F40"/>
    <w:rsid w:val="00497479"/>
    <w:rsid w:val="004A0A23"/>
    <w:rsid w:val="004B5997"/>
    <w:rsid w:val="004C1ACB"/>
    <w:rsid w:val="004C23F3"/>
    <w:rsid w:val="004D3125"/>
    <w:rsid w:val="004F3527"/>
    <w:rsid w:val="004F46A8"/>
    <w:rsid w:val="004F59BC"/>
    <w:rsid w:val="004F6D6E"/>
    <w:rsid w:val="005137D7"/>
    <w:rsid w:val="005162FD"/>
    <w:rsid w:val="005166D8"/>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81D1C"/>
    <w:rsid w:val="005829FA"/>
    <w:rsid w:val="00595753"/>
    <w:rsid w:val="0059655D"/>
    <w:rsid w:val="005A17A2"/>
    <w:rsid w:val="005A45C5"/>
    <w:rsid w:val="005A4F39"/>
    <w:rsid w:val="005B084F"/>
    <w:rsid w:val="005C2195"/>
    <w:rsid w:val="005C538C"/>
    <w:rsid w:val="005C6A34"/>
    <w:rsid w:val="005D0A33"/>
    <w:rsid w:val="005D1C4E"/>
    <w:rsid w:val="005E0AD5"/>
    <w:rsid w:val="005E27CC"/>
    <w:rsid w:val="005E2D89"/>
    <w:rsid w:val="005F2E7E"/>
    <w:rsid w:val="005F44D5"/>
    <w:rsid w:val="005F6453"/>
    <w:rsid w:val="00600545"/>
    <w:rsid w:val="006016E8"/>
    <w:rsid w:val="00620488"/>
    <w:rsid w:val="0062362E"/>
    <w:rsid w:val="00630725"/>
    <w:rsid w:val="006357D5"/>
    <w:rsid w:val="006416B6"/>
    <w:rsid w:val="006457CD"/>
    <w:rsid w:val="00646980"/>
    <w:rsid w:val="00647049"/>
    <w:rsid w:val="0065433D"/>
    <w:rsid w:val="00657586"/>
    <w:rsid w:val="006620BC"/>
    <w:rsid w:val="006625D1"/>
    <w:rsid w:val="0066334E"/>
    <w:rsid w:val="00664112"/>
    <w:rsid w:val="00666B43"/>
    <w:rsid w:val="006727FB"/>
    <w:rsid w:val="006806BF"/>
    <w:rsid w:val="00686181"/>
    <w:rsid w:val="006879BB"/>
    <w:rsid w:val="00691778"/>
    <w:rsid w:val="00691CAB"/>
    <w:rsid w:val="00692A65"/>
    <w:rsid w:val="00694978"/>
    <w:rsid w:val="00695993"/>
    <w:rsid w:val="006A4B65"/>
    <w:rsid w:val="006A575E"/>
    <w:rsid w:val="006B00EE"/>
    <w:rsid w:val="006B17BA"/>
    <w:rsid w:val="006C1B59"/>
    <w:rsid w:val="006E2A22"/>
    <w:rsid w:val="00701983"/>
    <w:rsid w:val="00703894"/>
    <w:rsid w:val="00711027"/>
    <w:rsid w:val="007160E8"/>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90426"/>
    <w:rsid w:val="00792820"/>
    <w:rsid w:val="00793940"/>
    <w:rsid w:val="00793A14"/>
    <w:rsid w:val="007957DA"/>
    <w:rsid w:val="007959C9"/>
    <w:rsid w:val="0079769B"/>
    <w:rsid w:val="007A105F"/>
    <w:rsid w:val="007A1607"/>
    <w:rsid w:val="007A2C6A"/>
    <w:rsid w:val="007A4752"/>
    <w:rsid w:val="007A659B"/>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919CB"/>
    <w:rsid w:val="008935B9"/>
    <w:rsid w:val="008A0F52"/>
    <w:rsid w:val="008A1FAE"/>
    <w:rsid w:val="008A29B8"/>
    <w:rsid w:val="008B110F"/>
    <w:rsid w:val="008B379B"/>
    <w:rsid w:val="008C01DB"/>
    <w:rsid w:val="008C59D8"/>
    <w:rsid w:val="008E0271"/>
    <w:rsid w:val="008E1AFE"/>
    <w:rsid w:val="008E409F"/>
    <w:rsid w:val="008E6DCF"/>
    <w:rsid w:val="008F4F2A"/>
    <w:rsid w:val="00906C2D"/>
    <w:rsid w:val="00907AC5"/>
    <w:rsid w:val="00911104"/>
    <w:rsid w:val="00912549"/>
    <w:rsid w:val="0092361A"/>
    <w:rsid w:val="009353C5"/>
    <w:rsid w:val="00935E15"/>
    <w:rsid w:val="009547CF"/>
    <w:rsid w:val="00955BE4"/>
    <w:rsid w:val="00956265"/>
    <w:rsid w:val="009606BE"/>
    <w:rsid w:val="00963577"/>
    <w:rsid w:val="0098184F"/>
    <w:rsid w:val="00981B98"/>
    <w:rsid w:val="0098531A"/>
    <w:rsid w:val="0099276A"/>
    <w:rsid w:val="00992BFD"/>
    <w:rsid w:val="00992EC3"/>
    <w:rsid w:val="00994BE8"/>
    <w:rsid w:val="00995421"/>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3053"/>
    <w:rsid w:val="00A26577"/>
    <w:rsid w:val="00A35034"/>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B01A13"/>
    <w:rsid w:val="00B067D7"/>
    <w:rsid w:val="00B10AFE"/>
    <w:rsid w:val="00B1352F"/>
    <w:rsid w:val="00B15B9E"/>
    <w:rsid w:val="00B20794"/>
    <w:rsid w:val="00B25F11"/>
    <w:rsid w:val="00B31B36"/>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83B83"/>
    <w:rsid w:val="00B84630"/>
    <w:rsid w:val="00B91D57"/>
    <w:rsid w:val="00B92FBD"/>
    <w:rsid w:val="00B931C6"/>
    <w:rsid w:val="00BA06BF"/>
    <w:rsid w:val="00BA3417"/>
    <w:rsid w:val="00BA3485"/>
    <w:rsid w:val="00BA6BFD"/>
    <w:rsid w:val="00BA7657"/>
    <w:rsid w:val="00BB0CBF"/>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4CEA"/>
    <w:rsid w:val="00C25839"/>
    <w:rsid w:val="00C362E2"/>
    <w:rsid w:val="00C37E22"/>
    <w:rsid w:val="00C51CFB"/>
    <w:rsid w:val="00C527D2"/>
    <w:rsid w:val="00C5333A"/>
    <w:rsid w:val="00C53EE3"/>
    <w:rsid w:val="00C54F7B"/>
    <w:rsid w:val="00C5515E"/>
    <w:rsid w:val="00C61682"/>
    <w:rsid w:val="00C618DD"/>
    <w:rsid w:val="00C645D8"/>
    <w:rsid w:val="00C7248E"/>
    <w:rsid w:val="00C725FC"/>
    <w:rsid w:val="00C75286"/>
    <w:rsid w:val="00C86EBD"/>
    <w:rsid w:val="00C9659C"/>
    <w:rsid w:val="00C97C76"/>
    <w:rsid w:val="00CA3F6B"/>
    <w:rsid w:val="00CA4C1F"/>
    <w:rsid w:val="00CA7EB3"/>
    <w:rsid w:val="00CB0584"/>
    <w:rsid w:val="00CB0C4B"/>
    <w:rsid w:val="00CB2B20"/>
    <w:rsid w:val="00CB53B5"/>
    <w:rsid w:val="00CC135E"/>
    <w:rsid w:val="00CC3D1D"/>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54BB"/>
    <w:rsid w:val="00D21979"/>
    <w:rsid w:val="00D25A2F"/>
    <w:rsid w:val="00D25F70"/>
    <w:rsid w:val="00D35B36"/>
    <w:rsid w:val="00D400CE"/>
    <w:rsid w:val="00D40A8C"/>
    <w:rsid w:val="00D40E1B"/>
    <w:rsid w:val="00D52CBA"/>
    <w:rsid w:val="00D558DC"/>
    <w:rsid w:val="00D5609E"/>
    <w:rsid w:val="00D565FB"/>
    <w:rsid w:val="00D64D91"/>
    <w:rsid w:val="00D66244"/>
    <w:rsid w:val="00D709D4"/>
    <w:rsid w:val="00D73629"/>
    <w:rsid w:val="00D757D4"/>
    <w:rsid w:val="00D80CF9"/>
    <w:rsid w:val="00D81E05"/>
    <w:rsid w:val="00D84C6E"/>
    <w:rsid w:val="00D873FD"/>
    <w:rsid w:val="00D916AB"/>
    <w:rsid w:val="00DA1651"/>
    <w:rsid w:val="00DB04D6"/>
    <w:rsid w:val="00DB71DC"/>
    <w:rsid w:val="00DB787D"/>
    <w:rsid w:val="00DC4294"/>
    <w:rsid w:val="00DC431C"/>
    <w:rsid w:val="00DC4487"/>
    <w:rsid w:val="00DD47A4"/>
    <w:rsid w:val="00DD6188"/>
    <w:rsid w:val="00DD73B0"/>
    <w:rsid w:val="00DE1DA5"/>
    <w:rsid w:val="00DE50C9"/>
    <w:rsid w:val="00DF3753"/>
    <w:rsid w:val="00DF4249"/>
    <w:rsid w:val="00DF78E9"/>
    <w:rsid w:val="00E00774"/>
    <w:rsid w:val="00E07021"/>
    <w:rsid w:val="00E13447"/>
    <w:rsid w:val="00E27E8F"/>
    <w:rsid w:val="00E31968"/>
    <w:rsid w:val="00E43DA5"/>
    <w:rsid w:val="00E5211E"/>
    <w:rsid w:val="00E560B6"/>
    <w:rsid w:val="00E61AFB"/>
    <w:rsid w:val="00E6510D"/>
    <w:rsid w:val="00E666D0"/>
    <w:rsid w:val="00E674D4"/>
    <w:rsid w:val="00E70C29"/>
    <w:rsid w:val="00E73C8F"/>
    <w:rsid w:val="00E74216"/>
    <w:rsid w:val="00E76F82"/>
    <w:rsid w:val="00E85753"/>
    <w:rsid w:val="00E90B5A"/>
    <w:rsid w:val="00E90D4B"/>
    <w:rsid w:val="00E970E3"/>
    <w:rsid w:val="00E97926"/>
    <w:rsid w:val="00E97ED8"/>
    <w:rsid w:val="00EA0EDC"/>
    <w:rsid w:val="00EA4C9C"/>
    <w:rsid w:val="00EB0119"/>
    <w:rsid w:val="00EB1130"/>
    <w:rsid w:val="00EB64F5"/>
    <w:rsid w:val="00EC30B4"/>
    <w:rsid w:val="00ED26C6"/>
    <w:rsid w:val="00ED5245"/>
    <w:rsid w:val="00ED6DA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53E1"/>
    <w:rsid w:val="00F77416"/>
    <w:rsid w:val="00F8533F"/>
    <w:rsid w:val="00F9459E"/>
    <w:rsid w:val="00F95976"/>
    <w:rsid w:val="00F96F3C"/>
    <w:rsid w:val="00FA082F"/>
    <w:rsid w:val="00FA1148"/>
    <w:rsid w:val="00FA5A2D"/>
    <w:rsid w:val="00FA748F"/>
    <w:rsid w:val="00FC1090"/>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857191412224565"/>
          <c:y val="7.6477005591692349E-2"/>
          <c:w val="0.66915538435393462"/>
          <c:h val="0.5472690031393137"/>
        </c:manualLayout>
      </c:layout>
      <c:lineChart>
        <c:grouping val="standard"/>
        <c:ser>
          <c:idx val="0"/>
          <c:order val="0"/>
          <c:tx>
            <c:strRef>
              <c:f>Sheet1!$A$2</c:f>
              <c:strCache>
                <c:ptCount val="1"/>
                <c:pt idx="0">
                  <c:v>الرقم القياسي</c:v>
                </c:pt>
              </c:strCache>
            </c:strRef>
          </c:tx>
          <c:spPr>
            <a:ln w="11251">
              <a:solidFill>
                <a:srgbClr val="000080"/>
              </a:solidFill>
              <a:prstDash val="solid"/>
            </a:ln>
          </c:spPr>
          <c:marker>
            <c:symbol val="circle"/>
            <c:size val="3"/>
            <c:spPr>
              <a:solidFill>
                <a:srgbClr val="000080"/>
              </a:solidFill>
              <a:ln>
                <a:solidFill>
                  <a:srgbClr val="000080"/>
                </a:solidFill>
                <a:prstDash val="solid"/>
              </a:ln>
            </c:spPr>
          </c:marker>
          <c:dLbls>
            <c:dLbl>
              <c:idx val="0"/>
              <c:layout>
                <c:manualLayout>
                  <c:x val="-4.2543940628111183E-2"/>
                  <c:y val="4.7212522347750051E-2"/>
                </c:manualLayout>
              </c:layout>
              <c:spPr>
                <a:noFill/>
                <a:ln w="22503">
                  <a:noFill/>
                </a:ln>
              </c:spPr>
              <c:txPr>
                <a:bodyPr/>
                <a:lstStyle/>
                <a:p>
                  <a:pPr>
                    <a:defRPr sz="797" b="1" i="0" u="none" strike="noStrike" baseline="0">
                      <a:solidFill>
                        <a:srgbClr val="000000"/>
                      </a:solidFill>
                      <a:latin typeface="Arial"/>
                      <a:ea typeface="Arial"/>
                      <a:cs typeface="Arial"/>
                    </a:defRPr>
                  </a:pPr>
                  <a:endParaRPr lang="ar-SA"/>
                </a:p>
              </c:txPr>
              <c:dLblPos val="r"/>
              <c:showVal val="1"/>
            </c:dLbl>
            <c:dLbl>
              <c:idx val="8"/>
              <c:layout>
                <c:manualLayout>
                  <c:x val="-2.9389809032491627E-2"/>
                  <c:y val="6.239986306059573E-2"/>
                </c:manualLayout>
              </c:layout>
              <c:spPr/>
              <c:txPr>
                <a:bodyPr/>
                <a:lstStyle/>
                <a:p>
                  <a:pPr>
                    <a:defRPr sz="797" b="1" i="0" u="none" strike="noStrike" baseline="0">
                      <a:solidFill>
                        <a:srgbClr val="000000"/>
                      </a:solidFill>
                      <a:latin typeface="Arial"/>
                      <a:ea typeface="Arial"/>
                      <a:cs typeface="Arial"/>
                    </a:defRPr>
                  </a:pPr>
                  <a:endParaRPr lang="ar-SA"/>
                </a:p>
              </c:txPr>
              <c:dLblPos val="r"/>
              <c:showVal val="1"/>
            </c:dLbl>
            <c:delete val="1"/>
          </c:dLbls>
          <c:cat>
            <c:strRef>
              <c:f>Sheet1!$B$1:$J$1</c:f>
              <c:strCache>
                <c:ptCount val="9"/>
                <c:pt idx="0">
                  <c:v>الربع الثاني 2017</c:v>
                </c:pt>
                <c:pt idx="1">
                  <c:v>الربع الثالث 2017</c:v>
                </c:pt>
                <c:pt idx="2">
                  <c:v>الربع الرابع 2017</c:v>
                </c:pt>
                <c:pt idx="3">
                  <c:v>الربع الأول 2018</c:v>
                </c:pt>
                <c:pt idx="4">
                  <c:v>الربع الثاني 2018</c:v>
                </c:pt>
                <c:pt idx="5">
                  <c:v>الربع الثالث 2018</c:v>
                </c:pt>
                <c:pt idx="6">
                  <c:v>الربع الرابع 2018</c:v>
                </c:pt>
                <c:pt idx="7">
                  <c:v>الربع الأول 2019</c:v>
                </c:pt>
                <c:pt idx="8">
                  <c:v>الربع الثاني 2019</c:v>
                </c:pt>
              </c:strCache>
            </c:strRef>
          </c:cat>
          <c:val>
            <c:numRef>
              <c:f>Sheet1!$B$2:$J$2</c:f>
              <c:numCache>
                <c:formatCode>0.00</c:formatCode>
                <c:ptCount val="9"/>
                <c:pt idx="0">
                  <c:v>122</c:v>
                </c:pt>
                <c:pt idx="1">
                  <c:v>124.50937714724041</c:v>
                </c:pt>
                <c:pt idx="2">
                  <c:v>124.30406209233908</c:v>
                </c:pt>
                <c:pt idx="3">
                  <c:v>122.51830702660246</c:v>
                </c:pt>
                <c:pt idx="4">
                  <c:v>125.86999999999999</c:v>
                </c:pt>
                <c:pt idx="5">
                  <c:v>126.43032668512197</c:v>
                </c:pt>
                <c:pt idx="6">
                  <c:v>127.04685107499441</c:v>
                </c:pt>
                <c:pt idx="7">
                  <c:v>127.11767151856863</c:v>
                </c:pt>
                <c:pt idx="8">
                  <c:v>125.10448386049551</c:v>
                </c:pt>
              </c:numCache>
            </c:numRef>
          </c:val>
        </c:ser>
        <c:marker val="1"/>
        <c:axId val="120744192"/>
        <c:axId val="120774656"/>
      </c:lineChart>
      <c:catAx>
        <c:axId val="120744192"/>
        <c:scaling>
          <c:orientation val="minMax"/>
        </c:scaling>
        <c:axPos val="b"/>
        <c:numFmt formatCode="General" sourceLinked="1"/>
        <c:minorTickMark val="out"/>
        <c:tickLblPos val="nextTo"/>
        <c:spPr>
          <a:ln w="2813">
            <a:solidFill>
              <a:srgbClr val="000000"/>
            </a:solidFill>
            <a:prstDash val="solid"/>
          </a:ln>
        </c:spPr>
        <c:txPr>
          <a:bodyPr rot="3900000" vert="horz"/>
          <a:lstStyle/>
          <a:p>
            <a:pPr>
              <a:defRPr sz="797" b="0" i="0" u="none" strike="noStrike" baseline="0">
                <a:solidFill>
                  <a:srgbClr val="000000"/>
                </a:solidFill>
                <a:latin typeface="Arial"/>
                <a:ea typeface="Arial"/>
                <a:cs typeface="Arial"/>
              </a:defRPr>
            </a:pPr>
            <a:endParaRPr lang="ar-SA"/>
          </a:p>
        </c:txPr>
        <c:crossAx val="120774656"/>
        <c:crosses val="autoZero"/>
        <c:auto val="1"/>
        <c:lblAlgn val="ctr"/>
        <c:lblOffset val="100"/>
        <c:tickLblSkip val="1"/>
        <c:tickMarkSkip val="2"/>
      </c:catAx>
      <c:valAx>
        <c:axId val="120774656"/>
        <c:scaling>
          <c:orientation val="minMax"/>
          <c:max val="130"/>
          <c:min val="120"/>
        </c:scaling>
        <c:axPos val="l"/>
        <c:title>
          <c:tx>
            <c:rich>
              <a:bodyPr/>
              <a:lstStyle/>
              <a:p>
                <a:pPr>
                  <a:defRPr sz="797" b="0" i="0" u="none" strike="noStrike" baseline="0">
                    <a:solidFill>
                      <a:srgbClr val="000000"/>
                    </a:solidFill>
                    <a:latin typeface="Arial"/>
                    <a:ea typeface="Arial"/>
                    <a:cs typeface="Arial"/>
                  </a:defRPr>
                </a:pPr>
                <a:r>
                  <a:rPr lang="ar-SA" sz="797" b="0" i="0" strike="noStrike">
                    <a:solidFill>
                      <a:srgbClr val="000000"/>
                    </a:solidFill>
                    <a:latin typeface="Simplified Arabic"/>
                    <a:cs typeface="Simplified Arabic"/>
                  </a:rPr>
                  <a:t>الرقم القياسي لأسعار الجملة ( </a:t>
                </a:r>
                <a:r>
                  <a:rPr lang="en-US" sz="797" b="0" i="0" strike="noStrike">
                    <a:solidFill>
                      <a:srgbClr val="000000"/>
                    </a:solidFill>
                    <a:latin typeface="Simplified Arabic"/>
                    <a:cs typeface="Simplified Arabic"/>
                  </a:rPr>
                  <a:t>(WPI</a:t>
                </a:r>
              </a:p>
            </c:rich>
          </c:tx>
          <c:layout>
            <c:manualLayout>
              <c:xMode val="edge"/>
              <c:yMode val="edge"/>
              <c:x val="0"/>
              <c:y val="9.7608193712628064E-2"/>
            </c:manualLayout>
          </c:layout>
          <c:spPr>
            <a:noFill/>
            <a:ln w="22503">
              <a:noFill/>
            </a:ln>
          </c:spPr>
        </c:title>
        <c:numFmt formatCode="0" sourceLinked="0"/>
        <c:tickLblPos val="nextTo"/>
        <c:spPr>
          <a:ln w="2813">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ar-SA"/>
          </a:p>
        </c:txPr>
        <c:crossAx val="120744192"/>
        <c:crosses val="autoZero"/>
        <c:crossBetween val="between"/>
        <c:majorUnit val="2"/>
      </c:valAx>
      <c:spPr>
        <a:noFill/>
        <a:ln w="22504">
          <a:noFill/>
        </a:ln>
      </c:spPr>
    </c:plotArea>
    <c:plotVisOnly val="1"/>
    <c:dispBlanksAs val="gap"/>
  </c:chart>
  <c:spPr>
    <a:noFill/>
    <a:ln>
      <a:noFill/>
    </a:ln>
  </c:spPr>
  <c:txPr>
    <a:bodyPr/>
    <a:lstStyle/>
    <a:p>
      <a:pPr>
        <a:defRPr sz="797" b="0"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94D3-1C14-44AE-9B13-159BCE2F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2512</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hbadran</cp:lastModifiedBy>
  <cp:revision>2</cp:revision>
  <cp:lastPrinted>2019-07-16T11:26:00Z</cp:lastPrinted>
  <dcterms:created xsi:type="dcterms:W3CDTF">2019-07-16T11:30:00Z</dcterms:created>
  <dcterms:modified xsi:type="dcterms:W3CDTF">2019-07-16T11:30:00Z</dcterms:modified>
</cp:coreProperties>
</file>