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96" w:rsidRPr="00CD660D" w:rsidRDefault="000B2996" w:rsidP="000B2996">
      <w:pPr>
        <w:bidi/>
        <w:spacing w:line="240" w:lineRule="auto"/>
        <w:jc w:val="center"/>
        <w:rPr>
          <w:rFonts w:ascii="Simplified Arabic" w:hAnsi="Simplified Arabic" w:cs="Simplified Arabic"/>
          <w:b/>
          <w:bCs/>
          <w:sz w:val="16"/>
          <w:szCs w:val="16"/>
          <w:rtl/>
        </w:rPr>
      </w:pPr>
    </w:p>
    <w:p w:rsidR="00A638B3" w:rsidRDefault="00A638B3" w:rsidP="001C3CF6">
      <w:pPr>
        <w:pStyle w:val="Header"/>
        <w:tabs>
          <w:tab w:val="left" w:pos="5925"/>
        </w:tabs>
        <w:bidi/>
        <w:jc w:val="both"/>
        <w:rPr>
          <w:rFonts w:ascii="Simplified Arabic" w:hAnsi="Simplified Arabic" w:cs="Simplified Arabic" w:hint="cs"/>
          <w:b/>
          <w:bCs/>
          <w:color w:val="000000"/>
          <w:rtl/>
        </w:rPr>
      </w:pPr>
    </w:p>
    <w:p w:rsidR="00A638B3" w:rsidRDefault="00A638B3" w:rsidP="00A638B3">
      <w:pPr>
        <w:pStyle w:val="Header"/>
        <w:tabs>
          <w:tab w:val="left" w:pos="5925"/>
        </w:tabs>
        <w:bidi/>
        <w:jc w:val="both"/>
        <w:rPr>
          <w:rFonts w:ascii="Simplified Arabic" w:hAnsi="Simplified Arabic" w:cs="Simplified Arabic" w:hint="cs"/>
          <w:b/>
          <w:bCs/>
          <w:color w:val="000000"/>
          <w:rtl/>
        </w:rPr>
      </w:pPr>
    </w:p>
    <w:p w:rsidR="00A638B3" w:rsidRDefault="00A638B3" w:rsidP="00A638B3">
      <w:pPr>
        <w:pStyle w:val="Header"/>
        <w:tabs>
          <w:tab w:val="left" w:pos="5925"/>
        </w:tabs>
        <w:bidi/>
        <w:jc w:val="both"/>
        <w:rPr>
          <w:rFonts w:ascii="Simplified Arabic" w:hAnsi="Simplified Arabic" w:cs="Simplified Arabic" w:hint="cs"/>
          <w:b/>
          <w:bCs/>
          <w:color w:val="000000"/>
          <w:rtl/>
        </w:rPr>
      </w:pPr>
    </w:p>
    <w:p w:rsidR="00A638B3" w:rsidRPr="00A638B3" w:rsidRDefault="00A638B3" w:rsidP="00A638B3">
      <w:pPr>
        <w:bidi/>
        <w:jc w:val="center"/>
        <w:rPr>
          <w:rFonts w:ascii="Simplified Arabic" w:hAnsi="Simplified Arabic" w:cs="Simplified Arabic"/>
          <w:b/>
          <w:bCs/>
          <w:color w:val="auto"/>
          <w:sz w:val="32"/>
          <w:szCs w:val="32"/>
        </w:rPr>
      </w:pPr>
      <w:r w:rsidRPr="00A638B3">
        <w:rPr>
          <w:rFonts w:ascii="Simplified Arabic" w:hAnsi="Simplified Arabic" w:cs="Simplified Arabic"/>
          <w:b/>
          <w:bCs/>
          <w:color w:val="auto"/>
          <w:sz w:val="32"/>
          <w:szCs w:val="32"/>
          <w:rtl/>
        </w:rPr>
        <w:t>الإحصاء الفلسطيني يعلن الرقم القياسي لأسعار الجملة في فلسطين للعام 2017 وللربع الرابع 2017</w:t>
      </w:r>
    </w:p>
    <w:p w:rsidR="00A638B3" w:rsidRDefault="00A638B3" w:rsidP="00A638B3">
      <w:pPr>
        <w:pStyle w:val="Header"/>
        <w:tabs>
          <w:tab w:val="left" w:pos="5925"/>
        </w:tabs>
        <w:bidi/>
        <w:jc w:val="both"/>
        <w:rPr>
          <w:rFonts w:ascii="Simplified Arabic" w:hAnsi="Simplified Arabic" w:cs="Simplified Arabic" w:hint="cs"/>
          <w:b/>
          <w:bCs/>
          <w:color w:val="000000"/>
          <w:sz w:val="16"/>
          <w:szCs w:val="16"/>
          <w:rtl/>
        </w:rPr>
      </w:pPr>
    </w:p>
    <w:p w:rsidR="00A638B3" w:rsidRPr="00A638B3" w:rsidRDefault="00A638B3" w:rsidP="00A638B3">
      <w:pPr>
        <w:pStyle w:val="Header"/>
        <w:tabs>
          <w:tab w:val="left" w:pos="5925"/>
        </w:tabs>
        <w:bidi/>
        <w:jc w:val="both"/>
        <w:rPr>
          <w:rFonts w:ascii="Simplified Arabic" w:hAnsi="Simplified Arabic" w:cs="Simplified Arabic" w:hint="cs"/>
          <w:b/>
          <w:bCs/>
          <w:color w:val="000000"/>
          <w:sz w:val="16"/>
          <w:szCs w:val="16"/>
          <w:rtl/>
        </w:rPr>
      </w:pPr>
    </w:p>
    <w:p w:rsidR="000B2996" w:rsidRPr="00A638B3" w:rsidRDefault="001C3CF6" w:rsidP="00A638B3">
      <w:pPr>
        <w:pStyle w:val="Header"/>
        <w:tabs>
          <w:tab w:val="left" w:pos="5925"/>
        </w:tabs>
        <w:bidi/>
        <w:jc w:val="both"/>
        <w:rPr>
          <w:rFonts w:ascii="Simplified Arabic" w:hAnsi="Simplified Arabic" w:cs="Simplified Arabic"/>
          <w:b/>
          <w:bCs/>
          <w:color w:val="000000"/>
          <w:sz w:val="25"/>
          <w:szCs w:val="25"/>
          <w:rtl/>
        </w:rPr>
      </w:pPr>
      <w:r w:rsidRPr="00A638B3">
        <w:rPr>
          <w:rFonts w:ascii="Simplified Arabic" w:hAnsi="Simplified Arabic" w:cs="Simplified Arabic"/>
          <w:b/>
          <w:bCs/>
          <w:color w:val="000000"/>
          <w:sz w:val="25"/>
          <w:szCs w:val="25"/>
          <w:rtl/>
        </w:rPr>
        <w:t>انخفاض</w:t>
      </w:r>
      <w:r w:rsidR="000B2996" w:rsidRPr="00A638B3">
        <w:rPr>
          <w:rFonts w:ascii="Simplified Arabic" w:hAnsi="Simplified Arabic" w:cs="Simplified Arabic"/>
          <w:b/>
          <w:bCs/>
          <w:color w:val="000000"/>
          <w:sz w:val="25"/>
          <w:szCs w:val="25"/>
          <w:rtl/>
        </w:rPr>
        <w:t xml:space="preserve"> أسعار </w:t>
      </w:r>
      <w:proofErr w:type="spellStart"/>
      <w:r w:rsidR="000B2996" w:rsidRPr="00A638B3">
        <w:rPr>
          <w:rFonts w:ascii="Simplified Arabic" w:hAnsi="Simplified Arabic" w:cs="Simplified Arabic"/>
          <w:b/>
          <w:bCs/>
          <w:color w:val="000000"/>
          <w:sz w:val="25"/>
          <w:szCs w:val="25"/>
          <w:rtl/>
        </w:rPr>
        <w:t>الجملة</w:t>
      </w:r>
      <w:r w:rsidR="000B2996" w:rsidRPr="00A638B3">
        <w:rPr>
          <w:rStyle w:val="FootnoteReference"/>
          <w:rFonts w:ascii="Simplified Arabic" w:hAnsi="Simplified Arabic" w:cs="Simplified Arabic"/>
          <w:b/>
          <w:bCs/>
          <w:color w:val="000000"/>
          <w:sz w:val="25"/>
          <w:szCs w:val="25"/>
          <w:rtl/>
        </w:rPr>
        <w:footnoteReference w:customMarkFollows="1" w:id="1"/>
        <w:t>1</w:t>
      </w:r>
      <w:proofErr w:type="spellEnd"/>
      <w:r w:rsidR="000B2996" w:rsidRPr="00A638B3">
        <w:rPr>
          <w:rFonts w:ascii="Simplified Arabic" w:hAnsi="Simplified Arabic" w:cs="Simplified Arabic"/>
          <w:b/>
          <w:bCs/>
          <w:color w:val="000000"/>
          <w:sz w:val="25"/>
          <w:szCs w:val="25"/>
          <w:rtl/>
        </w:rPr>
        <w:t xml:space="preserve"> خلال العام </w:t>
      </w:r>
      <w:r w:rsidRPr="00A638B3">
        <w:rPr>
          <w:rFonts w:ascii="Simplified Arabic" w:hAnsi="Simplified Arabic" w:cs="Simplified Arabic"/>
          <w:b/>
          <w:bCs/>
          <w:color w:val="000000"/>
          <w:sz w:val="25"/>
          <w:szCs w:val="25"/>
        </w:rPr>
        <w:t>2017</w:t>
      </w:r>
      <w:r w:rsidR="000B2996" w:rsidRPr="00A638B3">
        <w:rPr>
          <w:rFonts w:ascii="Simplified Arabic" w:hAnsi="Simplified Arabic" w:cs="Simplified Arabic"/>
          <w:b/>
          <w:bCs/>
          <w:color w:val="000000"/>
          <w:sz w:val="25"/>
          <w:szCs w:val="25"/>
          <w:rtl/>
        </w:rPr>
        <w:t xml:space="preserve"> </w:t>
      </w:r>
    </w:p>
    <w:p w:rsidR="000B2996" w:rsidRPr="00CD660D" w:rsidRDefault="000B2996" w:rsidP="001C3CF6">
      <w:pPr>
        <w:pStyle w:val="Header"/>
        <w:tabs>
          <w:tab w:val="left" w:pos="5925"/>
        </w:tabs>
        <w:bidi/>
        <w:jc w:val="both"/>
        <w:rPr>
          <w:rFonts w:ascii="Simplified Arabic" w:hAnsi="Simplified Arabic" w:cs="Simplified Arabic"/>
          <w:b/>
          <w:bCs/>
          <w:color w:val="000000"/>
          <w:rtl/>
        </w:rPr>
      </w:pPr>
      <w:r w:rsidRPr="00CD660D">
        <w:rPr>
          <w:rFonts w:ascii="Simplified Arabic" w:hAnsi="Simplified Arabic" w:cs="Simplified Arabic"/>
          <w:color w:val="000000"/>
          <w:rtl/>
        </w:rPr>
        <w:t xml:space="preserve">سجل الرقم القياسي العام </w:t>
      </w:r>
      <w:r w:rsidRPr="00CD660D">
        <w:rPr>
          <w:rFonts w:ascii="Simplified Arabic" w:hAnsi="Simplified Arabic" w:cs="Simplified Arabic"/>
          <w:b/>
          <w:bCs/>
          <w:color w:val="000000"/>
          <w:rtl/>
        </w:rPr>
        <w:t>لأسعار الجملة ا</w:t>
      </w:r>
      <w:r w:rsidR="001C3CF6" w:rsidRPr="00CD660D">
        <w:rPr>
          <w:rFonts w:ascii="Simplified Arabic" w:hAnsi="Simplified Arabic" w:cs="Simplified Arabic"/>
          <w:b/>
          <w:bCs/>
          <w:color w:val="000000"/>
          <w:rtl/>
        </w:rPr>
        <w:t>نخفاضاً مقداره</w:t>
      </w:r>
      <w:r w:rsidRPr="00CD660D">
        <w:rPr>
          <w:rFonts w:ascii="Simplified Arabic" w:hAnsi="Simplified Arabic" w:cs="Simplified Arabic"/>
          <w:b/>
          <w:bCs/>
          <w:color w:val="000000"/>
          <w:rtl/>
        </w:rPr>
        <w:t xml:space="preserve"> </w:t>
      </w:r>
      <w:r w:rsidR="001C3CF6" w:rsidRPr="00CD660D">
        <w:rPr>
          <w:rFonts w:ascii="Simplified Arabic" w:hAnsi="Simplified Arabic" w:cs="Simplified Arabic"/>
          <w:b/>
          <w:bCs/>
          <w:color w:val="000000"/>
          <w:rtl/>
        </w:rPr>
        <w:t>1.17</w:t>
      </w:r>
      <w:r w:rsidRPr="00CD660D">
        <w:rPr>
          <w:rFonts w:ascii="Simplified Arabic" w:hAnsi="Simplified Arabic" w:cs="Simplified Arabic"/>
          <w:b/>
          <w:bCs/>
          <w:color w:val="000000"/>
          <w:rtl/>
        </w:rPr>
        <w:t xml:space="preserve">% خلال العام </w:t>
      </w:r>
      <w:r w:rsidR="001C3CF6" w:rsidRPr="00CD660D">
        <w:rPr>
          <w:rFonts w:ascii="Simplified Arabic" w:hAnsi="Simplified Arabic" w:cs="Simplified Arabic"/>
          <w:b/>
          <w:bCs/>
          <w:color w:val="000000"/>
        </w:rPr>
        <w:t>2017</w:t>
      </w:r>
      <w:r w:rsidRPr="00CD660D">
        <w:rPr>
          <w:rFonts w:ascii="Simplified Arabic" w:hAnsi="Simplified Arabic" w:cs="Simplified Arabic"/>
          <w:b/>
          <w:bCs/>
          <w:color w:val="000000"/>
          <w:rtl/>
        </w:rPr>
        <w:t xml:space="preserve"> مقارنة بالعام </w:t>
      </w:r>
      <w:r w:rsidR="001C3CF6" w:rsidRPr="00CD660D">
        <w:rPr>
          <w:rFonts w:ascii="Simplified Arabic" w:hAnsi="Simplified Arabic" w:cs="Simplified Arabic"/>
          <w:b/>
          <w:bCs/>
          <w:color w:val="000000"/>
          <w:rtl/>
        </w:rPr>
        <w:t>2016</w:t>
      </w:r>
      <w:r w:rsidRPr="00CD660D">
        <w:rPr>
          <w:rFonts w:ascii="Simplified Arabic" w:hAnsi="Simplified Arabic" w:cs="Simplified Arabic"/>
          <w:color w:val="000000"/>
          <w:rtl/>
        </w:rPr>
        <w:t xml:space="preserve">، حيث بلغ الرقم القياسي العام لأسعار الجملة </w:t>
      </w:r>
      <w:r w:rsidR="001C3CF6" w:rsidRPr="00CD660D">
        <w:rPr>
          <w:rFonts w:ascii="Simplified Arabic" w:hAnsi="Simplified Arabic" w:cs="Simplified Arabic"/>
          <w:color w:val="000000"/>
          <w:rtl/>
        </w:rPr>
        <w:t>124.16</w:t>
      </w:r>
      <w:r w:rsidRPr="00CD660D">
        <w:rPr>
          <w:rFonts w:ascii="Simplified Arabic" w:hAnsi="Simplified Arabic" w:cs="Simplified Arabic"/>
          <w:color w:val="000000"/>
          <w:rtl/>
        </w:rPr>
        <w:t xml:space="preserve"> </w:t>
      </w:r>
      <w:r w:rsidR="00970D7A">
        <w:rPr>
          <w:rFonts w:ascii="Simplified Arabic" w:hAnsi="Simplified Arabic" w:cs="Simplified Arabic" w:hint="cs"/>
          <w:color w:val="000000"/>
          <w:rtl/>
        </w:rPr>
        <w:t xml:space="preserve">خلال العام 2017 </w:t>
      </w:r>
      <w:r w:rsidRPr="00CD660D">
        <w:rPr>
          <w:rFonts w:ascii="Simplified Arabic" w:hAnsi="Simplified Arabic" w:cs="Simplified Arabic"/>
          <w:color w:val="000000"/>
          <w:rtl/>
        </w:rPr>
        <w:t xml:space="preserve">مقارنة </w:t>
      </w:r>
      <w:proofErr w:type="spellStart"/>
      <w:r w:rsidRPr="00CD660D">
        <w:rPr>
          <w:rFonts w:ascii="Simplified Arabic" w:hAnsi="Simplified Arabic" w:cs="Simplified Arabic"/>
          <w:color w:val="000000"/>
          <w:rtl/>
        </w:rPr>
        <w:t>بـ</w:t>
      </w:r>
      <w:proofErr w:type="spellEnd"/>
      <w:r w:rsidRPr="00CD660D">
        <w:rPr>
          <w:rFonts w:ascii="Simplified Arabic" w:hAnsi="Simplified Arabic" w:cs="Simplified Arabic"/>
          <w:color w:val="000000"/>
          <w:rtl/>
        </w:rPr>
        <w:t xml:space="preserve"> </w:t>
      </w:r>
      <w:r w:rsidR="001C3CF6" w:rsidRPr="00CD660D">
        <w:rPr>
          <w:rFonts w:ascii="Simplified Arabic" w:hAnsi="Simplified Arabic" w:cs="Simplified Arabic"/>
          <w:color w:val="000000"/>
          <w:rtl/>
        </w:rPr>
        <w:t>125.63</w:t>
      </w:r>
      <w:r w:rsidRPr="00CD660D">
        <w:rPr>
          <w:rFonts w:ascii="Simplified Arabic" w:hAnsi="Simplified Arabic" w:cs="Simplified Arabic"/>
          <w:color w:val="000000"/>
          <w:rtl/>
        </w:rPr>
        <w:t xml:space="preserve"> خلال العام السابق (سنة الأساس 2007=100).</w:t>
      </w:r>
    </w:p>
    <w:p w:rsidR="000B2996" w:rsidRPr="00A638B3" w:rsidRDefault="000B2996" w:rsidP="000B2996">
      <w:pPr>
        <w:pStyle w:val="Header"/>
        <w:tabs>
          <w:tab w:val="left" w:pos="5925"/>
        </w:tabs>
        <w:bidi/>
        <w:jc w:val="both"/>
        <w:rPr>
          <w:rFonts w:ascii="Simplified Arabic" w:hAnsi="Simplified Arabic" w:cs="Simplified Arabic"/>
          <w:color w:val="000000"/>
          <w:sz w:val="16"/>
          <w:szCs w:val="16"/>
        </w:rPr>
      </w:pPr>
    </w:p>
    <w:p w:rsidR="000B2996" w:rsidRPr="00CD660D" w:rsidRDefault="000B2996" w:rsidP="001C3CF6">
      <w:pPr>
        <w:pStyle w:val="Header"/>
        <w:tabs>
          <w:tab w:val="left" w:pos="5925"/>
        </w:tabs>
        <w:bidi/>
        <w:jc w:val="both"/>
        <w:rPr>
          <w:rFonts w:ascii="Simplified Arabic" w:hAnsi="Simplified Arabic" w:cs="Simplified Arabic"/>
          <w:color w:val="000000"/>
          <w:rtl/>
        </w:rPr>
      </w:pPr>
      <w:r w:rsidRPr="00CD660D">
        <w:rPr>
          <w:rFonts w:ascii="Simplified Arabic" w:hAnsi="Simplified Arabic" w:cs="Simplified Arabic"/>
          <w:color w:val="000000"/>
          <w:rtl/>
        </w:rPr>
        <w:t xml:space="preserve">ويعود السبب الرئيسي لهذا </w:t>
      </w:r>
      <w:r w:rsidR="001C3CF6" w:rsidRPr="00CD660D">
        <w:rPr>
          <w:rFonts w:ascii="Simplified Arabic" w:hAnsi="Simplified Arabic" w:cs="Simplified Arabic"/>
          <w:color w:val="000000"/>
          <w:rtl/>
        </w:rPr>
        <w:t>الانخفاض</w:t>
      </w:r>
      <w:r w:rsidRPr="00CD660D">
        <w:rPr>
          <w:rFonts w:ascii="Simplified Arabic" w:hAnsi="Simplified Arabic" w:cs="Simplified Arabic"/>
          <w:color w:val="000000"/>
          <w:rtl/>
        </w:rPr>
        <w:t xml:space="preserve"> إلى </w:t>
      </w:r>
      <w:r w:rsidR="001C3CF6" w:rsidRPr="00CD660D">
        <w:rPr>
          <w:rFonts w:ascii="Simplified Arabic" w:hAnsi="Simplified Arabic" w:cs="Simplified Arabic"/>
          <w:color w:val="000000"/>
          <w:rtl/>
        </w:rPr>
        <w:t>انخفاض</w:t>
      </w:r>
      <w:r w:rsidRPr="00CD660D">
        <w:rPr>
          <w:rFonts w:ascii="Simplified Arabic" w:hAnsi="Simplified Arabic" w:cs="Simplified Arabic"/>
          <w:color w:val="000000"/>
          <w:rtl/>
        </w:rPr>
        <w:t xml:space="preserve"> أسعار السلع ضمن مجموعة </w:t>
      </w:r>
      <w:r w:rsidRPr="00CD660D">
        <w:rPr>
          <w:rFonts w:ascii="Simplified Arabic" w:hAnsi="Simplified Arabic" w:cs="Simplified Arabic"/>
          <w:b/>
          <w:bCs/>
          <w:color w:val="000000"/>
          <w:rtl/>
        </w:rPr>
        <w:t>صيد الأسماك ب</w:t>
      </w:r>
      <w:r w:rsidR="001C3CF6" w:rsidRPr="00CD660D">
        <w:rPr>
          <w:rFonts w:ascii="Simplified Arabic" w:hAnsi="Simplified Arabic" w:cs="Simplified Arabic"/>
          <w:b/>
          <w:bCs/>
          <w:color w:val="000000"/>
          <w:rtl/>
        </w:rPr>
        <w:t>مقدار</w:t>
      </w:r>
      <w:r w:rsidRPr="00CD660D">
        <w:rPr>
          <w:rFonts w:ascii="Simplified Arabic" w:hAnsi="Simplified Arabic" w:cs="Simplified Arabic"/>
          <w:b/>
          <w:bCs/>
          <w:color w:val="000000"/>
          <w:rtl/>
        </w:rPr>
        <w:t xml:space="preserve"> </w:t>
      </w:r>
      <w:r w:rsidR="001C3CF6" w:rsidRPr="00CD660D">
        <w:rPr>
          <w:rFonts w:ascii="Simplified Arabic" w:hAnsi="Simplified Arabic" w:cs="Simplified Arabic"/>
          <w:b/>
          <w:bCs/>
          <w:color w:val="000000"/>
          <w:rtl/>
        </w:rPr>
        <w:t>22.80</w:t>
      </w:r>
      <w:r w:rsidRPr="00CD660D">
        <w:rPr>
          <w:rFonts w:ascii="Simplified Arabic" w:hAnsi="Simplified Arabic" w:cs="Simplified Arabic"/>
          <w:b/>
          <w:bCs/>
          <w:color w:val="000000"/>
          <w:rtl/>
        </w:rPr>
        <w:t>%</w:t>
      </w:r>
      <w:r w:rsidRPr="00CD660D">
        <w:rPr>
          <w:rFonts w:ascii="Simplified Arabic" w:hAnsi="Simplified Arabic" w:cs="Simplified Arabic"/>
          <w:color w:val="000000"/>
          <w:rtl/>
        </w:rPr>
        <w:t xml:space="preserve">، وأسعار السلع ضمن </w:t>
      </w:r>
      <w:r w:rsidRPr="00CD660D">
        <w:rPr>
          <w:rFonts w:ascii="Simplified Arabic" w:hAnsi="Simplified Arabic" w:cs="Simplified Arabic"/>
          <w:b/>
          <w:bCs/>
          <w:color w:val="000000"/>
          <w:rtl/>
        </w:rPr>
        <w:t>مجموعة الزراعة ب</w:t>
      </w:r>
      <w:r w:rsidR="001C3CF6" w:rsidRPr="00CD660D">
        <w:rPr>
          <w:rFonts w:ascii="Simplified Arabic" w:hAnsi="Simplified Arabic" w:cs="Simplified Arabic"/>
          <w:b/>
          <w:bCs/>
          <w:color w:val="000000"/>
          <w:rtl/>
        </w:rPr>
        <w:t>مقدار</w:t>
      </w:r>
      <w:r w:rsidRPr="00CD660D">
        <w:rPr>
          <w:rFonts w:ascii="Simplified Arabic" w:hAnsi="Simplified Arabic" w:cs="Simplified Arabic"/>
          <w:b/>
          <w:bCs/>
          <w:color w:val="000000"/>
          <w:rtl/>
        </w:rPr>
        <w:t xml:space="preserve"> </w:t>
      </w:r>
      <w:r w:rsidR="001C3CF6" w:rsidRPr="00CD660D">
        <w:rPr>
          <w:rFonts w:ascii="Simplified Arabic" w:hAnsi="Simplified Arabic" w:cs="Simplified Arabic"/>
          <w:b/>
          <w:bCs/>
          <w:color w:val="000000"/>
          <w:rtl/>
        </w:rPr>
        <w:t>2.18</w:t>
      </w:r>
      <w:r w:rsidRPr="00CD660D">
        <w:rPr>
          <w:rFonts w:ascii="Simplified Arabic" w:hAnsi="Simplified Arabic" w:cs="Simplified Arabic"/>
          <w:b/>
          <w:bCs/>
          <w:color w:val="000000"/>
          <w:rtl/>
        </w:rPr>
        <w:t>%</w:t>
      </w:r>
      <w:r w:rsidRPr="00CD660D">
        <w:rPr>
          <w:rFonts w:ascii="Simplified Arabic" w:hAnsi="Simplified Arabic" w:cs="Simplified Arabic"/>
          <w:color w:val="000000"/>
          <w:rtl/>
        </w:rPr>
        <w:t xml:space="preserve">، </w:t>
      </w:r>
      <w:r w:rsidR="001C3CF6" w:rsidRPr="00CD660D">
        <w:rPr>
          <w:rFonts w:ascii="Simplified Arabic" w:hAnsi="Simplified Arabic" w:cs="Simplified Arabic"/>
          <w:color w:val="000000"/>
          <w:rtl/>
        </w:rPr>
        <w:t>و</w:t>
      </w:r>
      <w:r w:rsidRPr="00CD660D">
        <w:rPr>
          <w:rFonts w:ascii="Simplified Arabic" w:hAnsi="Simplified Arabic" w:cs="Simplified Arabic"/>
          <w:color w:val="000000"/>
          <w:rtl/>
        </w:rPr>
        <w:t xml:space="preserve">أسعار السلع ضمن </w:t>
      </w:r>
      <w:r w:rsidRPr="00CD660D">
        <w:rPr>
          <w:rFonts w:ascii="Simplified Arabic" w:hAnsi="Simplified Arabic" w:cs="Simplified Arabic"/>
          <w:b/>
          <w:bCs/>
          <w:color w:val="000000"/>
          <w:rtl/>
        </w:rPr>
        <w:t>مجموعة الصناعات التحويلية ب</w:t>
      </w:r>
      <w:r w:rsidR="001C3CF6" w:rsidRPr="00CD660D">
        <w:rPr>
          <w:rFonts w:ascii="Simplified Arabic" w:hAnsi="Simplified Arabic" w:cs="Simplified Arabic"/>
          <w:b/>
          <w:bCs/>
          <w:color w:val="000000"/>
          <w:rtl/>
        </w:rPr>
        <w:t>مقدار</w:t>
      </w:r>
      <w:r w:rsidRPr="00CD660D">
        <w:rPr>
          <w:rFonts w:ascii="Simplified Arabic" w:hAnsi="Simplified Arabic" w:cs="Simplified Arabic"/>
          <w:b/>
          <w:bCs/>
          <w:color w:val="000000"/>
          <w:rtl/>
        </w:rPr>
        <w:t xml:space="preserve"> </w:t>
      </w:r>
      <w:r w:rsidR="001C3CF6" w:rsidRPr="00CD660D">
        <w:rPr>
          <w:rFonts w:ascii="Simplified Arabic" w:hAnsi="Simplified Arabic" w:cs="Simplified Arabic"/>
          <w:b/>
          <w:bCs/>
          <w:color w:val="000000"/>
          <w:rtl/>
        </w:rPr>
        <w:t>0.72</w:t>
      </w:r>
      <w:r w:rsidRPr="00CD660D">
        <w:rPr>
          <w:rFonts w:ascii="Simplified Arabic" w:hAnsi="Simplified Arabic" w:cs="Simplified Arabic"/>
          <w:b/>
          <w:bCs/>
          <w:color w:val="000000"/>
          <w:rtl/>
        </w:rPr>
        <w:t>%</w:t>
      </w:r>
      <w:r w:rsidRPr="00CD660D">
        <w:rPr>
          <w:rFonts w:ascii="Simplified Arabic" w:hAnsi="Simplified Arabic" w:cs="Simplified Arabic"/>
          <w:color w:val="000000"/>
          <w:rtl/>
        </w:rPr>
        <w:t xml:space="preserve">، على الرغم من </w:t>
      </w:r>
      <w:r w:rsidR="001C3CF6" w:rsidRPr="00CD660D">
        <w:rPr>
          <w:rFonts w:ascii="Simplified Arabic" w:hAnsi="Simplified Arabic" w:cs="Simplified Arabic"/>
          <w:color w:val="000000"/>
          <w:rtl/>
        </w:rPr>
        <w:t>ارتفاع</w:t>
      </w:r>
      <w:r w:rsidRPr="00CD660D">
        <w:rPr>
          <w:rFonts w:ascii="Simplified Arabic" w:hAnsi="Simplified Arabic" w:cs="Simplified Arabic"/>
          <w:color w:val="000000"/>
          <w:rtl/>
        </w:rPr>
        <w:t xml:space="preserve"> أسعار السلع ضمن </w:t>
      </w:r>
      <w:r w:rsidRPr="00CD660D">
        <w:rPr>
          <w:rFonts w:ascii="Simplified Arabic" w:hAnsi="Simplified Arabic" w:cs="Simplified Arabic"/>
          <w:b/>
          <w:bCs/>
          <w:color w:val="000000"/>
          <w:rtl/>
        </w:rPr>
        <w:t>مجموعة التعدين واستغلال المحاجر ب</w:t>
      </w:r>
      <w:r w:rsidR="001C3CF6" w:rsidRPr="00CD660D">
        <w:rPr>
          <w:rFonts w:ascii="Simplified Arabic" w:hAnsi="Simplified Arabic" w:cs="Simplified Arabic"/>
          <w:b/>
          <w:bCs/>
          <w:color w:val="000000"/>
          <w:rtl/>
        </w:rPr>
        <w:t>نسبة</w:t>
      </w:r>
      <w:r w:rsidRPr="00CD660D">
        <w:rPr>
          <w:rFonts w:ascii="Simplified Arabic" w:hAnsi="Simplified Arabic" w:cs="Simplified Arabic"/>
          <w:b/>
          <w:bCs/>
          <w:color w:val="000000"/>
          <w:rtl/>
        </w:rPr>
        <w:t xml:space="preserve"> </w:t>
      </w:r>
      <w:r w:rsidR="001C3CF6" w:rsidRPr="00CD660D">
        <w:rPr>
          <w:rFonts w:ascii="Simplified Arabic" w:hAnsi="Simplified Arabic" w:cs="Simplified Arabic"/>
          <w:b/>
          <w:bCs/>
          <w:color w:val="000000"/>
          <w:rtl/>
        </w:rPr>
        <w:t>2.97</w:t>
      </w:r>
      <w:r w:rsidRPr="00CD660D">
        <w:rPr>
          <w:rFonts w:ascii="Simplified Arabic" w:hAnsi="Simplified Arabic" w:cs="Simplified Arabic"/>
          <w:b/>
          <w:bCs/>
          <w:color w:val="000000"/>
          <w:rtl/>
        </w:rPr>
        <w:t>%</w:t>
      </w:r>
      <w:r w:rsidRPr="00CD660D">
        <w:rPr>
          <w:rFonts w:ascii="Simplified Arabic" w:hAnsi="Simplified Arabic" w:cs="Simplified Arabic"/>
          <w:color w:val="000000"/>
          <w:rtl/>
        </w:rPr>
        <w:t>.</w:t>
      </w:r>
    </w:p>
    <w:p w:rsidR="000B2996" w:rsidRPr="00A638B3" w:rsidRDefault="000B2996" w:rsidP="000B2996">
      <w:pPr>
        <w:pStyle w:val="Header"/>
        <w:tabs>
          <w:tab w:val="left" w:pos="5925"/>
        </w:tabs>
        <w:bidi/>
        <w:jc w:val="both"/>
        <w:rPr>
          <w:rFonts w:ascii="Simplified Arabic" w:hAnsi="Simplified Arabic" w:cs="Simplified Arabic" w:hint="cs"/>
          <w:color w:val="000000"/>
          <w:sz w:val="16"/>
          <w:szCs w:val="16"/>
          <w:rtl/>
        </w:rPr>
      </w:pPr>
    </w:p>
    <w:p w:rsidR="00FB52CA" w:rsidRPr="00CD660D" w:rsidRDefault="000B2996" w:rsidP="001C3CF6">
      <w:pPr>
        <w:bidi/>
        <w:spacing w:line="240" w:lineRule="auto"/>
        <w:jc w:val="both"/>
        <w:rPr>
          <w:rFonts w:ascii="Simplified Arabic" w:hAnsi="Simplified Arabic" w:cs="Simplified Arabic"/>
          <w:b/>
          <w:bCs/>
          <w:sz w:val="24"/>
          <w:szCs w:val="24"/>
          <w:rtl/>
        </w:rPr>
      </w:pPr>
      <w:r w:rsidRPr="00CD660D">
        <w:rPr>
          <w:rFonts w:ascii="Simplified Arabic" w:hAnsi="Simplified Arabic" w:cs="Simplified Arabic"/>
          <w:sz w:val="24"/>
          <w:szCs w:val="24"/>
          <w:rtl/>
        </w:rPr>
        <w:t xml:space="preserve">سجلت أسعار الجملة للسلع المحلية خلال العام </w:t>
      </w:r>
      <w:r w:rsidR="001C3CF6" w:rsidRPr="00CD660D">
        <w:rPr>
          <w:rFonts w:ascii="Simplified Arabic" w:hAnsi="Simplified Arabic" w:cs="Simplified Arabic"/>
          <w:sz w:val="24"/>
          <w:szCs w:val="24"/>
          <w:rtl/>
        </w:rPr>
        <w:t>2017</w:t>
      </w:r>
      <w:r w:rsidRPr="00CD660D">
        <w:rPr>
          <w:rFonts w:ascii="Simplified Arabic" w:hAnsi="Simplified Arabic" w:cs="Simplified Arabic"/>
          <w:sz w:val="24"/>
          <w:szCs w:val="24"/>
          <w:rtl/>
        </w:rPr>
        <w:t xml:space="preserve"> </w:t>
      </w:r>
      <w:r w:rsidR="001C3CF6" w:rsidRPr="00CD660D">
        <w:rPr>
          <w:rFonts w:ascii="Simplified Arabic" w:hAnsi="Simplified Arabic" w:cs="Simplified Arabic"/>
          <w:sz w:val="24"/>
          <w:szCs w:val="24"/>
          <w:rtl/>
        </w:rPr>
        <w:t>انخفاضاً مقداره</w:t>
      </w:r>
      <w:r w:rsidRPr="00CD660D">
        <w:rPr>
          <w:rFonts w:ascii="Simplified Arabic" w:hAnsi="Simplified Arabic" w:cs="Simplified Arabic"/>
          <w:sz w:val="24"/>
          <w:szCs w:val="24"/>
          <w:rtl/>
        </w:rPr>
        <w:t xml:space="preserve"> </w:t>
      </w:r>
      <w:r w:rsidR="001C3CF6" w:rsidRPr="00CD660D">
        <w:rPr>
          <w:rFonts w:ascii="Simplified Arabic" w:hAnsi="Simplified Arabic" w:cs="Simplified Arabic"/>
          <w:sz w:val="24"/>
          <w:szCs w:val="24"/>
          <w:rtl/>
        </w:rPr>
        <w:t>1.58</w:t>
      </w:r>
      <w:r w:rsidRPr="00CD660D">
        <w:rPr>
          <w:rFonts w:ascii="Simplified Arabic" w:hAnsi="Simplified Arabic" w:cs="Simplified Arabic"/>
          <w:sz w:val="24"/>
          <w:szCs w:val="24"/>
          <w:rtl/>
        </w:rPr>
        <w:t xml:space="preserve">%، </w:t>
      </w:r>
      <w:r w:rsidR="001C3CF6" w:rsidRPr="00CD660D">
        <w:rPr>
          <w:rFonts w:ascii="Simplified Arabic" w:hAnsi="Simplified Arabic" w:cs="Simplified Arabic"/>
          <w:sz w:val="24"/>
          <w:szCs w:val="24"/>
          <w:rtl/>
        </w:rPr>
        <w:t>في حين</w:t>
      </w:r>
      <w:r w:rsidRPr="00CD660D">
        <w:rPr>
          <w:rFonts w:ascii="Simplified Arabic" w:hAnsi="Simplified Arabic" w:cs="Simplified Arabic"/>
          <w:sz w:val="24"/>
          <w:szCs w:val="24"/>
          <w:rtl/>
        </w:rPr>
        <w:t xml:space="preserve"> ارتفعت أسعار الجملة للسلع المستوردة بنسبة </w:t>
      </w:r>
      <w:r w:rsidR="001C3CF6" w:rsidRPr="00CD660D">
        <w:rPr>
          <w:rFonts w:ascii="Simplified Arabic" w:hAnsi="Simplified Arabic" w:cs="Simplified Arabic"/>
          <w:sz w:val="24"/>
          <w:szCs w:val="24"/>
          <w:rtl/>
        </w:rPr>
        <w:t>0.21</w:t>
      </w:r>
      <w:r w:rsidRPr="00CD660D">
        <w:rPr>
          <w:rFonts w:ascii="Simplified Arabic" w:hAnsi="Simplified Arabic" w:cs="Simplified Arabic"/>
          <w:sz w:val="24"/>
          <w:szCs w:val="24"/>
          <w:rtl/>
        </w:rPr>
        <w:t>% مقارنة بالعام السابق.</w:t>
      </w:r>
    </w:p>
    <w:p w:rsidR="007472C9" w:rsidRPr="007472C9" w:rsidRDefault="007472C9" w:rsidP="00CD660D">
      <w:pPr>
        <w:ind w:right="-180"/>
        <w:rPr>
          <w:rFonts w:ascii="Simplified Arabic" w:hAnsi="Simplified Arabic" w:cs="Simplified Arabic"/>
          <w:b/>
          <w:bCs/>
          <w:sz w:val="16"/>
          <w:szCs w:val="16"/>
          <w:rtl/>
        </w:rPr>
      </w:pPr>
    </w:p>
    <w:p w:rsidR="007472C9" w:rsidRPr="00A638B3" w:rsidRDefault="007472C9" w:rsidP="007472C9">
      <w:pPr>
        <w:bidi/>
        <w:spacing w:line="240" w:lineRule="auto"/>
        <w:jc w:val="center"/>
        <w:rPr>
          <w:rFonts w:ascii="Simplified Arabic" w:hAnsi="Simplified Arabic" w:cs="Simplified Arabic"/>
          <w:b/>
          <w:bCs/>
          <w:sz w:val="25"/>
          <w:szCs w:val="25"/>
          <w:rtl/>
        </w:rPr>
      </w:pPr>
      <w:r w:rsidRPr="00A638B3">
        <w:rPr>
          <w:rFonts w:ascii="Simplified Arabic" w:hAnsi="Simplified Arabic" w:cs="Simplified Arabic"/>
          <w:b/>
          <w:bCs/>
          <w:sz w:val="25"/>
          <w:szCs w:val="25"/>
          <w:rtl/>
        </w:rPr>
        <w:t>نسب التغّير السنوية لأسعار الجملة في فلسطين للسنوات: 2007 - 2017</w:t>
      </w:r>
    </w:p>
    <w:tbl>
      <w:tblPr>
        <w:tblStyle w:val="TableGrid"/>
        <w:tblW w:w="0" w:type="auto"/>
        <w:jc w:val="center"/>
        <w:tblLook w:val="04A0"/>
      </w:tblPr>
      <w:tblGrid>
        <w:gridCol w:w="5046"/>
      </w:tblGrid>
      <w:tr w:rsidR="007472C9" w:rsidTr="00CD660D">
        <w:trPr>
          <w:jc w:val="center"/>
        </w:trPr>
        <w:tc>
          <w:tcPr>
            <w:tcW w:w="4635" w:type="dxa"/>
          </w:tcPr>
          <w:p w:rsidR="007472C9" w:rsidRDefault="007472C9" w:rsidP="007472C9">
            <w:pPr>
              <w:pStyle w:val="Header"/>
              <w:tabs>
                <w:tab w:val="left" w:pos="5925"/>
              </w:tabs>
              <w:jc w:val="center"/>
              <w:rPr>
                <w:rFonts w:cs="Simplified Arabic"/>
                <w:b/>
                <w:bCs/>
                <w:color w:val="000000"/>
                <w:sz w:val="28"/>
                <w:szCs w:val="28"/>
              </w:rPr>
            </w:pPr>
            <w:r w:rsidRPr="007472C9">
              <w:rPr>
                <w:rFonts w:cs="Simplified Arabic"/>
                <w:b/>
                <w:bCs/>
                <w:noProof/>
                <w:color w:val="000000"/>
                <w:sz w:val="28"/>
                <w:szCs w:val="28"/>
              </w:rPr>
              <w:drawing>
                <wp:inline distT="0" distB="0" distL="0" distR="0">
                  <wp:extent cx="3067050" cy="2552700"/>
                  <wp:effectExtent l="0" t="0" r="0" b="0"/>
                  <wp:docPr id="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A638B3" w:rsidRPr="00A638B3" w:rsidRDefault="00A638B3" w:rsidP="00A638B3">
      <w:pPr>
        <w:pStyle w:val="Header"/>
        <w:tabs>
          <w:tab w:val="clear" w:pos="4680"/>
          <w:tab w:val="clear" w:pos="9360"/>
          <w:tab w:val="left" w:pos="2435"/>
        </w:tabs>
        <w:bidi/>
        <w:jc w:val="both"/>
        <w:rPr>
          <w:rFonts w:ascii="Simplified Arabic" w:hAnsi="Simplified Arabic" w:cs="Simplified Arabic" w:hint="cs"/>
          <w:color w:val="000000"/>
          <w:sz w:val="16"/>
          <w:szCs w:val="16"/>
          <w:rtl/>
          <w:lang w:eastAsia="ar-SA"/>
        </w:rPr>
      </w:pPr>
      <w:r>
        <w:rPr>
          <w:rFonts w:ascii="Simplified Arabic" w:hAnsi="Simplified Arabic" w:cs="Simplified Arabic"/>
          <w:color w:val="000000"/>
          <w:sz w:val="25"/>
          <w:szCs w:val="25"/>
          <w:rtl/>
          <w:lang w:eastAsia="ar-SA"/>
        </w:rPr>
        <w:tab/>
      </w:r>
    </w:p>
    <w:p w:rsidR="00A638B3" w:rsidRDefault="00A638B3" w:rsidP="00A638B3">
      <w:pPr>
        <w:pStyle w:val="Header"/>
        <w:tabs>
          <w:tab w:val="clear" w:pos="4680"/>
        </w:tabs>
        <w:bidi/>
        <w:jc w:val="center"/>
        <w:rPr>
          <w:rFonts w:ascii="Simplified Arabic" w:hAnsi="Simplified Arabic" w:cs="Simplified Arabic" w:hint="cs"/>
          <w:b/>
          <w:bCs/>
          <w:sz w:val="25"/>
          <w:szCs w:val="25"/>
          <w:rtl/>
          <w:lang w:eastAsia="ar-SA"/>
        </w:rPr>
      </w:pPr>
    </w:p>
    <w:p w:rsidR="00A638B3" w:rsidRDefault="00A638B3" w:rsidP="00A638B3">
      <w:pPr>
        <w:pStyle w:val="Header"/>
        <w:tabs>
          <w:tab w:val="clear" w:pos="4680"/>
        </w:tabs>
        <w:bidi/>
        <w:jc w:val="center"/>
        <w:rPr>
          <w:rFonts w:ascii="Simplified Arabic" w:hAnsi="Simplified Arabic" w:cs="Simplified Arabic" w:hint="cs"/>
          <w:b/>
          <w:bCs/>
          <w:sz w:val="25"/>
          <w:szCs w:val="25"/>
          <w:rtl/>
          <w:lang w:eastAsia="ar-SA"/>
        </w:rPr>
      </w:pPr>
    </w:p>
    <w:p w:rsidR="00A638B3" w:rsidRDefault="00A638B3" w:rsidP="00A638B3">
      <w:pPr>
        <w:pStyle w:val="Header"/>
        <w:tabs>
          <w:tab w:val="clear" w:pos="4680"/>
        </w:tabs>
        <w:bidi/>
        <w:jc w:val="center"/>
        <w:rPr>
          <w:rFonts w:ascii="Simplified Arabic" w:hAnsi="Simplified Arabic" w:cs="Simplified Arabic" w:hint="cs"/>
          <w:b/>
          <w:bCs/>
          <w:sz w:val="25"/>
          <w:szCs w:val="25"/>
          <w:rtl/>
          <w:lang w:eastAsia="ar-SA"/>
        </w:rPr>
      </w:pPr>
    </w:p>
    <w:p w:rsidR="00A638B3" w:rsidRDefault="00A638B3" w:rsidP="00A638B3">
      <w:pPr>
        <w:pStyle w:val="Header"/>
        <w:tabs>
          <w:tab w:val="clear" w:pos="4680"/>
        </w:tabs>
        <w:bidi/>
        <w:jc w:val="center"/>
        <w:rPr>
          <w:rFonts w:ascii="Simplified Arabic" w:hAnsi="Simplified Arabic" w:cs="Simplified Arabic" w:hint="cs"/>
          <w:b/>
          <w:bCs/>
          <w:sz w:val="25"/>
          <w:szCs w:val="25"/>
          <w:rtl/>
          <w:lang w:eastAsia="ar-SA"/>
        </w:rPr>
      </w:pPr>
    </w:p>
    <w:p w:rsidR="00A638B3" w:rsidRDefault="00A638B3" w:rsidP="00A638B3">
      <w:pPr>
        <w:pStyle w:val="Header"/>
        <w:tabs>
          <w:tab w:val="clear" w:pos="4680"/>
        </w:tabs>
        <w:bidi/>
        <w:jc w:val="center"/>
        <w:rPr>
          <w:rFonts w:ascii="Simplified Arabic" w:hAnsi="Simplified Arabic" w:cs="Simplified Arabic" w:hint="cs"/>
          <w:b/>
          <w:bCs/>
          <w:sz w:val="25"/>
          <w:szCs w:val="25"/>
          <w:rtl/>
          <w:lang w:eastAsia="ar-SA"/>
        </w:rPr>
      </w:pPr>
    </w:p>
    <w:p w:rsidR="00A638B3" w:rsidRDefault="00A638B3" w:rsidP="00A638B3">
      <w:pPr>
        <w:pStyle w:val="Header"/>
        <w:tabs>
          <w:tab w:val="clear" w:pos="4680"/>
        </w:tabs>
        <w:bidi/>
        <w:jc w:val="center"/>
        <w:rPr>
          <w:rFonts w:ascii="Simplified Arabic" w:hAnsi="Simplified Arabic" w:cs="Simplified Arabic" w:hint="cs"/>
          <w:b/>
          <w:bCs/>
          <w:sz w:val="25"/>
          <w:szCs w:val="25"/>
          <w:rtl/>
          <w:lang w:eastAsia="ar-SA"/>
        </w:rPr>
      </w:pPr>
    </w:p>
    <w:p w:rsidR="00A638B3" w:rsidRDefault="00A638B3" w:rsidP="00A638B3">
      <w:pPr>
        <w:pStyle w:val="Header"/>
        <w:tabs>
          <w:tab w:val="clear" w:pos="4680"/>
        </w:tabs>
        <w:bidi/>
        <w:jc w:val="center"/>
        <w:rPr>
          <w:rFonts w:ascii="Simplified Arabic" w:hAnsi="Simplified Arabic" w:cs="Simplified Arabic" w:hint="cs"/>
          <w:b/>
          <w:bCs/>
          <w:sz w:val="25"/>
          <w:szCs w:val="25"/>
          <w:rtl/>
          <w:lang w:eastAsia="ar-SA"/>
        </w:rPr>
      </w:pPr>
    </w:p>
    <w:p w:rsidR="00A638B3" w:rsidRDefault="00A638B3" w:rsidP="00A638B3">
      <w:pPr>
        <w:pStyle w:val="Header"/>
        <w:tabs>
          <w:tab w:val="clear" w:pos="4680"/>
        </w:tabs>
        <w:bidi/>
        <w:jc w:val="center"/>
        <w:rPr>
          <w:rFonts w:ascii="Simplified Arabic" w:hAnsi="Simplified Arabic" w:cs="Simplified Arabic" w:hint="cs"/>
          <w:b/>
          <w:bCs/>
          <w:sz w:val="25"/>
          <w:szCs w:val="25"/>
          <w:rtl/>
          <w:lang w:eastAsia="ar-SA"/>
        </w:rPr>
      </w:pPr>
    </w:p>
    <w:p w:rsidR="00A638B3" w:rsidRPr="00A638B3" w:rsidRDefault="00A638B3" w:rsidP="00A638B3">
      <w:pPr>
        <w:pStyle w:val="Header"/>
        <w:tabs>
          <w:tab w:val="clear" w:pos="4680"/>
        </w:tabs>
        <w:bidi/>
        <w:jc w:val="center"/>
        <w:rPr>
          <w:rFonts w:ascii="Simplified Arabic" w:hAnsi="Simplified Arabic" w:cs="Simplified Arabic" w:hint="cs"/>
          <w:b/>
          <w:bCs/>
          <w:sz w:val="16"/>
          <w:szCs w:val="16"/>
          <w:rtl/>
          <w:lang w:eastAsia="ar-SA"/>
        </w:rPr>
      </w:pPr>
    </w:p>
    <w:p w:rsidR="00B44E60" w:rsidRPr="00A638B3" w:rsidRDefault="00B44E60" w:rsidP="00A638B3">
      <w:pPr>
        <w:pStyle w:val="Header"/>
        <w:tabs>
          <w:tab w:val="clear" w:pos="4680"/>
        </w:tabs>
        <w:bidi/>
        <w:jc w:val="center"/>
        <w:rPr>
          <w:rFonts w:ascii="Simplified Arabic" w:hAnsi="Simplified Arabic" w:cs="Simplified Arabic"/>
          <w:b/>
          <w:bCs/>
          <w:sz w:val="25"/>
          <w:szCs w:val="25"/>
          <w:rtl/>
          <w:lang w:eastAsia="ar-SA"/>
        </w:rPr>
      </w:pPr>
      <w:r w:rsidRPr="00A638B3">
        <w:rPr>
          <w:rFonts w:ascii="Simplified Arabic" w:hAnsi="Simplified Arabic" w:cs="Simplified Arabic"/>
          <w:b/>
          <w:bCs/>
          <w:sz w:val="25"/>
          <w:szCs w:val="25"/>
          <w:rtl/>
          <w:lang w:eastAsia="ar-SA"/>
        </w:rPr>
        <w:t>الجدول يوضح نسب التغّير السنوية في أسعار الجملة حسب مصدر السلعة في فلسطين للسنوات: 2007 – 2017</w:t>
      </w:r>
    </w:p>
    <w:p w:rsidR="00D709F9" w:rsidRPr="00D709F9" w:rsidRDefault="00D709F9" w:rsidP="00D709F9">
      <w:pPr>
        <w:pStyle w:val="Header"/>
        <w:tabs>
          <w:tab w:val="clear" w:pos="4680"/>
        </w:tabs>
        <w:bidi/>
        <w:jc w:val="both"/>
        <w:rPr>
          <w:rFonts w:ascii="Simplified Arabic" w:hAnsi="Simplified Arabic" w:cs="Simplified Arabic"/>
          <w:color w:val="000000"/>
          <w:sz w:val="12"/>
          <w:szCs w:val="12"/>
          <w:rtl/>
          <w:lang w:eastAsia="ar-SA"/>
        </w:rPr>
      </w:pPr>
    </w:p>
    <w:tbl>
      <w:tblPr>
        <w:bidiVisual/>
        <w:tblW w:w="4638" w:type="dxa"/>
        <w:jc w:val="center"/>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70"/>
        <w:gridCol w:w="1103"/>
        <w:gridCol w:w="1134"/>
        <w:gridCol w:w="1231"/>
      </w:tblGrid>
      <w:tr w:rsidR="00B44E60" w:rsidRPr="00A638B3" w:rsidTr="00A638B3">
        <w:trPr>
          <w:trHeight w:val="397"/>
          <w:tblHeader/>
          <w:jc w:val="center"/>
        </w:trPr>
        <w:tc>
          <w:tcPr>
            <w:tcW w:w="1170" w:type="dxa"/>
            <w:vMerge w:val="restart"/>
            <w:vAlign w:val="center"/>
          </w:tcPr>
          <w:p w:rsidR="00B44E60" w:rsidRPr="00A638B3" w:rsidRDefault="00B44E60" w:rsidP="00B44E60">
            <w:pPr>
              <w:pStyle w:val="Header"/>
              <w:bidi/>
              <w:jc w:val="center"/>
              <w:rPr>
                <w:rFonts w:asciiTheme="majorBidi" w:hAnsiTheme="majorBidi" w:cstheme="majorBidi"/>
                <w:b/>
                <w:bCs/>
                <w:color w:val="000000"/>
                <w:rtl/>
                <w:lang w:eastAsia="ar-SA"/>
              </w:rPr>
            </w:pPr>
            <w:r w:rsidRPr="00A638B3">
              <w:rPr>
                <w:rFonts w:asciiTheme="majorBidi" w:hAnsiTheme="majorBidi" w:cstheme="majorBidi"/>
                <w:b/>
                <w:bCs/>
                <w:color w:val="000000"/>
                <w:rtl/>
                <w:lang w:eastAsia="ar-SA"/>
              </w:rPr>
              <w:t>السنة</w:t>
            </w:r>
          </w:p>
        </w:tc>
        <w:tc>
          <w:tcPr>
            <w:tcW w:w="3468" w:type="dxa"/>
            <w:gridSpan w:val="3"/>
            <w:vAlign w:val="center"/>
          </w:tcPr>
          <w:p w:rsidR="00B44E60" w:rsidRPr="00A638B3" w:rsidRDefault="00B44E60" w:rsidP="00B44E60">
            <w:pPr>
              <w:pStyle w:val="Header"/>
              <w:bidi/>
              <w:jc w:val="center"/>
              <w:rPr>
                <w:rFonts w:asciiTheme="majorBidi" w:hAnsiTheme="majorBidi" w:cstheme="majorBidi"/>
                <w:b/>
                <w:bCs/>
                <w:color w:val="000000"/>
                <w:rtl/>
                <w:lang w:eastAsia="ar-SA"/>
              </w:rPr>
            </w:pPr>
            <w:r w:rsidRPr="00A638B3">
              <w:rPr>
                <w:rFonts w:asciiTheme="majorBidi" w:hAnsiTheme="majorBidi" w:cstheme="majorBidi"/>
                <w:b/>
                <w:bCs/>
                <w:color w:val="000000"/>
                <w:rtl/>
                <w:lang w:eastAsia="ar-SA"/>
              </w:rPr>
              <w:t>نسب التغّير السنوية</w:t>
            </w:r>
          </w:p>
        </w:tc>
      </w:tr>
      <w:tr w:rsidR="00B44E60" w:rsidRPr="00A638B3" w:rsidTr="00A638B3">
        <w:trPr>
          <w:trHeight w:val="397"/>
          <w:tblHeader/>
          <w:jc w:val="center"/>
        </w:trPr>
        <w:tc>
          <w:tcPr>
            <w:tcW w:w="1170" w:type="dxa"/>
            <w:vMerge/>
            <w:vAlign w:val="center"/>
          </w:tcPr>
          <w:p w:rsidR="00B44E60" w:rsidRPr="00A638B3" w:rsidRDefault="00B44E60" w:rsidP="00B44E60">
            <w:pPr>
              <w:pStyle w:val="Header"/>
              <w:bidi/>
              <w:jc w:val="center"/>
              <w:rPr>
                <w:rFonts w:asciiTheme="majorBidi" w:hAnsiTheme="majorBidi" w:cstheme="majorBidi"/>
                <w:b/>
                <w:bCs/>
                <w:color w:val="000000"/>
                <w:rtl/>
                <w:lang w:eastAsia="ar-SA"/>
              </w:rPr>
            </w:pPr>
          </w:p>
        </w:tc>
        <w:tc>
          <w:tcPr>
            <w:tcW w:w="1103" w:type="dxa"/>
          </w:tcPr>
          <w:p w:rsidR="00B44E60" w:rsidRPr="00A638B3" w:rsidRDefault="00B44E60" w:rsidP="00B44E60">
            <w:pPr>
              <w:pStyle w:val="Header"/>
              <w:bidi/>
              <w:jc w:val="center"/>
              <w:rPr>
                <w:rFonts w:asciiTheme="majorBidi" w:hAnsiTheme="majorBidi" w:cstheme="majorBidi"/>
                <w:b/>
                <w:bCs/>
                <w:color w:val="000000"/>
                <w:rtl/>
                <w:lang w:eastAsia="ar-SA"/>
              </w:rPr>
            </w:pPr>
            <w:r w:rsidRPr="00A638B3">
              <w:rPr>
                <w:rFonts w:asciiTheme="majorBidi" w:hAnsiTheme="majorBidi" w:cstheme="majorBidi"/>
                <w:b/>
                <w:bCs/>
                <w:color w:val="000000"/>
                <w:rtl/>
                <w:lang w:eastAsia="ar-SA"/>
              </w:rPr>
              <w:t>محلي</w:t>
            </w:r>
          </w:p>
        </w:tc>
        <w:tc>
          <w:tcPr>
            <w:tcW w:w="1134" w:type="dxa"/>
          </w:tcPr>
          <w:p w:rsidR="00B44E60" w:rsidRPr="00A638B3" w:rsidRDefault="00B44E60" w:rsidP="00B44E60">
            <w:pPr>
              <w:pStyle w:val="Header"/>
              <w:bidi/>
              <w:jc w:val="center"/>
              <w:rPr>
                <w:rFonts w:asciiTheme="majorBidi" w:hAnsiTheme="majorBidi" w:cstheme="majorBidi"/>
                <w:b/>
                <w:bCs/>
                <w:color w:val="000000"/>
                <w:rtl/>
                <w:lang w:eastAsia="ar-SA"/>
              </w:rPr>
            </w:pPr>
            <w:r w:rsidRPr="00A638B3">
              <w:rPr>
                <w:rFonts w:asciiTheme="majorBidi" w:hAnsiTheme="majorBidi" w:cstheme="majorBidi"/>
                <w:b/>
                <w:bCs/>
                <w:color w:val="000000"/>
                <w:rtl/>
                <w:lang w:eastAsia="ar-SA"/>
              </w:rPr>
              <w:t>مستورد</w:t>
            </w:r>
          </w:p>
        </w:tc>
        <w:tc>
          <w:tcPr>
            <w:tcW w:w="1231" w:type="dxa"/>
          </w:tcPr>
          <w:p w:rsidR="00B44E60" w:rsidRPr="00A638B3" w:rsidRDefault="00B44E60" w:rsidP="00B44E60">
            <w:pPr>
              <w:pStyle w:val="Header"/>
              <w:bidi/>
              <w:jc w:val="center"/>
              <w:rPr>
                <w:rFonts w:asciiTheme="majorBidi" w:hAnsiTheme="majorBidi" w:cstheme="majorBidi"/>
                <w:b/>
                <w:bCs/>
                <w:color w:val="000000"/>
                <w:rtl/>
                <w:lang w:eastAsia="ar-SA"/>
              </w:rPr>
            </w:pPr>
            <w:r w:rsidRPr="00A638B3">
              <w:rPr>
                <w:rFonts w:asciiTheme="majorBidi" w:hAnsiTheme="majorBidi" w:cstheme="majorBidi"/>
                <w:b/>
                <w:bCs/>
                <w:color w:val="000000"/>
                <w:rtl/>
                <w:lang w:eastAsia="ar-SA"/>
              </w:rPr>
              <w:t>إجمالي</w:t>
            </w:r>
          </w:p>
        </w:tc>
      </w:tr>
      <w:tr w:rsidR="00B44E60" w:rsidRPr="00A638B3" w:rsidTr="00A638B3">
        <w:trPr>
          <w:trHeight w:val="229"/>
          <w:jc w:val="center"/>
        </w:trPr>
        <w:tc>
          <w:tcPr>
            <w:tcW w:w="1170"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2007</w:t>
            </w:r>
          </w:p>
        </w:tc>
        <w:tc>
          <w:tcPr>
            <w:tcW w:w="1103"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+ 2.96</w:t>
            </w:r>
          </w:p>
        </w:tc>
        <w:tc>
          <w:tcPr>
            <w:tcW w:w="1134"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+ 3.21</w:t>
            </w:r>
          </w:p>
        </w:tc>
        <w:tc>
          <w:tcPr>
            <w:tcW w:w="1231"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+ 3.08</w:t>
            </w:r>
          </w:p>
        </w:tc>
      </w:tr>
      <w:tr w:rsidR="00B44E60" w:rsidRPr="00A638B3" w:rsidTr="00A638B3">
        <w:trPr>
          <w:trHeight w:val="218"/>
          <w:jc w:val="center"/>
        </w:trPr>
        <w:tc>
          <w:tcPr>
            <w:tcW w:w="1170"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2008</w:t>
            </w:r>
          </w:p>
        </w:tc>
        <w:tc>
          <w:tcPr>
            <w:tcW w:w="1103"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+ 9.36</w:t>
            </w:r>
          </w:p>
        </w:tc>
        <w:tc>
          <w:tcPr>
            <w:tcW w:w="1134"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+ 12.01</w:t>
            </w:r>
          </w:p>
        </w:tc>
        <w:tc>
          <w:tcPr>
            <w:tcW w:w="1231"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+ 10.71</w:t>
            </w:r>
          </w:p>
        </w:tc>
      </w:tr>
      <w:tr w:rsidR="00B44E60" w:rsidRPr="00A638B3" w:rsidTr="00A638B3">
        <w:trPr>
          <w:trHeight w:val="180"/>
          <w:jc w:val="center"/>
        </w:trPr>
        <w:tc>
          <w:tcPr>
            <w:tcW w:w="1170"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2009</w:t>
            </w:r>
          </w:p>
        </w:tc>
        <w:tc>
          <w:tcPr>
            <w:tcW w:w="1103"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+ 1.82</w:t>
            </w:r>
          </w:p>
        </w:tc>
        <w:tc>
          <w:tcPr>
            <w:tcW w:w="1134"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- 2.23</w:t>
            </w:r>
          </w:p>
        </w:tc>
        <w:tc>
          <w:tcPr>
            <w:tcW w:w="1231"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- 0.67</w:t>
            </w:r>
          </w:p>
        </w:tc>
      </w:tr>
      <w:tr w:rsidR="00B44E60" w:rsidRPr="00A638B3" w:rsidTr="00A638B3">
        <w:trPr>
          <w:trHeight w:val="170"/>
          <w:jc w:val="center"/>
        </w:trPr>
        <w:tc>
          <w:tcPr>
            <w:tcW w:w="1170"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2010</w:t>
            </w:r>
          </w:p>
        </w:tc>
        <w:tc>
          <w:tcPr>
            <w:tcW w:w="1103"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+ 4.91</w:t>
            </w:r>
          </w:p>
        </w:tc>
        <w:tc>
          <w:tcPr>
            <w:tcW w:w="1134"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+ 2.92</w:t>
            </w:r>
          </w:p>
        </w:tc>
        <w:tc>
          <w:tcPr>
            <w:tcW w:w="1231"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+ 3.70</w:t>
            </w:r>
          </w:p>
        </w:tc>
      </w:tr>
      <w:tr w:rsidR="00B44E60" w:rsidRPr="00A638B3" w:rsidTr="00A638B3">
        <w:trPr>
          <w:trHeight w:val="274"/>
          <w:jc w:val="center"/>
        </w:trPr>
        <w:tc>
          <w:tcPr>
            <w:tcW w:w="1170"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2011</w:t>
            </w:r>
          </w:p>
        </w:tc>
        <w:tc>
          <w:tcPr>
            <w:tcW w:w="1103"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+ 3.08</w:t>
            </w:r>
          </w:p>
        </w:tc>
        <w:tc>
          <w:tcPr>
            <w:tcW w:w="1134"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+ 4.70</w:t>
            </w:r>
          </w:p>
        </w:tc>
        <w:tc>
          <w:tcPr>
            <w:tcW w:w="1231"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+ 3.76</w:t>
            </w:r>
          </w:p>
        </w:tc>
      </w:tr>
      <w:tr w:rsidR="00B44E60" w:rsidRPr="00A638B3" w:rsidTr="00A638B3">
        <w:trPr>
          <w:trHeight w:val="264"/>
          <w:jc w:val="center"/>
        </w:trPr>
        <w:tc>
          <w:tcPr>
            <w:tcW w:w="1170"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2012</w:t>
            </w:r>
          </w:p>
        </w:tc>
        <w:tc>
          <w:tcPr>
            <w:tcW w:w="1103"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- 1.08</w:t>
            </w:r>
          </w:p>
        </w:tc>
        <w:tc>
          <w:tcPr>
            <w:tcW w:w="1134"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+ 2.19</w:t>
            </w:r>
          </w:p>
        </w:tc>
        <w:tc>
          <w:tcPr>
            <w:tcW w:w="1231"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+ 0.93</w:t>
            </w:r>
          </w:p>
        </w:tc>
      </w:tr>
      <w:tr w:rsidR="00B44E60" w:rsidRPr="00A638B3" w:rsidTr="00A638B3">
        <w:trPr>
          <w:trHeight w:val="240"/>
          <w:jc w:val="center"/>
        </w:trPr>
        <w:tc>
          <w:tcPr>
            <w:tcW w:w="1170"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2013</w:t>
            </w:r>
          </w:p>
        </w:tc>
        <w:tc>
          <w:tcPr>
            <w:tcW w:w="1103"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- 0.39</w:t>
            </w:r>
          </w:p>
        </w:tc>
        <w:tc>
          <w:tcPr>
            <w:tcW w:w="1134"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+ 0.79</w:t>
            </w:r>
          </w:p>
        </w:tc>
        <w:tc>
          <w:tcPr>
            <w:tcW w:w="1231"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+ 0.78</w:t>
            </w:r>
          </w:p>
        </w:tc>
      </w:tr>
      <w:tr w:rsidR="00B44E60" w:rsidRPr="00A638B3" w:rsidTr="00A638B3">
        <w:trPr>
          <w:trHeight w:val="217"/>
          <w:jc w:val="center"/>
        </w:trPr>
        <w:tc>
          <w:tcPr>
            <w:tcW w:w="1170"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2014</w:t>
            </w:r>
          </w:p>
        </w:tc>
        <w:tc>
          <w:tcPr>
            <w:tcW w:w="1103"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+ 0.84</w:t>
            </w:r>
          </w:p>
        </w:tc>
        <w:tc>
          <w:tcPr>
            <w:tcW w:w="1134"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+ 2.52</w:t>
            </w:r>
          </w:p>
        </w:tc>
        <w:tc>
          <w:tcPr>
            <w:tcW w:w="1231"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+ 1.48</w:t>
            </w:r>
          </w:p>
        </w:tc>
      </w:tr>
      <w:tr w:rsidR="00B44E60" w:rsidRPr="00A638B3" w:rsidTr="00A638B3">
        <w:trPr>
          <w:trHeight w:val="192"/>
          <w:jc w:val="center"/>
        </w:trPr>
        <w:tc>
          <w:tcPr>
            <w:tcW w:w="1170"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2015</w:t>
            </w:r>
          </w:p>
        </w:tc>
        <w:tc>
          <w:tcPr>
            <w:tcW w:w="1103"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+ 4.26</w:t>
            </w:r>
          </w:p>
        </w:tc>
        <w:tc>
          <w:tcPr>
            <w:tcW w:w="1134"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- 2.55</w:t>
            </w:r>
          </w:p>
        </w:tc>
        <w:tc>
          <w:tcPr>
            <w:tcW w:w="1231"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+ 1.21</w:t>
            </w:r>
          </w:p>
        </w:tc>
      </w:tr>
      <w:tr w:rsidR="00B44E60" w:rsidRPr="00A638B3" w:rsidTr="00A638B3">
        <w:trPr>
          <w:trHeight w:val="169"/>
          <w:jc w:val="center"/>
        </w:trPr>
        <w:tc>
          <w:tcPr>
            <w:tcW w:w="1170"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2016</w:t>
            </w:r>
          </w:p>
        </w:tc>
        <w:tc>
          <w:tcPr>
            <w:tcW w:w="1103"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+ 2.67</w:t>
            </w:r>
          </w:p>
        </w:tc>
        <w:tc>
          <w:tcPr>
            <w:tcW w:w="1134"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+ 0.70</w:t>
            </w:r>
          </w:p>
        </w:tc>
        <w:tc>
          <w:tcPr>
            <w:tcW w:w="1231"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+ 1.62</w:t>
            </w:r>
          </w:p>
        </w:tc>
      </w:tr>
      <w:tr w:rsidR="00B44E60" w:rsidRPr="00A638B3" w:rsidTr="00A638B3">
        <w:trPr>
          <w:trHeight w:val="144"/>
          <w:jc w:val="center"/>
        </w:trPr>
        <w:tc>
          <w:tcPr>
            <w:tcW w:w="1170"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2017</w:t>
            </w:r>
          </w:p>
        </w:tc>
        <w:tc>
          <w:tcPr>
            <w:tcW w:w="1103"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- 1.58</w:t>
            </w:r>
          </w:p>
        </w:tc>
        <w:tc>
          <w:tcPr>
            <w:tcW w:w="1134"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+ 0.21</w:t>
            </w:r>
          </w:p>
        </w:tc>
        <w:tc>
          <w:tcPr>
            <w:tcW w:w="1231" w:type="dxa"/>
            <w:vAlign w:val="center"/>
          </w:tcPr>
          <w:p w:rsidR="00B44E60" w:rsidRPr="00A638B3" w:rsidRDefault="00B44E60" w:rsidP="00B44E60">
            <w:pPr>
              <w:pStyle w:val="Header"/>
              <w:bidi/>
              <w:jc w:val="both"/>
              <w:rPr>
                <w:rFonts w:asciiTheme="majorBidi" w:hAnsiTheme="majorBidi" w:cstheme="majorBidi"/>
                <w:color w:val="000000"/>
                <w:rtl/>
                <w:lang w:eastAsia="ar-SA"/>
              </w:rPr>
            </w:pPr>
            <w:r w:rsidRPr="00A638B3">
              <w:rPr>
                <w:rFonts w:asciiTheme="majorBidi" w:hAnsiTheme="majorBidi" w:cstheme="majorBidi"/>
                <w:color w:val="000000"/>
                <w:rtl/>
                <w:lang w:eastAsia="ar-SA"/>
              </w:rPr>
              <w:t>- 1.17</w:t>
            </w:r>
          </w:p>
        </w:tc>
      </w:tr>
      <w:tr w:rsidR="00B44E60" w:rsidRPr="00A638B3" w:rsidTr="00A638B3">
        <w:trPr>
          <w:trHeight w:val="276"/>
          <w:jc w:val="center"/>
        </w:trPr>
        <w:tc>
          <w:tcPr>
            <w:tcW w:w="1170" w:type="dxa"/>
            <w:vAlign w:val="center"/>
          </w:tcPr>
          <w:p w:rsidR="00B44E60" w:rsidRPr="00A638B3" w:rsidRDefault="00B44E60" w:rsidP="00B44E60">
            <w:pPr>
              <w:pStyle w:val="Header"/>
              <w:bidi/>
              <w:jc w:val="both"/>
              <w:rPr>
                <w:rFonts w:asciiTheme="majorBidi" w:hAnsiTheme="majorBidi" w:cstheme="majorBidi"/>
                <w:b/>
                <w:bCs/>
                <w:color w:val="000000"/>
                <w:rtl/>
                <w:lang w:eastAsia="ar-SA"/>
              </w:rPr>
            </w:pPr>
            <w:r w:rsidRPr="00A638B3">
              <w:rPr>
                <w:rFonts w:asciiTheme="majorBidi" w:hAnsiTheme="majorBidi" w:cstheme="majorBidi"/>
                <w:b/>
                <w:bCs/>
                <w:color w:val="000000"/>
                <w:rtl/>
                <w:lang w:eastAsia="ar-SA"/>
              </w:rPr>
              <w:t>التراكمي</w:t>
            </w:r>
          </w:p>
        </w:tc>
        <w:tc>
          <w:tcPr>
            <w:tcW w:w="1103" w:type="dxa"/>
            <w:vAlign w:val="center"/>
          </w:tcPr>
          <w:p w:rsidR="00B44E60" w:rsidRPr="00A638B3" w:rsidRDefault="00B44E60" w:rsidP="00B44E60">
            <w:pPr>
              <w:pStyle w:val="Header"/>
              <w:bidi/>
              <w:jc w:val="both"/>
              <w:rPr>
                <w:rFonts w:asciiTheme="majorBidi" w:hAnsiTheme="majorBidi" w:cstheme="majorBidi"/>
                <w:b/>
                <w:bCs/>
                <w:color w:val="000000"/>
                <w:rtl/>
                <w:lang w:eastAsia="ar-SA"/>
              </w:rPr>
            </w:pPr>
            <w:r w:rsidRPr="00A638B3">
              <w:rPr>
                <w:rFonts w:asciiTheme="majorBidi" w:hAnsiTheme="majorBidi" w:cstheme="majorBidi"/>
                <w:b/>
                <w:bCs/>
                <w:color w:val="000000"/>
                <w:rtl/>
                <w:lang w:eastAsia="ar-SA"/>
              </w:rPr>
              <w:t>+ 29.78</w:t>
            </w:r>
          </w:p>
        </w:tc>
        <w:tc>
          <w:tcPr>
            <w:tcW w:w="1134" w:type="dxa"/>
            <w:vAlign w:val="center"/>
          </w:tcPr>
          <w:p w:rsidR="00B44E60" w:rsidRPr="00A638B3" w:rsidRDefault="00B44E60" w:rsidP="00B44E60">
            <w:pPr>
              <w:pStyle w:val="Header"/>
              <w:bidi/>
              <w:jc w:val="both"/>
              <w:rPr>
                <w:rFonts w:asciiTheme="majorBidi" w:hAnsiTheme="majorBidi" w:cstheme="majorBidi"/>
                <w:b/>
                <w:bCs/>
                <w:color w:val="000000"/>
                <w:rtl/>
                <w:lang w:eastAsia="ar-SA"/>
              </w:rPr>
            </w:pPr>
            <w:r w:rsidRPr="00A638B3">
              <w:rPr>
                <w:rFonts w:asciiTheme="majorBidi" w:hAnsiTheme="majorBidi" w:cstheme="majorBidi"/>
                <w:b/>
                <w:bCs/>
                <w:color w:val="000000"/>
                <w:rtl/>
                <w:lang w:eastAsia="ar-SA"/>
              </w:rPr>
              <w:t>+ 26.46</w:t>
            </w:r>
          </w:p>
        </w:tc>
        <w:tc>
          <w:tcPr>
            <w:tcW w:w="1231" w:type="dxa"/>
            <w:vAlign w:val="center"/>
          </w:tcPr>
          <w:p w:rsidR="00B44E60" w:rsidRPr="00A638B3" w:rsidRDefault="00B44E60" w:rsidP="00B44E60">
            <w:pPr>
              <w:pStyle w:val="Header"/>
              <w:bidi/>
              <w:jc w:val="both"/>
              <w:rPr>
                <w:rFonts w:asciiTheme="majorBidi" w:hAnsiTheme="majorBidi" w:cstheme="majorBidi"/>
                <w:b/>
                <w:bCs/>
                <w:color w:val="000000"/>
                <w:rtl/>
                <w:lang w:eastAsia="ar-SA"/>
              </w:rPr>
            </w:pPr>
            <w:r w:rsidRPr="00A638B3">
              <w:rPr>
                <w:rFonts w:asciiTheme="majorBidi" w:hAnsiTheme="majorBidi" w:cstheme="majorBidi"/>
                <w:b/>
                <w:bCs/>
                <w:color w:val="000000"/>
                <w:rtl/>
                <w:lang w:eastAsia="ar-SA"/>
              </w:rPr>
              <w:t>+ 27.99</w:t>
            </w:r>
          </w:p>
        </w:tc>
      </w:tr>
    </w:tbl>
    <w:p w:rsidR="007472C9" w:rsidRPr="00A638B3" w:rsidRDefault="007472C9" w:rsidP="007472C9">
      <w:pPr>
        <w:bidi/>
        <w:spacing w:line="240" w:lineRule="auto"/>
        <w:jc w:val="both"/>
        <w:rPr>
          <w:rFonts w:ascii="Simplified Arabic" w:hAnsi="Simplified Arabic" w:cs="Simplified Arabic"/>
          <w:b/>
          <w:bCs/>
          <w:sz w:val="16"/>
          <w:szCs w:val="16"/>
          <w:rtl/>
        </w:rPr>
      </w:pPr>
    </w:p>
    <w:p w:rsidR="00FB52CA" w:rsidRPr="00A638B3" w:rsidRDefault="00721CE3" w:rsidP="00721CE3">
      <w:pPr>
        <w:pStyle w:val="Header"/>
        <w:tabs>
          <w:tab w:val="left" w:pos="5925"/>
        </w:tabs>
        <w:bidi/>
        <w:jc w:val="both"/>
        <w:rPr>
          <w:rFonts w:ascii="Simplified Arabic" w:hAnsi="Simplified Arabic" w:cs="Simplified Arabic"/>
          <w:b/>
          <w:bCs/>
          <w:color w:val="000000"/>
          <w:sz w:val="25"/>
          <w:szCs w:val="25"/>
        </w:rPr>
      </w:pPr>
      <w:r w:rsidRPr="00A638B3">
        <w:rPr>
          <w:rFonts w:ascii="Simplified Arabic" w:hAnsi="Simplified Arabic" w:cs="Simplified Arabic" w:hint="cs"/>
          <w:b/>
          <w:bCs/>
          <w:color w:val="000000"/>
          <w:sz w:val="25"/>
          <w:szCs w:val="25"/>
          <w:rtl/>
        </w:rPr>
        <w:t>انخفاض</w:t>
      </w:r>
      <w:r w:rsidR="00FB52CA" w:rsidRPr="00A638B3">
        <w:rPr>
          <w:rFonts w:ascii="Simplified Arabic" w:hAnsi="Simplified Arabic" w:cs="Simplified Arabic"/>
          <w:b/>
          <w:bCs/>
          <w:color w:val="000000"/>
          <w:sz w:val="25"/>
          <w:szCs w:val="25"/>
          <w:rtl/>
        </w:rPr>
        <w:t xml:space="preserve"> </w:t>
      </w:r>
      <w:r w:rsidR="00A0752E" w:rsidRPr="00A638B3">
        <w:rPr>
          <w:rFonts w:ascii="Simplified Arabic" w:hAnsi="Simplified Arabic" w:cs="Simplified Arabic" w:hint="cs"/>
          <w:b/>
          <w:bCs/>
          <w:color w:val="000000"/>
          <w:sz w:val="25"/>
          <w:szCs w:val="25"/>
          <w:rtl/>
        </w:rPr>
        <w:t xml:space="preserve">في </w:t>
      </w:r>
      <w:r w:rsidR="00FB52CA" w:rsidRPr="00A638B3">
        <w:rPr>
          <w:rFonts w:ascii="Simplified Arabic" w:hAnsi="Simplified Arabic" w:cs="Simplified Arabic"/>
          <w:b/>
          <w:bCs/>
          <w:color w:val="000000"/>
          <w:sz w:val="25"/>
          <w:szCs w:val="25"/>
          <w:rtl/>
        </w:rPr>
        <w:t>أسعار الجملة</w:t>
      </w:r>
      <w:r w:rsidR="001C3CF6" w:rsidRPr="00A638B3">
        <w:rPr>
          <w:rFonts w:ascii="Simplified Arabic" w:hAnsi="Simplified Arabic" w:cs="Simplified Arabic" w:hint="cs"/>
          <w:b/>
          <w:bCs/>
          <w:color w:val="000000"/>
          <w:sz w:val="25"/>
          <w:szCs w:val="25"/>
          <w:rtl/>
        </w:rPr>
        <w:t xml:space="preserve"> </w:t>
      </w:r>
      <w:r w:rsidR="00FB52CA" w:rsidRPr="00A638B3">
        <w:rPr>
          <w:rFonts w:ascii="Simplified Arabic" w:hAnsi="Simplified Arabic" w:cs="Simplified Arabic"/>
          <w:b/>
          <w:bCs/>
          <w:color w:val="000000"/>
          <w:sz w:val="25"/>
          <w:szCs w:val="25"/>
          <w:rtl/>
        </w:rPr>
        <w:t xml:space="preserve">خلال الربع </w:t>
      </w:r>
      <w:r w:rsidRPr="00A638B3">
        <w:rPr>
          <w:rFonts w:ascii="Simplified Arabic" w:hAnsi="Simplified Arabic" w:cs="Simplified Arabic" w:hint="cs"/>
          <w:b/>
          <w:bCs/>
          <w:color w:val="000000"/>
          <w:sz w:val="25"/>
          <w:szCs w:val="25"/>
          <w:rtl/>
        </w:rPr>
        <w:t>الرابع</w:t>
      </w:r>
      <w:r w:rsidR="00FB52CA" w:rsidRPr="00A638B3">
        <w:rPr>
          <w:rFonts w:ascii="Simplified Arabic" w:hAnsi="Simplified Arabic" w:cs="Simplified Arabic"/>
          <w:b/>
          <w:bCs/>
          <w:color w:val="000000"/>
          <w:sz w:val="25"/>
          <w:szCs w:val="25"/>
          <w:rtl/>
        </w:rPr>
        <w:t xml:space="preserve"> من العام </w:t>
      </w:r>
      <w:r w:rsidR="00FB52CA" w:rsidRPr="00A638B3">
        <w:rPr>
          <w:rFonts w:ascii="Simplified Arabic" w:hAnsi="Simplified Arabic" w:cs="Simplified Arabic"/>
          <w:b/>
          <w:bCs/>
          <w:color w:val="000000"/>
          <w:sz w:val="25"/>
          <w:szCs w:val="25"/>
        </w:rPr>
        <w:t>2017</w:t>
      </w:r>
      <w:r w:rsidR="00FB52CA" w:rsidRPr="00A638B3">
        <w:rPr>
          <w:rFonts w:ascii="Simplified Arabic" w:hAnsi="Simplified Arabic" w:cs="Simplified Arabic"/>
          <w:b/>
          <w:bCs/>
          <w:color w:val="000000"/>
          <w:sz w:val="25"/>
          <w:szCs w:val="25"/>
          <w:rtl/>
        </w:rPr>
        <w:t xml:space="preserve"> </w:t>
      </w:r>
    </w:p>
    <w:p w:rsidR="00FB52CA" w:rsidRPr="00FB52CA" w:rsidRDefault="00FB52CA" w:rsidP="00721CE3">
      <w:pPr>
        <w:pStyle w:val="Header"/>
        <w:tabs>
          <w:tab w:val="left" w:pos="5925"/>
        </w:tabs>
        <w:bidi/>
        <w:jc w:val="both"/>
        <w:rPr>
          <w:rFonts w:ascii="Simplified Arabic" w:hAnsi="Simplified Arabic" w:cs="Simplified Arabic"/>
          <w:b/>
          <w:bCs/>
          <w:color w:val="000000"/>
          <w:rtl/>
        </w:rPr>
      </w:pPr>
      <w:r w:rsidRPr="00FB52CA">
        <w:rPr>
          <w:rFonts w:ascii="Simplified Arabic" w:hAnsi="Simplified Arabic" w:cs="Simplified Arabic"/>
          <w:color w:val="000000"/>
          <w:rtl/>
        </w:rPr>
        <w:t xml:space="preserve">سجل الرقم القياسي العام لأسعار الجملة </w:t>
      </w:r>
      <w:r>
        <w:rPr>
          <w:rFonts w:ascii="Simplified Arabic" w:hAnsi="Simplified Arabic" w:cs="Simplified Arabic" w:hint="cs"/>
          <w:color w:val="000000"/>
          <w:rtl/>
        </w:rPr>
        <w:t>ا</w:t>
      </w:r>
      <w:r w:rsidR="00721CE3">
        <w:rPr>
          <w:rFonts w:ascii="Simplified Arabic" w:hAnsi="Simplified Arabic" w:cs="Simplified Arabic" w:hint="cs"/>
          <w:color w:val="000000"/>
          <w:rtl/>
        </w:rPr>
        <w:t>نخفاض</w:t>
      </w:r>
      <w:r>
        <w:rPr>
          <w:rFonts w:ascii="Simplified Arabic" w:hAnsi="Simplified Arabic" w:cs="Simplified Arabic" w:hint="cs"/>
          <w:color w:val="000000"/>
          <w:rtl/>
        </w:rPr>
        <w:t>اً</w:t>
      </w:r>
      <w:r w:rsidRPr="00FB52CA">
        <w:rPr>
          <w:rFonts w:ascii="Simplified Arabic" w:hAnsi="Simplified Arabic" w:cs="Simplified Arabic"/>
          <w:color w:val="000000"/>
          <w:rtl/>
        </w:rPr>
        <w:t xml:space="preserve"> </w:t>
      </w:r>
      <w:r w:rsidR="00721CE3">
        <w:rPr>
          <w:rFonts w:ascii="Simplified Arabic" w:hAnsi="Simplified Arabic" w:cs="Simplified Arabic" w:hint="cs"/>
          <w:color w:val="000000"/>
          <w:rtl/>
        </w:rPr>
        <w:t>مقداره</w:t>
      </w:r>
      <w:r w:rsidRPr="00FB52CA">
        <w:rPr>
          <w:rFonts w:ascii="Simplified Arabic" w:hAnsi="Simplified Arabic" w:cs="Simplified Arabic"/>
          <w:color w:val="000000"/>
          <w:rtl/>
        </w:rPr>
        <w:t xml:space="preserve"> </w:t>
      </w:r>
      <w:r w:rsidR="00721CE3">
        <w:rPr>
          <w:rFonts w:ascii="Simplified Arabic" w:hAnsi="Simplified Arabic" w:cs="Simplified Arabic" w:hint="cs"/>
          <w:color w:val="000000"/>
          <w:rtl/>
        </w:rPr>
        <w:t>0.16</w:t>
      </w:r>
      <w:r w:rsidRPr="00FB52CA">
        <w:rPr>
          <w:rFonts w:ascii="Simplified Arabic" w:hAnsi="Simplified Arabic" w:cs="Simplified Arabic"/>
          <w:color w:val="000000"/>
          <w:rtl/>
        </w:rPr>
        <w:t xml:space="preserve">% خلال الربع </w:t>
      </w:r>
      <w:r w:rsidR="00721CE3">
        <w:rPr>
          <w:rFonts w:ascii="Simplified Arabic" w:hAnsi="Simplified Arabic" w:cs="Simplified Arabic" w:hint="cs"/>
          <w:color w:val="000000"/>
          <w:rtl/>
        </w:rPr>
        <w:t>الرابع</w:t>
      </w:r>
      <w:r w:rsidRPr="00FB52CA">
        <w:rPr>
          <w:rFonts w:ascii="Simplified Arabic" w:hAnsi="Simplified Arabic" w:cs="Simplified Arabic"/>
          <w:color w:val="000000"/>
          <w:rtl/>
        </w:rPr>
        <w:t xml:space="preserve"> 2017 مقارنة بالربع </w:t>
      </w:r>
      <w:r w:rsidR="00721CE3">
        <w:rPr>
          <w:rFonts w:ascii="Simplified Arabic" w:hAnsi="Simplified Arabic" w:cs="Simplified Arabic" w:hint="cs"/>
          <w:color w:val="000000"/>
          <w:rtl/>
        </w:rPr>
        <w:t>الثالث</w:t>
      </w:r>
      <w:r w:rsidRPr="00FB52CA">
        <w:rPr>
          <w:rFonts w:ascii="Simplified Arabic" w:hAnsi="Simplified Arabic" w:cs="Simplified Arabic"/>
          <w:color w:val="000000"/>
          <w:rtl/>
        </w:rPr>
        <w:t xml:space="preserve"> 2017، حيث بلغ الرقم القياسي العام لأسعار الجملة </w:t>
      </w:r>
      <w:r w:rsidR="00721CE3">
        <w:rPr>
          <w:rFonts w:ascii="Simplified Arabic" w:hAnsi="Simplified Arabic" w:cs="Simplified Arabic" w:hint="cs"/>
          <w:color w:val="000000"/>
          <w:rtl/>
        </w:rPr>
        <w:t>124.30</w:t>
      </w:r>
      <w:r w:rsidRPr="00FB52CA">
        <w:rPr>
          <w:rFonts w:ascii="Simplified Arabic" w:hAnsi="Simplified Arabic" w:cs="Simplified Arabic"/>
          <w:color w:val="000000"/>
          <w:rtl/>
        </w:rPr>
        <w:t xml:space="preserve"> خلال الربع </w:t>
      </w:r>
      <w:r w:rsidR="00721CE3">
        <w:rPr>
          <w:rFonts w:ascii="Simplified Arabic" w:hAnsi="Simplified Arabic" w:cs="Simplified Arabic" w:hint="cs"/>
          <w:color w:val="000000"/>
          <w:rtl/>
        </w:rPr>
        <w:t>الرابع</w:t>
      </w:r>
      <w:r w:rsidRPr="00FB52CA">
        <w:rPr>
          <w:rFonts w:ascii="Simplified Arabic" w:hAnsi="Simplified Arabic" w:cs="Simplified Arabic"/>
          <w:color w:val="000000"/>
          <w:rtl/>
        </w:rPr>
        <w:t xml:space="preserve"> 2017 مقارنة </w:t>
      </w:r>
      <w:proofErr w:type="spellStart"/>
      <w:r w:rsidRPr="00FB52CA">
        <w:rPr>
          <w:rFonts w:ascii="Simplified Arabic" w:hAnsi="Simplified Arabic" w:cs="Simplified Arabic"/>
          <w:color w:val="000000"/>
          <w:rtl/>
        </w:rPr>
        <w:t>بـ</w:t>
      </w:r>
      <w:proofErr w:type="spellEnd"/>
      <w:r w:rsidRPr="00FB52CA">
        <w:rPr>
          <w:rFonts w:ascii="Simplified Arabic" w:hAnsi="Simplified Arabic" w:cs="Simplified Arabic"/>
          <w:color w:val="000000"/>
          <w:rtl/>
        </w:rPr>
        <w:t xml:space="preserve"> </w:t>
      </w:r>
      <w:r w:rsidR="00721CE3">
        <w:rPr>
          <w:rFonts w:ascii="Simplified Arabic" w:hAnsi="Simplified Arabic" w:cs="Simplified Arabic" w:hint="cs"/>
          <w:color w:val="000000"/>
          <w:rtl/>
        </w:rPr>
        <w:t>124.51</w:t>
      </w:r>
      <w:r w:rsidRPr="00FB52CA">
        <w:rPr>
          <w:rFonts w:ascii="Simplified Arabic" w:hAnsi="Simplified Arabic" w:cs="Simplified Arabic"/>
          <w:color w:val="000000"/>
          <w:rtl/>
        </w:rPr>
        <w:t xml:space="preserve"> خلال الربع السابق (سنة الأساس 2007=100).</w:t>
      </w:r>
    </w:p>
    <w:p w:rsidR="00FB52CA" w:rsidRPr="00A638B3" w:rsidRDefault="00FB52CA" w:rsidP="00FB52CA">
      <w:pPr>
        <w:pStyle w:val="Header"/>
        <w:tabs>
          <w:tab w:val="left" w:pos="5925"/>
        </w:tabs>
        <w:bidi/>
        <w:jc w:val="both"/>
        <w:rPr>
          <w:rFonts w:ascii="Simplified Arabic" w:hAnsi="Simplified Arabic" w:cs="Simplified Arabic"/>
          <w:b/>
          <w:bCs/>
          <w:color w:val="000000"/>
          <w:sz w:val="16"/>
          <w:szCs w:val="16"/>
          <w:rtl/>
        </w:rPr>
      </w:pPr>
    </w:p>
    <w:p w:rsidR="00FB52CA" w:rsidRPr="00A638B3" w:rsidRDefault="00FB52CA" w:rsidP="00FB52CA">
      <w:pPr>
        <w:pStyle w:val="Header"/>
        <w:tabs>
          <w:tab w:val="left" w:pos="5925"/>
        </w:tabs>
        <w:bidi/>
        <w:jc w:val="both"/>
        <w:rPr>
          <w:rFonts w:ascii="Simplified Arabic" w:hAnsi="Simplified Arabic" w:cs="Simplified Arabic"/>
          <w:b/>
          <w:bCs/>
          <w:color w:val="000000"/>
          <w:sz w:val="25"/>
          <w:szCs w:val="25"/>
          <w:rtl/>
        </w:rPr>
      </w:pPr>
      <w:r w:rsidRPr="00A638B3">
        <w:rPr>
          <w:rFonts w:ascii="Simplified Arabic" w:hAnsi="Simplified Arabic" w:cs="Simplified Arabic"/>
          <w:b/>
          <w:bCs/>
          <w:color w:val="000000"/>
          <w:sz w:val="25"/>
          <w:szCs w:val="25"/>
          <w:rtl/>
        </w:rPr>
        <w:t>الرقم القياسي لأسعار الجملة للسلع المحلية</w:t>
      </w:r>
    </w:p>
    <w:p w:rsidR="00FB52CA" w:rsidRPr="00FB52CA" w:rsidRDefault="00FB52CA" w:rsidP="00721CE3">
      <w:pPr>
        <w:pStyle w:val="Header"/>
        <w:tabs>
          <w:tab w:val="left" w:pos="5925"/>
        </w:tabs>
        <w:bidi/>
        <w:jc w:val="both"/>
        <w:rPr>
          <w:rFonts w:ascii="Simplified Arabic" w:hAnsi="Simplified Arabic" w:cs="Simplified Arabic"/>
          <w:b/>
          <w:bCs/>
          <w:color w:val="000000"/>
          <w:rtl/>
        </w:rPr>
      </w:pPr>
      <w:r w:rsidRPr="00FB52CA">
        <w:rPr>
          <w:rFonts w:ascii="Simplified Arabic" w:hAnsi="Simplified Arabic" w:cs="Simplified Arabic"/>
          <w:color w:val="000000"/>
          <w:rtl/>
        </w:rPr>
        <w:t xml:space="preserve">سجل الرقم القياسي لأسعار الجملة للسلع المحلية </w:t>
      </w:r>
      <w:r>
        <w:rPr>
          <w:rFonts w:ascii="Simplified Arabic" w:hAnsi="Simplified Arabic" w:cs="Simplified Arabic" w:hint="cs"/>
          <w:color w:val="000000"/>
          <w:rtl/>
        </w:rPr>
        <w:t>ا</w:t>
      </w:r>
      <w:r w:rsidR="00721CE3">
        <w:rPr>
          <w:rFonts w:ascii="Simplified Arabic" w:hAnsi="Simplified Arabic" w:cs="Simplified Arabic" w:hint="cs"/>
          <w:color w:val="000000"/>
          <w:rtl/>
        </w:rPr>
        <w:t>نخفاض</w:t>
      </w:r>
      <w:r>
        <w:rPr>
          <w:rFonts w:ascii="Simplified Arabic" w:hAnsi="Simplified Arabic" w:cs="Simplified Arabic" w:hint="cs"/>
          <w:color w:val="000000"/>
          <w:rtl/>
        </w:rPr>
        <w:t>اً</w:t>
      </w:r>
      <w:r w:rsidRPr="00FB52CA">
        <w:rPr>
          <w:rFonts w:ascii="Simplified Arabic" w:hAnsi="Simplified Arabic" w:cs="Simplified Arabic"/>
          <w:color w:val="000000"/>
          <w:rtl/>
        </w:rPr>
        <w:t xml:space="preserve"> </w:t>
      </w:r>
      <w:r w:rsidR="00721CE3">
        <w:rPr>
          <w:rFonts w:ascii="Simplified Arabic" w:hAnsi="Simplified Arabic" w:cs="Simplified Arabic" w:hint="cs"/>
          <w:color w:val="000000"/>
          <w:rtl/>
        </w:rPr>
        <w:t>مقداره</w:t>
      </w:r>
      <w:r w:rsidRPr="00FB52CA">
        <w:rPr>
          <w:rFonts w:ascii="Simplified Arabic" w:hAnsi="Simplified Arabic" w:cs="Simplified Arabic"/>
          <w:color w:val="000000"/>
          <w:rtl/>
        </w:rPr>
        <w:t xml:space="preserve"> </w:t>
      </w:r>
      <w:r w:rsidR="00721CE3">
        <w:rPr>
          <w:rFonts w:ascii="Simplified Arabic" w:hAnsi="Simplified Arabic" w:cs="Simplified Arabic" w:hint="cs"/>
          <w:color w:val="000000"/>
          <w:rtl/>
        </w:rPr>
        <w:t>2.19</w:t>
      </w:r>
      <w:r w:rsidRPr="00FB52CA">
        <w:rPr>
          <w:rFonts w:ascii="Simplified Arabic" w:hAnsi="Simplified Arabic" w:cs="Simplified Arabic"/>
          <w:color w:val="000000"/>
          <w:rtl/>
        </w:rPr>
        <w:t xml:space="preserve">%، حيث بلغ الرقم القياسي لأسعار الجملة للسلع المحلية </w:t>
      </w:r>
      <w:r w:rsidR="00721CE3">
        <w:rPr>
          <w:rFonts w:ascii="Simplified Arabic" w:hAnsi="Simplified Arabic" w:cs="Simplified Arabic" w:hint="cs"/>
          <w:color w:val="000000"/>
          <w:rtl/>
        </w:rPr>
        <w:t>124.52</w:t>
      </w:r>
      <w:r w:rsidRPr="00FB52CA">
        <w:rPr>
          <w:rFonts w:ascii="Simplified Arabic" w:hAnsi="Simplified Arabic" w:cs="Simplified Arabic"/>
          <w:color w:val="000000"/>
          <w:rtl/>
        </w:rPr>
        <w:t xml:space="preserve"> خلال الربع </w:t>
      </w:r>
      <w:r w:rsidR="00721CE3">
        <w:rPr>
          <w:rFonts w:ascii="Simplified Arabic" w:hAnsi="Simplified Arabic" w:cs="Simplified Arabic" w:hint="cs"/>
          <w:color w:val="000000"/>
          <w:rtl/>
        </w:rPr>
        <w:t>الرابع</w:t>
      </w:r>
      <w:r w:rsidRPr="00FB52CA">
        <w:rPr>
          <w:rFonts w:ascii="Simplified Arabic" w:hAnsi="Simplified Arabic" w:cs="Simplified Arabic"/>
          <w:color w:val="000000"/>
          <w:rtl/>
        </w:rPr>
        <w:t xml:space="preserve"> 2017 مقارنة </w:t>
      </w:r>
      <w:proofErr w:type="spellStart"/>
      <w:r w:rsidRPr="00FB52CA">
        <w:rPr>
          <w:rFonts w:ascii="Simplified Arabic" w:hAnsi="Simplified Arabic" w:cs="Simplified Arabic"/>
          <w:color w:val="000000"/>
          <w:rtl/>
        </w:rPr>
        <w:t>بـ</w:t>
      </w:r>
      <w:proofErr w:type="spellEnd"/>
      <w:r w:rsidRPr="00FB52CA">
        <w:rPr>
          <w:rFonts w:ascii="Simplified Arabic" w:hAnsi="Simplified Arabic" w:cs="Simplified Arabic"/>
          <w:color w:val="000000"/>
          <w:rtl/>
        </w:rPr>
        <w:t xml:space="preserve"> </w:t>
      </w:r>
      <w:r w:rsidR="00721CE3">
        <w:rPr>
          <w:rFonts w:ascii="Simplified Arabic" w:hAnsi="Simplified Arabic" w:cs="Simplified Arabic" w:hint="cs"/>
          <w:color w:val="000000"/>
          <w:rtl/>
        </w:rPr>
        <w:t>127.32</w:t>
      </w:r>
      <w:r w:rsidRPr="00FB52CA">
        <w:rPr>
          <w:rFonts w:ascii="Simplified Arabic" w:hAnsi="Simplified Arabic" w:cs="Simplified Arabic"/>
          <w:color w:val="000000"/>
          <w:rtl/>
        </w:rPr>
        <w:t xml:space="preserve"> خلال الربع السابق (سنة الأساس 2007=100).</w:t>
      </w:r>
    </w:p>
    <w:p w:rsidR="00FB52CA" w:rsidRPr="00A638B3" w:rsidRDefault="00FB52CA" w:rsidP="00FB52CA">
      <w:pPr>
        <w:pStyle w:val="Header"/>
        <w:tabs>
          <w:tab w:val="left" w:pos="5925"/>
        </w:tabs>
        <w:bidi/>
        <w:jc w:val="both"/>
        <w:rPr>
          <w:rFonts w:ascii="Simplified Arabic" w:hAnsi="Simplified Arabic" w:cs="Simplified Arabic"/>
          <w:b/>
          <w:bCs/>
          <w:color w:val="000000"/>
          <w:sz w:val="16"/>
          <w:szCs w:val="16"/>
          <w:rtl/>
        </w:rPr>
      </w:pPr>
    </w:p>
    <w:p w:rsidR="00FB52CA" w:rsidRPr="00A638B3" w:rsidRDefault="00FB52CA" w:rsidP="00FB52CA">
      <w:pPr>
        <w:pStyle w:val="Header"/>
        <w:tabs>
          <w:tab w:val="left" w:pos="5925"/>
        </w:tabs>
        <w:bidi/>
        <w:jc w:val="both"/>
        <w:rPr>
          <w:rFonts w:ascii="Simplified Arabic" w:hAnsi="Simplified Arabic" w:cs="Simplified Arabic"/>
          <w:b/>
          <w:bCs/>
          <w:color w:val="000000"/>
          <w:sz w:val="25"/>
          <w:szCs w:val="25"/>
          <w:rtl/>
        </w:rPr>
      </w:pPr>
      <w:r w:rsidRPr="00A638B3">
        <w:rPr>
          <w:rFonts w:ascii="Simplified Arabic" w:hAnsi="Simplified Arabic" w:cs="Simplified Arabic"/>
          <w:b/>
          <w:bCs/>
          <w:color w:val="000000"/>
          <w:sz w:val="25"/>
          <w:szCs w:val="25"/>
          <w:rtl/>
        </w:rPr>
        <w:t>الرقم القياسي لأسعار الجملة للسلع المستوردة</w:t>
      </w:r>
    </w:p>
    <w:p w:rsidR="00FB52CA" w:rsidRPr="00FB52CA" w:rsidRDefault="00FB52CA" w:rsidP="00721CE3">
      <w:pPr>
        <w:pStyle w:val="Header"/>
        <w:tabs>
          <w:tab w:val="left" w:pos="5925"/>
        </w:tabs>
        <w:bidi/>
        <w:jc w:val="both"/>
        <w:rPr>
          <w:rFonts w:ascii="Simplified Arabic" w:hAnsi="Simplified Arabic" w:cs="Simplified Arabic"/>
          <w:color w:val="000000"/>
          <w:rtl/>
        </w:rPr>
      </w:pPr>
      <w:r w:rsidRPr="00FB52CA">
        <w:rPr>
          <w:rFonts w:ascii="Simplified Arabic" w:hAnsi="Simplified Arabic" w:cs="Simplified Arabic"/>
          <w:color w:val="000000"/>
          <w:rtl/>
        </w:rPr>
        <w:t>سجل الرقم القياسي لأسعار</w:t>
      </w:r>
      <w:r>
        <w:rPr>
          <w:rFonts w:ascii="Simplified Arabic" w:hAnsi="Simplified Arabic" w:cs="Simplified Arabic"/>
          <w:color w:val="000000"/>
          <w:rtl/>
        </w:rPr>
        <w:t xml:space="preserve"> الجملة للسلع المستوردة ا</w:t>
      </w:r>
      <w:r w:rsidR="00721CE3">
        <w:rPr>
          <w:rFonts w:ascii="Simplified Arabic" w:hAnsi="Simplified Arabic" w:cs="Simplified Arabic" w:hint="cs"/>
          <w:color w:val="000000"/>
          <w:rtl/>
        </w:rPr>
        <w:t xml:space="preserve">رتفاعاً </w:t>
      </w:r>
      <w:r>
        <w:rPr>
          <w:rFonts w:ascii="Simplified Arabic" w:hAnsi="Simplified Arabic" w:cs="Simplified Arabic" w:hint="cs"/>
          <w:color w:val="000000"/>
          <w:rtl/>
        </w:rPr>
        <w:t>نسبته</w:t>
      </w:r>
      <w:r w:rsidRPr="00FB52CA">
        <w:rPr>
          <w:rFonts w:ascii="Simplified Arabic" w:hAnsi="Simplified Arabic" w:cs="Simplified Arabic"/>
          <w:color w:val="000000"/>
          <w:rtl/>
        </w:rPr>
        <w:t xml:space="preserve"> </w:t>
      </w:r>
      <w:r w:rsidR="00721CE3">
        <w:rPr>
          <w:rFonts w:ascii="Simplified Arabic" w:hAnsi="Simplified Arabic" w:cs="Simplified Arabic" w:hint="cs"/>
          <w:color w:val="000000"/>
          <w:rtl/>
        </w:rPr>
        <w:t>1.20</w:t>
      </w:r>
      <w:r w:rsidRPr="00FB52CA">
        <w:rPr>
          <w:rFonts w:ascii="Simplified Arabic" w:hAnsi="Simplified Arabic" w:cs="Simplified Arabic"/>
          <w:color w:val="000000"/>
          <w:rtl/>
        </w:rPr>
        <w:t xml:space="preserve">%، حيث بلغ الرقم القياسي لأسعار الجملة للسلع المستوردة </w:t>
      </w:r>
      <w:r w:rsidR="00721CE3">
        <w:rPr>
          <w:rFonts w:ascii="Simplified Arabic" w:hAnsi="Simplified Arabic" w:cs="Simplified Arabic" w:hint="cs"/>
          <w:color w:val="000000"/>
          <w:rtl/>
        </w:rPr>
        <w:t>123.47</w:t>
      </w:r>
      <w:r w:rsidRPr="00FB52CA">
        <w:rPr>
          <w:rFonts w:ascii="Simplified Arabic" w:hAnsi="Simplified Arabic" w:cs="Simplified Arabic"/>
          <w:color w:val="000000"/>
          <w:rtl/>
        </w:rPr>
        <w:t xml:space="preserve"> خلال الربع </w:t>
      </w:r>
      <w:r w:rsidR="00721CE3">
        <w:rPr>
          <w:rFonts w:ascii="Simplified Arabic" w:hAnsi="Simplified Arabic" w:cs="Simplified Arabic" w:hint="cs"/>
          <w:color w:val="000000"/>
          <w:rtl/>
        </w:rPr>
        <w:t>الرابع</w:t>
      </w:r>
      <w:r>
        <w:rPr>
          <w:rFonts w:ascii="Simplified Arabic" w:hAnsi="Simplified Arabic" w:cs="Simplified Arabic"/>
          <w:color w:val="000000"/>
          <w:rtl/>
        </w:rPr>
        <w:t xml:space="preserve"> 2017 مقارنة</w:t>
      </w:r>
      <w:r>
        <w:rPr>
          <w:rFonts w:ascii="Simplified Arabic" w:hAnsi="Simplified Arabic" w:cs="Simplified Arabic" w:hint="cs"/>
          <w:color w:val="000000"/>
          <w:rtl/>
        </w:rPr>
        <w:t xml:space="preserve"> </w:t>
      </w:r>
      <w:proofErr w:type="spellStart"/>
      <w:r w:rsidRPr="00FB52CA">
        <w:rPr>
          <w:rFonts w:ascii="Simplified Arabic" w:hAnsi="Simplified Arabic" w:cs="Simplified Arabic"/>
          <w:color w:val="000000"/>
          <w:rtl/>
        </w:rPr>
        <w:t>بـ</w:t>
      </w:r>
      <w:proofErr w:type="spellEnd"/>
      <w:r w:rsidRPr="00FB52CA">
        <w:rPr>
          <w:rFonts w:ascii="Simplified Arabic" w:hAnsi="Simplified Arabic" w:cs="Simplified Arabic"/>
          <w:color w:val="000000"/>
          <w:rtl/>
        </w:rPr>
        <w:t xml:space="preserve"> </w:t>
      </w:r>
      <w:r w:rsidR="00721CE3">
        <w:rPr>
          <w:rFonts w:ascii="Simplified Arabic" w:hAnsi="Simplified Arabic" w:cs="Simplified Arabic" w:hint="cs"/>
          <w:color w:val="000000"/>
          <w:rtl/>
        </w:rPr>
        <w:t>122.01</w:t>
      </w:r>
      <w:r w:rsidRPr="00FB52CA">
        <w:rPr>
          <w:rFonts w:ascii="Simplified Arabic" w:hAnsi="Simplified Arabic" w:cs="Simplified Arabic"/>
          <w:color w:val="000000"/>
          <w:rtl/>
        </w:rPr>
        <w:t xml:space="preserve"> خلال الربع السابق (سنة الأساس 2007=100).</w:t>
      </w:r>
    </w:p>
    <w:p w:rsidR="00FB52CA" w:rsidRPr="00A638B3" w:rsidRDefault="00FB52CA" w:rsidP="00FB52CA">
      <w:pPr>
        <w:pStyle w:val="Header"/>
        <w:tabs>
          <w:tab w:val="left" w:pos="5925"/>
        </w:tabs>
        <w:bidi/>
        <w:jc w:val="both"/>
        <w:rPr>
          <w:rFonts w:ascii="Simplified Arabic" w:hAnsi="Simplified Arabic" w:cs="Simplified Arabic"/>
          <w:color w:val="000000"/>
          <w:sz w:val="16"/>
          <w:szCs w:val="16"/>
          <w:rtl/>
        </w:rPr>
      </w:pPr>
    </w:p>
    <w:p w:rsidR="00FB52CA" w:rsidRPr="00A638B3" w:rsidRDefault="00FB52CA" w:rsidP="00FB52CA">
      <w:pPr>
        <w:pStyle w:val="BodyText2"/>
        <w:spacing w:after="0" w:line="240" w:lineRule="auto"/>
        <w:jc w:val="both"/>
        <w:rPr>
          <w:rFonts w:ascii="Simplified Arabic" w:hAnsi="Simplified Arabic" w:cs="Simplified Arabic"/>
          <w:b/>
          <w:bCs/>
          <w:color w:val="000000"/>
          <w:sz w:val="25"/>
          <w:szCs w:val="25"/>
          <w:rtl/>
        </w:rPr>
      </w:pPr>
      <w:r w:rsidRPr="00A638B3">
        <w:rPr>
          <w:rFonts w:ascii="Simplified Arabic" w:hAnsi="Simplified Arabic" w:cs="Simplified Arabic"/>
          <w:b/>
          <w:bCs/>
          <w:color w:val="000000"/>
          <w:sz w:val="25"/>
          <w:szCs w:val="25"/>
          <w:rtl/>
        </w:rPr>
        <w:t xml:space="preserve">حركة أسعار الجملة ضمن الأنشطة الرئيسية </w:t>
      </w:r>
    </w:p>
    <w:p w:rsidR="00970D7A" w:rsidRDefault="00970D7A" w:rsidP="00970D7A">
      <w:pPr>
        <w:bidi/>
        <w:spacing w:line="240" w:lineRule="auto"/>
        <w:jc w:val="both"/>
        <w:rPr>
          <w:rFonts w:ascii="Simplified Arabic" w:hAnsi="Simplified Arabic" w:cs="Simplified Arabic"/>
          <w:sz w:val="24"/>
          <w:szCs w:val="24"/>
          <w:rtl/>
        </w:rPr>
      </w:pPr>
      <w:r w:rsidRPr="00FB52CA">
        <w:rPr>
          <w:rFonts w:ascii="Simplified Arabic" w:hAnsi="Simplified Arabic" w:cs="Simplified Arabic"/>
          <w:sz w:val="24"/>
          <w:szCs w:val="24"/>
          <w:rtl/>
        </w:rPr>
        <w:t>سجلت أسعار</w:t>
      </w:r>
      <w:r w:rsidRPr="00FB52CA">
        <w:rPr>
          <w:rFonts w:ascii="Simplified Arabic" w:hAnsi="Simplified Arabic" w:cs="Simplified Arabic"/>
          <w:b/>
          <w:bCs/>
          <w:sz w:val="24"/>
          <w:szCs w:val="24"/>
          <w:rtl/>
        </w:rPr>
        <w:t xml:space="preserve"> منتجات</w:t>
      </w:r>
      <w:r w:rsidRPr="00FB52CA">
        <w:rPr>
          <w:rFonts w:ascii="Simplified Arabic" w:hAnsi="Simplified Arabic" w:cs="Simplified Arabic"/>
          <w:sz w:val="24"/>
          <w:szCs w:val="24"/>
          <w:rtl/>
        </w:rPr>
        <w:t xml:space="preserve"> </w:t>
      </w:r>
      <w:r w:rsidRPr="00FB52CA">
        <w:rPr>
          <w:rFonts w:ascii="Simplified Arabic" w:hAnsi="Simplified Arabic" w:cs="Simplified Arabic"/>
          <w:b/>
          <w:bCs/>
          <w:sz w:val="24"/>
          <w:szCs w:val="24"/>
          <w:rtl/>
        </w:rPr>
        <w:t>الصناعات التحويلية</w:t>
      </w:r>
      <w:r w:rsidRPr="00FB52CA">
        <w:rPr>
          <w:rFonts w:ascii="Simplified Arabic" w:hAnsi="Simplified Arabic" w:cs="Simplified Arabic"/>
          <w:sz w:val="24"/>
          <w:szCs w:val="24"/>
          <w:rtl/>
        </w:rPr>
        <w:t xml:space="preserve"> </w:t>
      </w:r>
      <w:r>
        <w:rPr>
          <w:rFonts w:ascii="Simplified Arabic" w:hAnsi="Simplified Arabic" w:cs="Simplified Arabic" w:hint="cs"/>
          <w:sz w:val="24"/>
          <w:szCs w:val="24"/>
          <w:rtl/>
        </w:rPr>
        <w:t>انخفاضاً</w:t>
      </w:r>
      <w:r w:rsidRPr="00FB52CA">
        <w:rPr>
          <w:rFonts w:ascii="Simplified Arabic" w:hAnsi="Simplified Arabic" w:cs="Simplified Arabic"/>
          <w:sz w:val="24"/>
          <w:szCs w:val="24"/>
          <w:rtl/>
        </w:rPr>
        <w:t xml:space="preserve"> </w:t>
      </w:r>
      <w:r>
        <w:rPr>
          <w:rFonts w:ascii="Simplified Arabic" w:hAnsi="Simplified Arabic" w:cs="Simplified Arabic" w:hint="cs"/>
          <w:sz w:val="24"/>
          <w:szCs w:val="24"/>
          <w:rtl/>
        </w:rPr>
        <w:t>مقداره</w:t>
      </w:r>
      <w:r w:rsidRPr="00FB52CA">
        <w:rPr>
          <w:rFonts w:ascii="Simplified Arabic" w:hAnsi="Simplified Arabic" w:cs="Simplified Arabic"/>
          <w:sz w:val="24"/>
          <w:szCs w:val="24"/>
          <w:rtl/>
        </w:rPr>
        <w:t xml:space="preserve"> </w:t>
      </w:r>
      <w:r>
        <w:rPr>
          <w:rFonts w:ascii="Simplified Arabic" w:hAnsi="Simplified Arabic" w:cs="Simplified Arabic" w:hint="cs"/>
          <w:sz w:val="24"/>
          <w:szCs w:val="24"/>
          <w:rtl/>
        </w:rPr>
        <w:t>0.46</w:t>
      </w:r>
      <w:r w:rsidRPr="00FB52CA">
        <w:rPr>
          <w:rFonts w:ascii="Simplified Arabic" w:hAnsi="Simplified Arabic" w:cs="Simplified Arabic"/>
          <w:sz w:val="24"/>
          <w:szCs w:val="24"/>
          <w:rtl/>
        </w:rPr>
        <w:t xml:space="preserve">%، نتيجة </w:t>
      </w:r>
      <w:r>
        <w:rPr>
          <w:rFonts w:ascii="Simplified Arabic" w:hAnsi="Simplified Arabic" w:cs="Simplified Arabic" w:hint="cs"/>
          <w:sz w:val="24"/>
          <w:szCs w:val="24"/>
          <w:rtl/>
        </w:rPr>
        <w:t>لانخفاض</w:t>
      </w:r>
      <w:r w:rsidRPr="00FB52CA">
        <w:rPr>
          <w:rFonts w:ascii="Simplified Arabic" w:hAnsi="Simplified Arabic" w:cs="Simplified Arabic"/>
          <w:sz w:val="24"/>
          <w:szCs w:val="24"/>
          <w:rtl/>
        </w:rPr>
        <w:t xml:space="preserve"> أسعار </w:t>
      </w:r>
      <w:r>
        <w:rPr>
          <w:rFonts w:ascii="Simplified Arabic" w:hAnsi="Simplified Arabic" w:cs="Simplified Arabic" w:hint="cs"/>
          <w:sz w:val="24"/>
          <w:szCs w:val="24"/>
          <w:rtl/>
        </w:rPr>
        <w:t xml:space="preserve">السلع ضمن بعض الأنشطة كنشاط منتجات طحن الحبوب والأعلاف بمقدار 2.85%، وصنع الزيوت والدهون النباتية والحيوانية بمقدار 2.49%، وصنع الأثاث بمقدار 2.00%، وصنع المشروبات بمقدار 1.90%، وصنع منتجات المعادن </w:t>
      </w:r>
      <w:proofErr w:type="spellStart"/>
      <w:r>
        <w:rPr>
          <w:rFonts w:ascii="Simplified Arabic" w:hAnsi="Simplified Arabic" w:cs="Simplified Arabic" w:hint="cs"/>
          <w:sz w:val="24"/>
          <w:szCs w:val="24"/>
          <w:rtl/>
        </w:rPr>
        <w:t>اللافلزية</w:t>
      </w:r>
      <w:proofErr w:type="spellEnd"/>
      <w:r>
        <w:rPr>
          <w:rFonts w:ascii="Simplified Arabic" w:hAnsi="Simplified Arabic" w:cs="Simplified Arabic" w:hint="cs"/>
          <w:sz w:val="24"/>
          <w:szCs w:val="24"/>
          <w:rtl/>
        </w:rPr>
        <w:t xml:space="preserve"> الأخرى بمقدار </w:t>
      </w:r>
      <w:proofErr w:type="spellStart"/>
      <w:r>
        <w:rPr>
          <w:rFonts w:ascii="Simplified Arabic" w:hAnsi="Simplified Arabic" w:cs="Simplified Arabic" w:hint="cs"/>
          <w:sz w:val="24"/>
          <w:szCs w:val="24"/>
          <w:rtl/>
        </w:rPr>
        <w:t>1.88%،</w:t>
      </w:r>
      <w:proofErr w:type="spellEnd"/>
      <w:r>
        <w:rPr>
          <w:rFonts w:ascii="Simplified Arabic" w:hAnsi="Simplified Arabic" w:cs="Simplified Arabic" w:hint="cs"/>
          <w:sz w:val="24"/>
          <w:szCs w:val="24"/>
          <w:rtl/>
        </w:rPr>
        <w:t xml:space="preserve"> وصنع المواد والمنتجات الكيماوية بمقدار 1.55%، وصنع الخشب ومنتجاته بمقدار 1.09%، </w:t>
      </w:r>
      <w:r w:rsidRPr="00FB52CA">
        <w:rPr>
          <w:rFonts w:ascii="Simplified Arabic" w:hAnsi="Simplified Arabic" w:cs="Simplified Arabic"/>
          <w:sz w:val="24"/>
          <w:szCs w:val="24"/>
          <w:rtl/>
        </w:rPr>
        <w:t xml:space="preserve">في المقابل </w:t>
      </w:r>
      <w:r>
        <w:rPr>
          <w:rFonts w:ascii="Simplified Arabic" w:hAnsi="Simplified Arabic" w:cs="Simplified Arabic" w:hint="cs"/>
          <w:sz w:val="24"/>
          <w:szCs w:val="24"/>
          <w:rtl/>
        </w:rPr>
        <w:t>ارتفعت أسعار السلع ضمن بعض الأنشطة كنشاط صناعة الألبان بنسبة 3.83%، وصناعة منتجات المطاط والبلاستيك بنسبة 3.78%، وصناعة الأقمشة وأصناف من التريكو بنسبة 2.95%، وصناعة الورق ومنتجات الورق بنسبة 2.04%.</w:t>
      </w:r>
    </w:p>
    <w:p w:rsidR="00970D7A" w:rsidRDefault="00970D7A" w:rsidP="00970D7A">
      <w:pPr>
        <w:bidi/>
        <w:spacing w:line="240" w:lineRule="auto"/>
        <w:jc w:val="both"/>
        <w:rPr>
          <w:rFonts w:ascii="Simplified Arabic" w:hAnsi="Simplified Arabic" w:cs="Simplified Arabic"/>
          <w:sz w:val="24"/>
          <w:szCs w:val="24"/>
          <w:rtl/>
        </w:rPr>
      </w:pPr>
    </w:p>
    <w:p w:rsidR="00A638B3" w:rsidRDefault="00A638B3" w:rsidP="00970D7A">
      <w:pPr>
        <w:bidi/>
        <w:spacing w:line="240" w:lineRule="auto"/>
        <w:jc w:val="both"/>
        <w:rPr>
          <w:rFonts w:ascii="Simplified Arabic" w:hAnsi="Simplified Arabic" w:cs="Simplified Arabic" w:hint="cs"/>
          <w:sz w:val="24"/>
          <w:szCs w:val="24"/>
          <w:rtl/>
        </w:rPr>
      </w:pPr>
    </w:p>
    <w:p w:rsidR="00A638B3" w:rsidRDefault="00A638B3" w:rsidP="00A638B3">
      <w:pPr>
        <w:bidi/>
        <w:spacing w:line="240" w:lineRule="auto"/>
        <w:jc w:val="both"/>
        <w:rPr>
          <w:rFonts w:ascii="Simplified Arabic" w:hAnsi="Simplified Arabic" w:cs="Simplified Arabic" w:hint="cs"/>
          <w:sz w:val="24"/>
          <w:szCs w:val="24"/>
          <w:rtl/>
        </w:rPr>
      </w:pPr>
    </w:p>
    <w:p w:rsidR="00A638B3" w:rsidRPr="00A638B3" w:rsidRDefault="00A638B3" w:rsidP="00A638B3">
      <w:pPr>
        <w:bidi/>
        <w:spacing w:line="240" w:lineRule="auto"/>
        <w:jc w:val="both"/>
        <w:rPr>
          <w:rFonts w:ascii="Simplified Arabic" w:hAnsi="Simplified Arabic" w:cs="Simplified Arabic" w:hint="cs"/>
          <w:sz w:val="16"/>
          <w:szCs w:val="16"/>
          <w:rtl/>
        </w:rPr>
      </w:pPr>
    </w:p>
    <w:p w:rsidR="00721CE3" w:rsidRPr="00FB52CA" w:rsidRDefault="00970D7A" w:rsidP="00A638B3">
      <w:pPr>
        <w:bidi/>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في حين </w:t>
      </w:r>
      <w:r w:rsidR="00721CE3" w:rsidRPr="00FB52CA">
        <w:rPr>
          <w:rFonts w:ascii="Simplified Arabic" w:hAnsi="Simplified Arabic" w:cs="Simplified Arabic"/>
          <w:sz w:val="24"/>
          <w:szCs w:val="24"/>
          <w:rtl/>
        </w:rPr>
        <w:t xml:space="preserve">شهدت أسعار </w:t>
      </w:r>
      <w:r w:rsidR="00721CE3" w:rsidRPr="00FB52CA">
        <w:rPr>
          <w:rFonts w:ascii="Simplified Arabic" w:hAnsi="Simplified Arabic" w:cs="Simplified Arabic"/>
          <w:b/>
          <w:bCs/>
          <w:sz w:val="24"/>
          <w:szCs w:val="24"/>
          <w:rtl/>
        </w:rPr>
        <w:t>منتجات</w:t>
      </w:r>
      <w:r w:rsidR="00721CE3" w:rsidRPr="00FB52CA">
        <w:rPr>
          <w:rFonts w:ascii="Simplified Arabic" w:hAnsi="Simplified Arabic" w:cs="Simplified Arabic"/>
          <w:sz w:val="24"/>
          <w:szCs w:val="24"/>
          <w:rtl/>
        </w:rPr>
        <w:t xml:space="preserve"> </w:t>
      </w:r>
      <w:r w:rsidR="00721CE3" w:rsidRPr="00FB52CA">
        <w:rPr>
          <w:rFonts w:ascii="Simplified Arabic" w:hAnsi="Simplified Arabic" w:cs="Simplified Arabic"/>
          <w:b/>
          <w:bCs/>
          <w:sz w:val="24"/>
          <w:szCs w:val="24"/>
          <w:rtl/>
        </w:rPr>
        <w:t xml:space="preserve">صيد الأسماك </w:t>
      </w:r>
      <w:r w:rsidR="00721CE3">
        <w:rPr>
          <w:rFonts w:ascii="Simplified Arabic" w:hAnsi="Simplified Arabic" w:cs="Simplified Arabic" w:hint="cs"/>
          <w:sz w:val="24"/>
          <w:szCs w:val="24"/>
          <w:rtl/>
        </w:rPr>
        <w:t>ارتفاع</w:t>
      </w:r>
      <w:r w:rsidR="00721CE3" w:rsidRPr="00FB52CA">
        <w:rPr>
          <w:rFonts w:ascii="Simplified Arabic" w:hAnsi="Simplified Arabic" w:cs="Simplified Arabic"/>
          <w:sz w:val="24"/>
          <w:szCs w:val="24"/>
          <w:rtl/>
        </w:rPr>
        <w:t xml:space="preserve">اً </w:t>
      </w:r>
      <w:r w:rsidR="00721CE3">
        <w:rPr>
          <w:rFonts w:ascii="Simplified Arabic" w:hAnsi="Simplified Arabic" w:cs="Simplified Arabic" w:hint="cs"/>
          <w:sz w:val="24"/>
          <w:szCs w:val="24"/>
          <w:rtl/>
        </w:rPr>
        <w:t>نسبته</w:t>
      </w:r>
      <w:r w:rsidR="00721CE3" w:rsidRPr="00FB52CA">
        <w:rPr>
          <w:rFonts w:ascii="Simplified Arabic" w:hAnsi="Simplified Arabic" w:cs="Simplified Arabic"/>
          <w:b/>
          <w:bCs/>
          <w:sz w:val="24"/>
          <w:szCs w:val="24"/>
          <w:rtl/>
        </w:rPr>
        <w:t xml:space="preserve"> </w:t>
      </w:r>
      <w:r w:rsidR="00721CE3">
        <w:rPr>
          <w:rFonts w:ascii="Simplified Arabic" w:hAnsi="Simplified Arabic" w:cs="Simplified Arabic" w:hint="cs"/>
          <w:sz w:val="24"/>
          <w:szCs w:val="24"/>
          <w:rtl/>
        </w:rPr>
        <w:t>2.20</w:t>
      </w:r>
      <w:r w:rsidR="00721CE3" w:rsidRPr="00FB52CA">
        <w:rPr>
          <w:rFonts w:ascii="Simplified Arabic" w:hAnsi="Simplified Arabic" w:cs="Simplified Arabic"/>
          <w:sz w:val="24"/>
          <w:szCs w:val="24"/>
          <w:rtl/>
        </w:rPr>
        <w:t>%</w:t>
      </w:r>
      <w:r w:rsidR="00721CE3">
        <w:rPr>
          <w:rFonts w:ascii="Simplified Arabic" w:hAnsi="Simplified Arabic" w:cs="Simplified Arabic" w:hint="cs"/>
          <w:sz w:val="24"/>
          <w:szCs w:val="24"/>
          <w:rtl/>
        </w:rPr>
        <w:t>،</w:t>
      </w:r>
      <w:r w:rsidR="00721CE3" w:rsidRPr="00FB52CA">
        <w:rPr>
          <w:rFonts w:ascii="Simplified Arabic" w:hAnsi="Simplified Arabic" w:cs="Simplified Arabic"/>
          <w:sz w:val="24"/>
          <w:szCs w:val="24"/>
          <w:rtl/>
        </w:rPr>
        <w:t xml:space="preserve"> </w:t>
      </w:r>
      <w:r w:rsidR="00721CE3">
        <w:rPr>
          <w:rFonts w:ascii="Simplified Arabic" w:hAnsi="Simplified Arabic" w:cs="Simplified Arabic" w:hint="cs"/>
          <w:sz w:val="24"/>
          <w:szCs w:val="24"/>
          <w:rtl/>
        </w:rPr>
        <w:t xml:space="preserve">كما </w:t>
      </w:r>
      <w:r w:rsidR="00721CE3" w:rsidRPr="00FB52CA">
        <w:rPr>
          <w:rFonts w:ascii="Simplified Arabic" w:hAnsi="Simplified Arabic" w:cs="Simplified Arabic"/>
          <w:sz w:val="24"/>
          <w:szCs w:val="24"/>
          <w:rtl/>
        </w:rPr>
        <w:t xml:space="preserve">سجلت أسعار السلع ضمن </w:t>
      </w:r>
      <w:r w:rsidR="00721CE3" w:rsidRPr="00FB52CA">
        <w:rPr>
          <w:rFonts w:ascii="Simplified Arabic" w:hAnsi="Simplified Arabic" w:cs="Simplified Arabic"/>
          <w:b/>
          <w:bCs/>
          <w:sz w:val="24"/>
          <w:szCs w:val="24"/>
          <w:rtl/>
        </w:rPr>
        <w:t>نشاط</w:t>
      </w:r>
      <w:r w:rsidR="00721CE3" w:rsidRPr="00FB52CA">
        <w:rPr>
          <w:rFonts w:ascii="Simplified Arabic" w:hAnsi="Simplified Arabic" w:cs="Simplified Arabic"/>
          <w:sz w:val="24"/>
          <w:szCs w:val="24"/>
          <w:rtl/>
        </w:rPr>
        <w:t xml:space="preserve"> </w:t>
      </w:r>
      <w:r w:rsidR="00721CE3" w:rsidRPr="00FB52CA">
        <w:rPr>
          <w:rFonts w:ascii="Simplified Arabic" w:hAnsi="Simplified Arabic" w:cs="Simplified Arabic"/>
          <w:b/>
          <w:bCs/>
          <w:sz w:val="24"/>
          <w:szCs w:val="24"/>
          <w:rtl/>
        </w:rPr>
        <w:t>التعدين واستغلال المحاجر</w:t>
      </w:r>
      <w:r w:rsidR="00721CE3" w:rsidRPr="00FB52CA">
        <w:rPr>
          <w:rFonts w:ascii="Simplified Arabic" w:hAnsi="Simplified Arabic" w:cs="Simplified Arabic"/>
          <w:sz w:val="24"/>
          <w:szCs w:val="24"/>
          <w:rtl/>
        </w:rPr>
        <w:t xml:space="preserve"> ا</w:t>
      </w:r>
      <w:r w:rsidR="00721CE3">
        <w:rPr>
          <w:rFonts w:ascii="Simplified Arabic" w:hAnsi="Simplified Arabic" w:cs="Simplified Arabic" w:hint="cs"/>
          <w:sz w:val="24"/>
          <w:szCs w:val="24"/>
          <w:rtl/>
        </w:rPr>
        <w:t>رتفاع</w:t>
      </w:r>
      <w:r w:rsidR="00721CE3" w:rsidRPr="00FB52CA">
        <w:rPr>
          <w:rFonts w:ascii="Simplified Arabic" w:hAnsi="Simplified Arabic" w:cs="Simplified Arabic"/>
          <w:sz w:val="24"/>
          <w:szCs w:val="24"/>
          <w:rtl/>
        </w:rPr>
        <w:t xml:space="preserve">اً </w:t>
      </w:r>
      <w:r w:rsidR="00721CE3">
        <w:rPr>
          <w:rFonts w:ascii="Simplified Arabic" w:hAnsi="Simplified Arabic" w:cs="Simplified Arabic" w:hint="cs"/>
          <w:sz w:val="24"/>
          <w:szCs w:val="24"/>
          <w:rtl/>
        </w:rPr>
        <w:t>نسبته</w:t>
      </w:r>
      <w:r w:rsidR="00721CE3" w:rsidRPr="00FB52CA">
        <w:rPr>
          <w:rFonts w:ascii="Simplified Arabic" w:hAnsi="Simplified Arabic" w:cs="Simplified Arabic"/>
          <w:sz w:val="24"/>
          <w:szCs w:val="24"/>
          <w:rtl/>
        </w:rPr>
        <w:t xml:space="preserve"> </w:t>
      </w:r>
      <w:r w:rsidR="00721CE3">
        <w:rPr>
          <w:rFonts w:ascii="Simplified Arabic" w:hAnsi="Simplified Arabic" w:cs="Simplified Arabic" w:hint="cs"/>
          <w:sz w:val="24"/>
          <w:szCs w:val="24"/>
          <w:rtl/>
        </w:rPr>
        <w:t>0.98</w:t>
      </w:r>
      <w:r w:rsidR="00721CE3">
        <w:rPr>
          <w:rFonts w:ascii="Simplified Arabic" w:hAnsi="Simplified Arabic" w:cs="Simplified Arabic"/>
          <w:sz w:val="24"/>
          <w:szCs w:val="24"/>
          <w:rtl/>
        </w:rPr>
        <w:t>%</w:t>
      </w:r>
      <w:r w:rsidR="00721CE3">
        <w:rPr>
          <w:rFonts w:ascii="Simplified Arabic" w:hAnsi="Simplified Arabic" w:cs="Simplified Arabic" w:hint="cs"/>
          <w:sz w:val="24"/>
          <w:szCs w:val="24"/>
          <w:rtl/>
        </w:rPr>
        <w:t>،</w:t>
      </w:r>
      <w:r w:rsidR="00721CE3" w:rsidRPr="00721CE3">
        <w:rPr>
          <w:rFonts w:ascii="Simplified Arabic" w:hAnsi="Simplified Arabic" w:cs="Simplified Arabic"/>
          <w:sz w:val="24"/>
          <w:szCs w:val="24"/>
          <w:rtl/>
        </w:rPr>
        <w:t xml:space="preserve"> </w:t>
      </w:r>
      <w:r w:rsidR="00721CE3" w:rsidRPr="00FB52CA">
        <w:rPr>
          <w:rFonts w:ascii="Simplified Arabic" w:hAnsi="Simplified Arabic" w:cs="Simplified Arabic"/>
          <w:sz w:val="24"/>
          <w:szCs w:val="24"/>
          <w:rtl/>
        </w:rPr>
        <w:t xml:space="preserve">خلال الربع </w:t>
      </w:r>
      <w:r w:rsidR="00721CE3">
        <w:rPr>
          <w:rFonts w:ascii="Simplified Arabic" w:hAnsi="Simplified Arabic" w:cs="Simplified Arabic" w:hint="cs"/>
          <w:sz w:val="24"/>
          <w:szCs w:val="24"/>
          <w:rtl/>
        </w:rPr>
        <w:t>الرابع</w:t>
      </w:r>
      <w:r w:rsidR="00721CE3" w:rsidRPr="00FB52CA">
        <w:rPr>
          <w:rFonts w:ascii="Simplified Arabic" w:hAnsi="Simplified Arabic" w:cs="Simplified Arabic"/>
          <w:sz w:val="24"/>
          <w:szCs w:val="24"/>
          <w:rtl/>
        </w:rPr>
        <w:t xml:space="preserve"> من العام 2017 مقارنة بالربع </w:t>
      </w:r>
      <w:r w:rsidR="00721CE3">
        <w:rPr>
          <w:rFonts w:ascii="Simplified Arabic" w:hAnsi="Simplified Arabic" w:cs="Simplified Arabic" w:hint="cs"/>
          <w:sz w:val="24"/>
          <w:szCs w:val="24"/>
          <w:rtl/>
        </w:rPr>
        <w:t>الثالث</w:t>
      </w:r>
      <w:r w:rsidR="00721CE3" w:rsidRPr="00FB52CA">
        <w:rPr>
          <w:rFonts w:ascii="Simplified Arabic" w:hAnsi="Simplified Arabic" w:cs="Simplified Arabic"/>
          <w:sz w:val="24"/>
          <w:szCs w:val="24"/>
          <w:rtl/>
        </w:rPr>
        <w:t xml:space="preserve"> من العام 2017.</w:t>
      </w:r>
    </w:p>
    <w:p w:rsidR="00721CE3" w:rsidRPr="00A638B3" w:rsidRDefault="00721CE3" w:rsidP="00721CE3">
      <w:pPr>
        <w:bidi/>
        <w:spacing w:line="240" w:lineRule="auto"/>
        <w:jc w:val="both"/>
        <w:rPr>
          <w:rFonts w:ascii="Simplified Arabic" w:hAnsi="Simplified Arabic" w:cs="Simplified Arabic"/>
          <w:sz w:val="16"/>
          <w:szCs w:val="16"/>
          <w:rtl/>
        </w:rPr>
      </w:pPr>
    </w:p>
    <w:p w:rsidR="00FB52CA" w:rsidRPr="00FB52CA" w:rsidRDefault="00FB52CA" w:rsidP="00C84D6C">
      <w:pPr>
        <w:bidi/>
        <w:spacing w:line="240" w:lineRule="auto"/>
        <w:jc w:val="both"/>
        <w:rPr>
          <w:rFonts w:ascii="Simplified Arabic" w:hAnsi="Simplified Arabic" w:cs="Simplified Arabic"/>
          <w:b/>
          <w:bCs/>
          <w:sz w:val="24"/>
          <w:szCs w:val="24"/>
          <w:rtl/>
        </w:rPr>
      </w:pPr>
      <w:r>
        <w:rPr>
          <w:rFonts w:ascii="Simplified Arabic" w:hAnsi="Simplified Arabic" w:cs="Simplified Arabic" w:hint="cs"/>
          <w:sz w:val="24"/>
          <w:szCs w:val="24"/>
          <w:rtl/>
        </w:rPr>
        <w:t>ارتفعت</w:t>
      </w:r>
      <w:r w:rsidRPr="00FB52CA">
        <w:rPr>
          <w:rFonts w:ascii="Simplified Arabic" w:hAnsi="Simplified Arabic" w:cs="Simplified Arabic"/>
          <w:sz w:val="24"/>
          <w:szCs w:val="24"/>
          <w:rtl/>
        </w:rPr>
        <w:t xml:space="preserve"> أسعار السلع ضمن</w:t>
      </w:r>
      <w:r w:rsidRPr="00FB52CA">
        <w:rPr>
          <w:rFonts w:ascii="Simplified Arabic" w:hAnsi="Simplified Arabic" w:cs="Simplified Arabic"/>
          <w:b/>
          <w:bCs/>
          <w:sz w:val="24"/>
          <w:szCs w:val="24"/>
          <w:rtl/>
        </w:rPr>
        <w:t xml:space="preserve"> نشاط</w:t>
      </w:r>
      <w:r w:rsidRPr="00FB52CA">
        <w:rPr>
          <w:rFonts w:ascii="Simplified Arabic" w:hAnsi="Simplified Arabic" w:cs="Simplified Arabic"/>
          <w:sz w:val="24"/>
          <w:szCs w:val="24"/>
          <w:rtl/>
        </w:rPr>
        <w:t xml:space="preserve"> </w:t>
      </w:r>
      <w:r w:rsidRPr="00FB52CA">
        <w:rPr>
          <w:rFonts w:ascii="Simplified Arabic" w:hAnsi="Simplified Arabic" w:cs="Simplified Arabic"/>
          <w:b/>
          <w:bCs/>
          <w:sz w:val="24"/>
          <w:szCs w:val="24"/>
          <w:rtl/>
        </w:rPr>
        <w:t xml:space="preserve">الزراعة </w:t>
      </w:r>
      <w:r w:rsidRPr="00FB52CA">
        <w:rPr>
          <w:rFonts w:ascii="Simplified Arabic" w:hAnsi="Simplified Arabic" w:cs="Simplified Arabic"/>
          <w:sz w:val="24"/>
          <w:szCs w:val="24"/>
          <w:rtl/>
        </w:rPr>
        <w:t>ب</w:t>
      </w:r>
      <w:r>
        <w:rPr>
          <w:rFonts w:ascii="Simplified Arabic" w:hAnsi="Simplified Arabic" w:cs="Simplified Arabic" w:hint="cs"/>
          <w:sz w:val="24"/>
          <w:szCs w:val="24"/>
          <w:rtl/>
        </w:rPr>
        <w:t>نسبة</w:t>
      </w:r>
      <w:r w:rsidRPr="00FB52CA">
        <w:rPr>
          <w:rFonts w:ascii="Simplified Arabic" w:hAnsi="Simplified Arabic" w:cs="Simplified Arabic"/>
          <w:sz w:val="24"/>
          <w:szCs w:val="24"/>
          <w:rtl/>
        </w:rPr>
        <w:t xml:space="preserve"> </w:t>
      </w:r>
      <w:r w:rsidR="00721CE3">
        <w:rPr>
          <w:rFonts w:ascii="Simplified Arabic" w:hAnsi="Simplified Arabic" w:cs="Simplified Arabic" w:hint="cs"/>
          <w:sz w:val="24"/>
          <w:szCs w:val="24"/>
          <w:rtl/>
        </w:rPr>
        <w:t>0.44</w:t>
      </w:r>
      <w:r w:rsidRPr="00FB52CA">
        <w:rPr>
          <w:rFonts w:ascii="Simplified Arabic" w:hAnsi="Simplified Arabic" w:cs="Simplified Arabic"/>
          <w:sz w:val="24"/>
          <w:szCs w:val="24"/>
          <w:rtl/>
        </w:rPr>
        <w:t xml:space="preserve">%، وذلك </w:t>
      </w:r>
      <w:r>
        <w:rPr>
          <w:rFonts w:ascii="Simplified Arabic" w:hAnsi="Simplified Arabic" w:cs="Simplified Arabic" w:hint="cs"/>
          <w:sz w:val="24"/>
          <w:szCs w:val="24"/>
          <w:rtl/>
        </w:rPr>
        <w:t>لارتفاع</w:t>
      </w:r>
      <w:r w:rsidRPr="00FB52CA">
        <w:rPr>
          <w:rFonts w:ascii="Simplified Arabic" w:hAnsi="Simplified Arabic" w:cs="Simplified Arabic"/>
          <w:sz w:val="24"/>
          <w:szCs w:val="24"/>
          <w:rtl/>
        </w:rPr>
        <w:t xml:space="preserve"> أسعار السلع ضمن نشاط </w:t>
      </w:r>
      <w:r w:rsidR="00721CE3">
        <w:rPr>
          <w:rFonts w:ascii="Simplified Arabic" w:hAnsi="Simplified Arabic" w:cs="Simplified Arabic" w:hint="cs"/>
          <w:b/>
          <w:bCs/>
          <w:sz w:val="24"/>
          <w:szCs w:val="24"/>
          <w:rtl/>
        </w:rPr>
        <w:t>تربية الحيوان</w:t>
      </w:r>
      <w:r w:rsidRPr="00FB52CA">
        <w:rPr>
          <w:rFonts w:ascii="Simplified Arabic" w:hAnsi="Simplified Arabic" w:cs="Simplified Arabic"/>
          <w:sz w:val="24"/>
          <w:szCs w:val="24"/>
          <w:rtl/>
        </w:rPr>
        <w:t xml:space="preserve"> ب</w:t>
      </w:r>
      <w:r>
        <w:rPr>
          <w:rFonts w:ascii="Simplified Arabic" w:hAnsi="Simplified Arabic" w:cs="Simplified Arabic" w:hint="cs"/>
          <w:sz w:val="24"/>
          <w:szCs w:val="24"/>
          <w:rtl/>
        </w:rPr>
        <w:t>نسبة</w:t>
      </w:r>
      <w:r w:rsidRPr="00FB52CA">
        <w:rPr>
          <w:rFonts w:ascii="Simplified Arabic" w:hAnsi="Simplified Arabic" w:cs="Simplified Arabic"/>
          <w:sz w:val="24"/>
          <w:szCs w:val="24"/>
          <w:rtl/>
        </w:rPr>
        <w:t xml:space="preserve"> </w:t>
      </w:r>
      <w:r w:rsidR="00721CE3">
        <w:rPr>
          <w:rFonts w:ascii="Simplified Arabic" w:hAnsi="Simplified Arabic" w:cs="Simplified Arabic" w:hint="cs"/>
          <w:sz w:val="24"/>
          <w:szCs w:val="24"/>
          <w:rtl/>
        </w:rPr>
        <w:t>0.47</w:t>
      </w:r>
      <w:r w:rsidRPr="00FB52CA">
        <w:rPr>
          <w:rFonts w:ascii="Simplified Arabic" w:hAnsi="Simplified Arabic" w:cs="Simplified Arabic"/>
          <w:sz w:val="24"/>
          <w:szCs w:val="24"/>
          <w:rtl/>
        </w:rPr>
        <w:t xml:space="preserve">%، </w:t>
      </w:r>
      <w:r w:rsidR="00721CE3" w:rsidRPr="00FB52CA">
        <w:rPr>
          <w:rFonts w:ascii="Simplified Arabic" w:hAnsi="Simplified Arabic" w:cs="Simplified Arabic"/>
          <w:sz w:val="24"/>
          <w:szCs w:val="24"/>
          <w:rtl/>
        </w:rPr>
        <w:t xml:space="preserve">حيث </w:t>
      </w:r>
      <w:r w:rsidR="00721CE3">
        <w:rPr>
          <w:rFonts w:ascii="Simplified Arabic" w:hAnsi="Simplified Arabic" w:cs="Simplified Arabic" w:hint="cs"/>
          <w:sz w:val="24"/>
          <w:szCs w:val="24"/>
          <w:rtl/>
        </w:rPr>
        <w:t>ارتفعت</w:t>
      </w:r>
      <w:r w:rsidR="00721CE3" w:rsidRPr="00FB52CA">
        <w:rPr>
          <w:rFonts w:ascii="Simplified Arabic" w:hAnsi="Simplified Arabic" w:cs="Simplified Arabic"/>
          <w:sz w:val="24"/>
          <w:szCs w:val="24"/>
          <w:rtl/>
        </w:rPr>
        <w:t xml:space="preserve"> أسعار </w:t>
      </w:r>
      <w:r w:rsidR="00721CE3">
        <w:rPr>
          <w:rFonts w:ascii="Simplified Arabic" w:hAnsi="Simplified Arabic" w:cs="Simplified Arabic" w:hint="cs"/>
          <w:sz w:val="24"/>
          <w:szCs w:val="24"/>
          <w:rtl/>
        </w:rPr>
        <w:t>الحيوانات</w:t>
      </w:r>
      <w:r w:rsidR="00721CE3" w:rsidRPr="00FB52CA">
        <w:rPr>
          <w:rFonts w:ascii="Simplified Arabic" w:hAnsi="Simplified Arabic" w:cs="Simplified Arabic"/>
          <w:sz w:val="24"/>
          <w:szCs w:val="24"/>
          <w:rtl/>
        </w:rPr>
        <w:t xml:space="preserve"> </w:t>
      </w:r>
      <w:r w:rsidR="00721CE3">
        <w:rPr>
          <w:rFonts w:ascii="Simplified Arabic" w:hAnsi="Simplified Arabic" w:cs="Simplified Arabic" w:hint="cs"/>
          <w:sz w:val="24"/>
          <w:szCs w:val="24"/>
          <w:rtl/>
        </w:rPr>
        <w:t>الحية</w:t>
      </w:r>
      <w:r w:rsidR="00721CE3" w:rsidRPr="00FB52CA">
        <w:rPr>
          <w:rFonts w:ascii="Simplified Arabic" w:hAnsi="Simplified Arabic" w:cs="Simplified Arabic"/>
          <w:sz w:val="24"/>
          <w:szCs w:val="24"/>
          <w:rtl/>
        </w:rPr>
        <w:t xml:space="preserve"> ب</w:t>
      </w:r>
      <w:r w:rsidR="00721CE3">
        <w:rPr>
          <w:rFonts w:ascii="Simplified Arabic" w:hAnsi="Simplified Arabic" w:cs="Simplified Arabic" w:hint="cs"/>
          <w:sz w:val="24"/>
          <w:szCs w:val="24"/>
          <w:rtl/>
        </w:rPr>
        <w:t>نسبة</w:t>
      </w:r>
      <w:r w:rsidR="00721CE3" w:rsidRPr="00FB52CA">
        <w:rPr>
          <w:rFonts w:ascii="Simplified Arabic" w:hAnsi="Simplified Arabic" w:cs="Simplified Arabic"/>
          <w:sz w:val="24"/>
          <w:szCs w:val="24"/>
          <w:rtl/>
        </w:rPr>
        <w:t xml:space="preserve"> </w:t>
      </w:r>
      <w:r w:rsidR="00721CE3">
        <w:rPr>
          <w:rFonts w:ascii="Simplified Arabic" w:hAnsi="Simplified Arabic" w:cs="Simplified Arabic" w:hint="cs"/>
          <w:sz w:val="24"/>
          <w:szCs w:val="24"/>
          <w:rtl/>
        </w:rPr>
        <w:t>1.35</w:t>
      </w:r>
      <w:r w:rsidR="00721CE3" w:rsidRPr="00FB52CA">
        <w:rPr>
          <w:rFonts w:ascii="Simplified Arabic" w:hAnsi="Simplified Arabic" w:cs="Simplified Arabic"/>
          <w:sz w:val="24"/>
          <w:szCs w:val="24"/>
          <w:rtl/>
        </w:rPr>
        <w:t>%.</w:t>
      </w:r>
      <w:r w:rsidR="00721CE3">
        <w:rPr>
          <w:rFonts w:ascii="Simplified Arabic" w:hAnsi="Simplified Arabic" w:cs="Simplified Arabic" w:hint="cs"/>
          <w:sz w:val="24"/>
          <w:szCs w:val="24"/>
          <w:rtl/>
        </w:rPr>
        <w:t xml:space="preserve"> كما ارتفعت أسعار السلع ضمن نشاط </w:t>
      </w:r>
      <w:r w:rsidR="00721CE3" w:rsidRPr="00C84D6C">
        <w:rPr>
          <w:rFonts w:ascii="Simplified Arabic" w:hAnsi="Simplified Arabic" w:cs="Simplified Arabic" w:hint="cs"/>
          <w:b/>
          <w:bCs/>
          <w:sz w:val="24"/>
          <w:szCs w:val="24"/>
          <w:rtl/>
        </w:rPr>
        <w:t>زراعة المحاصيل</w:t>
      </w:r>
      <w:r w:rsidR="00721CE3">
        <w:rPr>
          <w:rFonts w:ascii="Simplified Arabic" w:hAnsi="Simplified Arabic" w:cs="Simplified Arabic" w:hint="cs"/>
          <w:sz w:val="24"/>
          <w:szCs w:val="24"/>
          <w:rtl/>
        </w:rPr>
        <w:t xml:space="preserve"> بنسبة </w:t>
      </w:r>
      <w:r w:rsidR="00C84D6C">
        <w:rPr>
          <w:rFonts w:ascii="Simplified Arabic" w:hAnsi="Simplified Arabic" w:cs="Simplified Arabic" w:hint="cs"/>
          <w:sz w:val="24"/>
          <w:szCs w:val="24"/>
          <w:rtl/>
        </w:rPr>
        <w:t xml:space="preserve">0.43%، </w:t>
      </w:r>
      <w:r w:rsidRPr="00FB52CA">
        <w:rPr>
          <w:rFonts w:ascii="Simplified Arabic" w:hAnsi="Simplified Arabic" w:cs="Simplified Arabic"/>
          <w:sz w:val="24"/>
          <w:szCs w:val="24"/>
          <w:rtl/>
        </w:rPr>
        <w:t xml:space="preserve">حيث </w:t>
      </w:r>
      <w:r>
        <w:rPr>
          <w:rFonts w:ascii="Simplified Arabic" w:hAnsi="Simplified Arabic" w:cs="Simplified Arabic" w:hint="cs"/>
          <w:sz w:val="24"/>
          <w:szCs w:val="24"/>
          <w:rtl/>
        </w:rPr>
        <w:t>ارتفعت</w:t>
      </w:r>
      <w:r w:rsidRPr="00FB52CA">
        <w:rPr>
          <w:rFonts w:ascii="Simplified Arabic" w:hAnsi="Simplified Arabic" w:cs="Simplified Arabic"/>
          <w:sz w:val="24"/>
          <w:szCs w:val="24"/>
          <w:rtl/>
        </w:rPr>
        <w:t xml:space="preserve"> أسعار ال</w:t>
      </w:r>
      <w:r w:rsidR="00C84D6C">
        <w:rPr>
          <w:rFonts w:ascii="Simplified Arabic" w:hAnsi="Simplified Arabic" w:cs="Simplified Arabic" w:hint="cs"/>
          <w:sz w:val="24"/>
          <w:szCs w:val="24"/>
          <w:rtl/>
        </w:rPr>
        <w:t>فواكه</w:t>
      </w:r>
      <w:r w:rsidRPr="00FB52CA">
        <w:rPr>
          <w:rFonts w:ascii="Simplified Arabic" w:hAnsi="Simplified Arabic" w:cs="Simplified Arabic"/>
          <w:sz w:val="24"/>
          <w:szCs w:val="24"/>
          <w:rtl/>
        </w:rPr>
        <w:t xml:space="preserve"> الطازجة </w:t>
      </w:r>
      <w:r>
        <w:rPr>
          <w:rFonts w:ascii="Simplified Arabic" w:hAnsi="Simplified Arabic" w:cs="Simplified Arabic" w:hint="cs"/>
          <w:sz w:val="24"/>
          <w:szCs w:val="24"/>
          <w:rtl/>
        </w:rPr>
        <w:t>بنسبة</w:t>
      </w:r>
      <w:r w:rsidRPr="00FB52CA">
        <w:rPr>
          <w:rFonts w:ascii="Simplified Arabic" w:hAnsi="Simplified Arabic" w:cs="Simplified Arabic"/>
          <w:sz w:val="24"/>
          <w:szCs w:val="24"/>
          <w:rtl/>
        </w:rPr>
        <w:t xml:space="preserve"> </w:t>
      </w:r>
      <w:r w:rsidR="00C84D6C">
        <w:rPr>
          <w:rFonts w:ascii="Simplified Arabic" w:hAnsi="Simplified Arabic" w:cs="Simplified Arabic" w:hint="cs"/>
          <w:sz w:val="24"/>
          <w:szCs w:val="24"/>
          <w:rtl/>
        </w:rPr>
        <w:t>8.29</w:t>
      </w:r>
      <w:r w:rsidRPr="00FB52CA">
        <w:rPr>
          <w:rFonts w:ascii="Simplified Arabic" w:hAnsi="Simplified Arabic" w:cs="Simplified Arabic"/>
          <w:sz w:val="24"/>
          <w:szCs w:val="24"/>
          <w:rtl/>
        </w:rPr>
        <w:t xml:space="preserve">%، </w:t>
      </w:r>
      <w:r w:rsidR="00C84D6C">
        <w:rPr>
          <w:rFonts w:ascii="Simplified Arabic" w:hAnsi="Simplified Arabic" w:cs="Simplified Arabic" w:hint="cs"/>
          <w:sz w:val="24"/>
          <w:szCs w:val="24"/>
          <w:rtl/>
        </w:rPr>
        <w:t xml:space="preserve">على الرغم من انخفاض أسعار الخضروات الطازجة والمجففة بمقدار 3.40%. </w:t>
      </w:r>
      <w:r w:rsidRPr="00FB52CA">
        <w:rPr>
          <w:rFonts w:ascii="Simplified Arabic" w:hAnsi="Simplified Arabic" w:cs="Simplified Arabic"/>
          <w:sz w:val="24"/>
          <w:szCs w:val="24"/>
          <w:rtl/>
        </w:rPr>
        <w:t xml:space="preserve"> </w:t>
      </w:r>
    </w:p>
    <w:p w:rsidR="004E147E" w:rsidRPr="00D709F9" w:rsidRDefault="004E147E" w:rsidP="004E147E">
      <w:pPr>
        <w:bidi/>
        <w:spacing w:line="240" w:lineRule="auto"/>
        <w:jc w:val="both"/>
        <w:rPr>
          <w:rFonts w:ascii="Simplified Arabic" w:hAnsi="Simplified Arabic" w:cs="Simplified Arabic"/>
          <w:sz w:val="16"/>
          <w:szCs w:val="16"/>
          <w:rtl/>
        </w:rPr>
      </w:pPr>
    </w:p>
    <w:p w:rsidR="0091136C" w:rsidRPr="00FB52CA" w:rsidRDefault="00FB52CA" w:rsidP="00057031">
      <w:pPr>
        <w:bidi/>
        <w:spacing w:line="240" w:lineRule="auto"/>
        <w:ind w:left="24"/>
        <w:jc w:val="both"/>
        <w:rPr>
          <w:rFonts w:ascii="Simplified Arabic" w:hAnsi="Simplified Arabic" w:cs="Simplified Arabic"/>
          <w:sz w:val="24"/>
          <w:szCs w:val="24"/>
          <w:rtl/>
        </w:rPr>
      </w:pPr>
      <w:r w:rsidRPr="00FB52CA">
        <w:rPr>
          <w:rFonts w:ascii="Simplified Arabic" w:hAnsi="Simplified Arabic" w:cs="Simplified Arabic"/>
          <w:sz w:val="24"/>
          <w:szCs w:val="24"/>
          <w:rtl/>
        </w:rPr>
        <w:t xml:space="preserve">الجدول يوضح الأهمية النسبية ونسب التغّير الربعية في الرقم القياسي لأسعار الجملة بحسب الأنشطة الرئيسية في فلسطين خلال الربع </w:t>
      </w:r>
      <w:r w:rsidR="0091136C">
        <w:rPr>
          <w:rFonts w:ascii="Simplified Arabic" w:hAnsi="Simplified Arabic" w:cs="Simplified Arabic" w:hint="cs"/>
          <w:sz w:val="24"/>
          <w:szCs w:val="24"/>
          <w:rtl/>
        </w:rPr>
        <w:t xml:space="preserve">الأول </w:t>
      </w:r>
      <w:r w:rsidRPr="00FB52CA">
        <w:rPr>
          <w:rFonts w:ascii="Simplified Arabic" w:hAnsi="Simplified Arabic" w:cs="Simplified Arabic"/>
          <w:sz w:val="24"/>
          <w:szCs w:val="24"/>
          <w:rtl/>
        </w:rPr>
        <w:t xml:space="preserve">– الربع </w:t>
      </w:r>
      <w:r w:rsidR="00057031">
        <w:rPr>
          <w:rFonts w:ascii="Simplified Arabic" w:hAnsi="Simplified Arabic" w:cs="Simplified Arabic" w:hint="cs"/>
          <w:sz w:val="24"/>
          <w:szCs w:val="24"/>
          <w:rtl/>
        </w:rPr>
        <w:t>الرابع</w:t>
      </w:r>
      <w:r w:rsidRPr="00FB52CA">
        <w:rPr>
          <w:rFonts w:ascii="Simplified Arabic" w:hAnsi="Simplified Arabic" w:cs="Simplified Arabic"/>
          <w:sz w:val="24"/>
          <w:szCs w:val="24"/>
          <w:rtl/>
        </w:rPr>
        <w:t xml:space="preserve"> 2017:</w:t>
      </w:r>
    </w:p>
    <w:p w:rsidR="00FB52CA" w:rsidRPr="00A0752E" w:rsidRDefault="00FB52CA" w:rsidP="00FB52CA">
      <w:pPr>
        <w:bidi/>
        <w:spacing w:line="240" w:lineRule="auto"/>
        <w:jc w:val="center"/>
        <w:rPr>
          <w:rFonts w:ascii="Simplified Arabic" w:hAnsi="Simplified Arabic" w:cs="Simplified Arabic"/>
          <w:sz w:val="16"/>
          <w:szCs w:val="16"/>
          <w:rtl/>
        </w:rPr>
      </w:pPr>
    </w:p>
    <w:tbl>
      <w:tblPr>
        <w:bidiVisual/>
        <w:tblW w:w="6581" w:type="dxa"/>
        <w:jc w:val="center"/>
        <w:tblInd w:w="-1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2187"/>
        <w:gridCol w:w="849"/>
        <w:gridCol w:w="954"/>
        <w:gridCol w:w="798"/>
        <w:gridCol w:w="982"/>
        <w:gridCol w:w="811"/>
      </w:tblGrid>
      <w:tr w:rsidR="00057031" w:rsidRPr="00A638B3" w:rsidTr="00A638B3">
        <w:trPr>
          <w:tblHeader/>
          <w:jc w:val="center"/>
        </w:trPr>
        <w:tc>
          <w:tcPr>
            <w:tcW w:w="2187" w:type="dxa"/>
            <w:vMerge w:val="restart"/>
            <w:vAlign w:val="center"/>
          </w:tcPr>
          <w:p w:rsidR="00057031" w:rsidRPr="00A638B3" w:rsidRDefault="00057031" w:rsidP="00A638B3">
            <w:pPr>
              <w:bidi/>
              <w:spacing w:line="240" w:lineRule="auto"/>
              <w:jc w:val="center"/>
              <w:rPr>
                <w:rFonts w:asciiTheme="majorBidi" w:hAnsiTheme="majorBidi" w:cstheme="majorBidi"/>
                <w:b/>
                <w:bCs/>
                <w:sz w:val="24"/>
                <w:szCs w:val="24"/>
                <w:rtl/>
              </w:rPr>
            </w:pPr>
            <w:r w:rsidRPr="00A638B3">
              <w:rPr>
                <w:rFonts w:asciiTheme="majorBidi" w:hAnsiTheme="majorBidi" w:cstheme="majorBidi"/>
                <w:b/>
                <w:bCs/>
                <w:sz w:val="24"/>
                <w:szCs w:val="24"/>
                <w:rtl/>
              </w:rPr>
              <w:t>الأنشطة الرئيسية</w:t>
            </w:r>
          </w:p>
        </w:tc>
        <w:tc>
          <w:tcPr>
            <w:tcW w:w="849" w:type="dxa"/>
            <w:vMerge w:val="restart"/>
            <w:vAlign w:val="center"/>
          </w:tcPr>
          <w:p w:rsidR="00057031" w:rsidRPr="00A638B3" w:rsidRDefault="00057031" w:rsidP="00A638B3">
            <w:pPr>
              <w:bidi/>
              <w:spacing w:line="240" w:lineRule="auto"/>
              <w:jc w:val="center"/>
              <w:rPr>
                <w:rFonts w:asciiTheme="majorBidi" w:hAnsiTheme="majorBidi" w:cstheme="majorBidi"/>
                <w:b/>
                <w:bCs/>
                <w:sz w:val="24"/>
                <w:szCs w:val="24"/>
                <w:rtl/>
              </w:rPr>
            </w:pPr>
            <w:r w:rsidRPr="00A638B3">
              <w:rPr>
                <w:rFonts w:asciiTheme="majorBidi" w:hAnsiTheme="majorBidi" w:cstheme="majorBidi"/>
                <w:b/>
                <w:bCs/>
                <w:sz w:val="24"/>
                <w:szCs w:val="24"/>
                <w:rtl/>
              </w:rPr>
              <w:t>الأهمية النسبية</w:t>
            </w:r>
          </w:p>
        </w:tc>
        <w:tc>
          <w:tcPr>
            <w:tcW w:w="3545" w:type="dxa"/>
            <w:gridSpan w:val="4"/>
            <w:vAlign w:val="center"/>
          </w:tcPr>
          <w:p w:rsidR="00057031" w:rsidRPr="00A638B3" w:rsidRDefault="00057031" w:rsidP="00A638B3">
            <w:pPr>
              <w:bidi/>
              <w:spacing w:line="240" w:lineRule="auto"/>
              <w:jc w:val="center"/>
              <w:rPr>
                <w:rFonts w:asciiTheme="majorBidi" w:hAnsiTheme="majorBidi" w:cstheme="majorBidi"/>
                <w:b/>
                <w:bCs/>
                <w:sz w:val="24"/>
                <w:szCs w:val="24"/>
                <w:rtl/>
              </w:rPr>
            </w:pPr>
            <w:r w:rsidRPr="00A638B3">
              <w:rPr>
                <w:rFonts w:asciiTheme="majorBidi" w:hAnsiTheme="majorBidi" w:cstheme="majorBidi"/>
                <w:b/>
                <w:bCs/>
                <w:sz w:val="24"/>
                <w:szCs w:val="24"/>
                <w:rtl/>
              </w:rPr>
              <w:t xml:space="preserve">نسب التغّير </w:t>
            </w:r>
            <w:proofErr w:type="spellStart"/>
            <w:r w:rsidRPr="00A638B3">
              <w:rPr>
                <w:rFonts w:asciiTheme="majorBidi" w:hAnsiTheme="majorBidi" w:cstheme="majorBidi"/>
                <w:b/>
                <w:bCs/>
                <w:sz w:val="24"/>
                <w:szCs w:val="24"/>
                <w:rtl/>
              </w:rPr>
              <w:t>الربعية</w:t>
            </w:r>
            <w:proofErr w:type="spellEnd"/>
          </w:p>
        </w:tc>
      </w:tr>
      <w:tr w:rsidR="00057031" w:rsidRPr="00A638B3" w:rsidTr="00A638B3">
        <w:trPr>
          <w:tblHeader/>
          <w:jc w:val="center"/>
        </w:trPr>
        <w:tc>
          <w:tcPr>
            <w:tcW w:w="2187" w:type="dxa"/>
            <w:vMerge/>
            <w:vAlign w:val="center"/>
          </w:tcPr>
          <w:p w:rsidR="00057031" w:rsidRPr="00A638B3" w:rsidRDefault="00057031" w:rsidP="00A638B3">
            <w:pPr>
              <w:bidi/>
              <w:spacing w:line="240" w:lineRule="auto"/>
              <w:jc w:val="center"/>
              <w:rPr>
                <w:rFonts w:asciiTheme="majorBidi" w:hAnsiTheme="majorBidi" w:cstheme="majorBidi"/>
                <w:b/>
                <w:bCs/>
                <w:sz w:val="24"/>
                <w:szCs w:val="24"/>
                <w:rtl/>
              </w:rPr>
            </w:pPr>
          </w:p>
        </w:tc>
        <w:tc>
          <w:tcPr>
            <w:tcW w:w="849" w:type="dxa"/>
            <w:vMerge/>
            <w:vAlign w:val="center"/>
          </w:tcPr>
          <w:p w:rsidR="00057031" w:rsidRPr="00A638B3" w:rsidRDefault="00057031" w:rsidP="00A638B3">
            <w:pPr>
              <w:bidi/>
              <w:spacing w:line="240" w:lineRule="auto"/>
              <w:jc w:val="center"/>
              <w:rPr>
                <w:rFonts w:asciiTheme="majorBidi" w:hAnsiTheme="majorBidi" w:cstheme="majorBidi"/>
                <w:b/>
                <w:bCs/>
                <w:sz w:val="24"/>
                <w:szCs w:val="24"/>
                <w:rtl/>
              </w:rPr>
            </w:pPr>
          </w:p>
        </w:tc>
        <w:tc>
          <w:tcPr>
            <w:tcW w:w="3545" w:type="dxa"/>
            <w:gridSpan w:val="4"/>
            <w:vAlign w:val="center"/>
          </w:tcPr>
          <w:p w:rsidR="00057031" w:rsidRPr="00A638B3" w:rsidRDefault="00057031" w:rsidP="00A638B3">
            <w:pPr>
              <w:bidi/>
              <w:spacing w:line="240" w:lineRule="auto"/>
              <w:jc w:val="center"/>
              <w:rPr>
                <w:rFonts w:asciiTheme="majorBidi" w:hAnsiTheme="majorBidi" w:cstheme="majorBidi"/>
                <w:b/>
                <w:bCs/>
                <w:sz w:val="24"/>
                <w:szCs w:val="24"/>
                <w:rtl/>
              </w:rPr>
            </w:pPr>
            <w:r w:rsidRPr="00A638B3">
              <w:rPr>
                <w:rFonts w:asciiTheme="majorBidi" w:hAnsiTheme="majorBidi" w:cstheme="majorBidi"/>
                <w:b/>
                <w:bCs/>
                <w:sz w:val="24"/>
                <w:szCs w:val="24"/>
                <w:rtl/>
              </w:rPr>
              <w:t>2017</w:t>
            </w:r>
          </w:p>
        </w:tc>
      </w:tr>
      <w:tr w:rsidR="00057031" w:rsidRPr="00A638B3" w:rsidTr="00A638B3">
        <w:trPr>
          <w:trHeight w:val="582"/>
          <w:tblHeader/>
          <w:jc w:val="center"/>
        </w:trPr>
        <w:tc>
          <w:tcPr>
            <w:tcW w:w="2187" w:type="dxa"/>
            <w:vMerge/>
            <w:vAlign w:val="center"/>
          </w:tcPr>
          <w:p w:rsidR="00057031" w:rsidRPr="00A638B3" w:rsidRDefault="00057031" w:rsidP="00A638B3">
            <w:pPr>
              <w:bidi/>
              <w:spacing w:line="240" w:lineRule="auto"/>
              <w:jc w:val="center"/>
              <w:rPr>
                <w:rFonts w:asciiTheme="majorBidi" w:hAnsiTheme="majorBidi" w:cstheme="majorBidi"/>
                <w:b/>
                <w:bCs/>
                <w:sz w:val="24"/>
                <w:szCs w:val="24"/>
                <w:rtl/>
              </w:rPr>
            </w:pPr>
          </w:p>
        </w:tc>
        <w:tc>
          <w:tcPr>
            <w:tcW w:w="849" w:type="dxa"/>
            <w:vMerge/>
            <w:vAlign w:val="center"/>
          </w:tcPr>
          <w:p w:rsidR="00057031" w:rsidRPr="00A638B3" w:rsidRDefault="00057031" w:rsidP="00A638B3">
            <w:pPr>
              <w:bidi/>
              <w:spacing w:line="240" w:lineRule="auto"/>
              <w:jc w:val="center"/>
              <w:rPr>
                <w:rFonts w:asciiTheme="majorBidi" w:hAnsiTheme="majorBidi" w:cstheme="majorBidi"/>
                <w:b/>
                <w:bCs/>
                <w:sz w:val="24"/>
                <w:szCs w:val="24"/>
                <w:rtl/>
              </w:rPr>
            </w:pPr>
          </w:p>
        </w:tc>
        <w:tc>
          <w:tcPr>
            <w:tcW w:w="954" w:type="dxa"/>
          </w:tcPr>
          <w:p w:rsidR="00057031" w:rsidRPr="00A638B3" w:rsidRDefault="00057031" w:rsidP="00A638B3">
            <w:pPr>
              <w:bidi/>
              <w:spacing w:line="240" w:lineRule="auto"/>
              <w:jc w:val="center"/>
              <w:rPr>
                <w:rFonts w:asciiTheme="majorBidi" w:hAnsiTheme="majorBidi" w:cstheme="majorBidi"/>
                <w:b/>
                <w:bCs/>
                <w:sz w:val="24"/>
                <w:szCs w:val="24"/>
                <w:rtl/>
              </w:rPr>
            </w:pPr>
            <w:r w:rsidRPr="00A638B3">
              <w:rPr>
                <w:rFonts w:asciiTheme="majorBidi" w:hAnsiTheme="majorBidi" w:cstheme="majorBidi"/>
                <w:b/>
                <w:bCs/>
                <w:sz w:val="24"/>
                <w:szCs w:val="24"/>
                <w:rtl/>
              </w:rPr>
              <w:t>الربع الأول</w:t>
            </w:r>
          </w:p>
        </w:tc>
        <w:tc>
          <w:tcPr>
            <w:tcW w:w="798" w:type="dxa"/>
          </w:tcPr>
          <w:p w:rsidR="00057031" w:rsidRPr="00A638B3" w:rsidRDefault="00057031" w:rsidP="00A638B3">
            <w:pPr>
              <w:bidi/>
              <w:spacing w:line="240" w:lineRule="auto"/>
              <w:jc w:val="center"/>
              <w:rPr>
                <w:rFonts w:asciiTheme="majorBidi" w:hAnsiTheme="majorBidi" w:cstheme="majorBidi"/>
                <w:b/>
                <w:bCs/>
                <w:sz w:val="24"/>
                <w:szCs w:val="24"/>
                <w:rtl/>
              </w:rPr>
            </w:pPr>
            <w:r w:rsidRPr="00A638B3">
              <w:rPr>
                <w:rFonts w:asciiTheme="majorBidi" w:hAnsiTheme="majorBidi" w:cstheme="majorBidi"/>
                <w:b/>
                <w:bCs/>
                <w:sz w:val="24"/>
                <w:szCs w:val="24"/>
                <w:rtl/>
              </w:rPr>
              <w:t>الربع الثاني</w:t>
            </w:r>
          </w:p>
        </w:tc>
        <w:tc>
          <w:tcPr>
            <w:tcW w:w="982" w:type="dxa"/>
          </w:tcPr>
          <w:p w:rsidR="00057031" w:rsidRPr="00A638B3" w:rsidRDefault="00057031" w:rsidP="00A638B3">
            <w:pPr>
              <w:bidi/>
              <w:spacing w:line="240" w:lineRule="auto"/>
              <w:jc w:val="center"/>
              <w:rPr>
                <w:rFonts w:asciiTheme="majorBidi" w:hAnsiTheme="majorBidi" w:cstheme="majorBidi"/>
                <w:b/>
                <w:bCs/>
                <w:sz w:val="24"/>
                <w:szCs w:val="24"/>
                <w:rtl/>
              </w:rPr>
            </w:pPr>
            <w:r w:rsidRPr="00A638B3">
              <w:rPr>
                <w:rFonts w:asciiTheme="majorBidi" w:hAnsiTheme="majorBidi" w:cstheme="majorBidi"/>
                <w:b/>
                <w:bCs/>
                <w:sz w:val="24"/>
                <w:szCs w:val="24"/>
                <w:rtl/>
              </w:rPr>
              <w:t>الربع الثالث</w:t>
            </w:r>
          </w:p>
        </w:tc>
        <w:tc>
          <w:tcPr>
            <w:tcW w:w="811" w:type="dxa"/>
          </w:tcPr>
          <w:p w:rsidR="00057031" w:rsidRPr="00A638B3" w:rsidRDefault="00057031" w:rsidP="00A638B3">
            <w:pPr>
              <w:bidi/>
              <w:spacing w:line="240" w:lineRule="auto"/>
              <w:jc w:val="center"/>
              <w:rPr>
                <w:rFonts w:asciiTheme="majorBidi" w:hAnsiTheme="majorBidi" w:cstheme="majorBidi"/>
                <w:b/>
                <w:bCs/>
                <w:sz w:val="24"/>
                <w:szCs w:val="24"/>
                <w:rtl/>
              </w:rPr>
            </w:pPr>
            <w:r w:rsidRPr="00A638B3">
              <w:rPr>
                <w:rFonts w:asciiTheme="majorBidi" w:hAnsiTheme="majorBidi" w:cstheme="majorBidi"/>
                <w:b/>
                <w:bCs/>
                <w:sz w:val="24"/>
                <w:szCs w:val="24"/>
                <w:rtl/>
              </w:rPr>
              <w:t>الربع الرابع</w:t>
            </w:r>
          </w:p>
        </w:tc>
      </w:tr>
      <w:tr w:rsidR="00057031" w:rsidRPr="00A638B3" w:rsidTr="00A638B3">
        <w:trPr>
          <w:tblHeader/>
          <w:jc w:val="center"/>
        </w:trPr>
        <w:tc>
          <w:tcPr>
            <w:tcW w:w="2187" w:type="dxa"/>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الزراعة</w:t>
            </w:r>
          </w:p>
        </w:tc>
        <w:tc>
          <w:tcPr>
            <w:tcW w:w="849"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29%</w:t>
            </w:r>
          </w:p>
        </w:tc>
        <w:tc>
          <w:tcPr>
            <w:tcW w:w="954"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+2.58</w:t>
            </w:r>
          </w:p>
        </w:tc>
        <w:tc>
          <w:tcPr>
            <w:tcW w:w="798"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-8.12</w:t>
            </w:r>
          </w:p>
        </w:tc>
        <w:tc>
          <w:tcPr>
            <w:tcW w:w="982"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+6.26</w:t>
            </w:r>
          </w:p>
        </w:tc>
        <w:tc>
          <w:tcPr>
            <w:tcW w:w="811" w:type="dxa"/>
            <w:vAlign w:val="center"/>
          </w:tcPr>
          <w:p w:rsidR="00057031" w:rsidRPr="00A638B3" w:rsidRDefault="00B46407"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w:t>
            </w:r>
            <w:r w:rsidR="00057031" w:rsidRPr="00A638B3">
              <w:rPr>
                <w:rFonts w:asciiTheme="majorBidi" w:hAnsiTheme="majorBidi" w:cstheme="majorBidi"/>
                <w:sz w:val="24"/>
                <w:szCs w:val="24"/>
                <w:rtl/>
              </w:rPr>
              <w:t>0.44</w:t>
            </w:r>
          </w:p>
        </w:tc>
      </w:tr>
      <w:tr w:rsidR="00057031" w:rsidRPr="00A638B3" w:rsidTr="00A638B3">
        <w:trPr>
          <w:trHeight w:val="208"/>
          <w:tblHeader/>
          <w:jc w:val="center"/>
        </w:trPr>
        <w:tc>
          <w:tcPr>
            <w:tcW w:w="2187" w:type="dxa"/>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صيد الأسماك</w:t>
            </w:r>
          </w:p>
        </w:tc>
        <w:tc>
          <w:tcPr>
            <w:tcW w:w="849"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0.10%</w:t>
            </w:r>
          </w:p>
        </w:tc>
        <w:tc>
          <w:tcPr>
            <w:tcW w:w="954"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-24.05</w:t>
            </w:r>
          </w:p>
        </w:tc>
        <w:tc>
          <w:tcPr>
            <w:tcW w:w="798"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+9.66</w:t>
            </w:r>
          </w:p>
        </w:tc>
        <w:tc>
          <w:tcPr>
            <w:tcW w:w="982"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-5.96</w:t>
            </w:r>
          </w:p>
        </w:tc>
        <w:tc>
          <w:tcPr>
            <w:tcW w:w="811" w:type="dxa"/>
            <w:vAlign w:val="center"/>
          </w:tcPr>
          <w:p w:rsidR="00057031" w:rsidRPr="00A638B3" w:rsidRDefault="00B46407"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w:t>
            </w:r>
            <w:r w:rsidR="00057031" w:rsidRPr="00A638B3">
              <w:rPr>
                <w:rFonts w:asciiTheme="majorBidi" w:hAnsiTheme="majorBidi" w:cstheme="majorBidi"/>
                <w:sz w:val="24"/>
                <w:szCs w:val="24"/>
                <w:rtl/>
              </w:rPr>
              <w:t>2.20</w:t>
            </w:r>
          </w:p>
        </w:tc>
      </w:tr>
      <w:tr w:rsidR="00057031" w:rsidRPr="00A638B3" w:rsidTr="00A638B3">
        <w:trPr>
          <w:trHeight w:val="313"/>
          <w:tblHeader/>
          <w:jc w:val="center"/>
        </w:trPr>
        <w:tc>
          <w:tcPr>
            <w:tcW w:w="2187" w:type="dxa"/>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التعدين واستغلال المحاجر</w:t>
            </w:r>
          </w:p>
        </w:tc>
        <w:tc>
          <w:tcPr>
            <w:tcW w:w="849"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0.90%</w:t>
            </w:r>
          </w:p>
        </w:tc>
        <w:tc>
          <w:tcPr>
            <w:tcW w:w="954"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+4.23</w:t>
            </w:r>
          </w:p>
        </w:tc>
        <w:tc>
          <w:tcPr>
            <w:tcW w:w="798"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+1.78</w:t>
            </w:r>
          </w:p>
        </w:tc>
        <w:tc>
          <w:tcPr>
            <w:tcW w:w="982"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-0.78</w:t>
            </w:r>
          </w:p>
        </w:tc>
        <w:tc>
          <w:tcPr>
            <w:tcW w:w="811" w:type="dxa"/>
            <w:vAlign w:val="center"/>
          </w:tcPr>
          <w:p w:rsidR="00057031" w:rsidRPr="00A638B3" w:rsidRDefault="00B46407"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w:t>
            </w:r>
            <w:r w:rsidR="00057031" w:rsidRPr="00A638B3">
              <w:rPr>
                <w:rFonts w:asciiTheme="majorBidi" w:hAnsiTheme="majorBidi" w:cstheme="majorBidi"/>
                <w:sz w:val="24"/>
                <w:szCs w:val="24"/>
                <w:rtl/>
              </w:rPr>
              <w:t>0.98</w:t>
            </w:r>
          </w:p>
        </w:tc>
      </w:tr>
      <w:tr w:rsidR="00057031" w:rsidRPr="00A638B3" w:rsidTr="00A638B3">
        <w:trPr>
          <w:trHeight w:val="260"/>
          <w:tblHeader/>
          <w:jc w:val="center"/>
        </w:trPr>
        <w:tc>
          <w:tcPr>
            <w:tcW w:w="2187" w:type="dxa"/>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الصناعات التحويلية</w:t>
            </w:r>
          </w:p>
        </w:tc>
        <w:tc>
          <w:tcPr>
            <w:tcW w:w="849"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70%</w:t>
            </w:r>
          </w:p>
        </w:tc>
        <w:tc>
          <w:tcPr>
            <w:tcW w:w="954"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-0.58</w:t>
            </w:r>
          </w:p>
        </w:tc>
        <w:tc>
          <w:tcPr>
            <w:tcW w:w="798"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-0.77</w:t>
            </w:r>
          </w:p>
        </w:tc>
        <w:tc>
          <w:tcPr>
            <w:tcW w:w="982" w:type="dxa"/>
            <w:vAlign w:val="center"/>
          </w:tcPr>
          <w:p w:rsidR="00057031" w:rsidRPr="00A638B3" w:rsidRDefault="00057031"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+0.31</w:t>
            </w:r>
          </w:p>
        </w:tc>
        <w:tc>
          <w:tcPr>
            <w:tcW w:w="811" w:type="dxa"/>
            <w:vAlign w:val="center"/>
          </w:tcPr>
          <w:p w:rsidR="00057031" w:rsidRPr="00A638B3" w:rsidRDefault="00B46407" w:rsidP="00A638B3">
            <w:pPr>
              <w:bidi/>
              <w:spacing w:line="240" w:lineRule="auto"/>
              <w:rPr>
                <w:rFonts w:asciiTheme="majorBidi" w:hAnsiTheme="majorBidi" w:cstheme="majorBidi"/>
                <w:sz w:val="24"/>
                <w:szCs w:val="24"/>
                <w:rtl/>
              </w:rPr>
            </w:pPr>
            <w:r w:rsidRPr="00A638B3">
              <w:rPr>
                <w:rFonts w:asciiTheme="majorBidi" w:hAnsiTheme="majorBidi" w:cstheme="majorBidi"/>
                <w:sz w:val="24"/>
                <w:szCs w:val="24"/>
                <w:rtl/>
              </w:rPr>
              <w:t>-</w:t>
            </w:r>
            <w:r w:rsidR="00057031" w:rsidRPr="00A638B3">
              <w:rPr>
                <w:rFonts w:asciiTheme="majorBidi" w:hAnsiTheme="majorBidi" w:cstheme="majorBidi"/>
                <w:sz w:val="24"/>
                <w:szCs w:val="24"/>
                <w:rtl/>
              </w:rPr>
              <w:t>0.46</w:t>
            </w:r>
          </w:p>
        </w:tc>
      </w:tr>
      <w:tr w:rsidR="00057031" w:rsidRPr="00A638B3" w:rsidTr="00A638B3">
        <w:trPr>
          <w:tblHeader/>
          <w:jc w:val="center"/>
        </w:trPr>
        <w:tc>
          <w:tcPr>
            <w:tcW w:w="2187" w:type="dxa"/>
          </w:tcPr>
          <w:p w:rsidR="00057031" w:rsidRPr="00A638B3" w:rsidRDefault="00057031" w:rsidP="00A638B3">
            <w:pPr>
              <w:bidi/>
              <w:spacing w:line="240" w:lineRule="auto"/>
              <w:rPr>
                <w:rFonts w:asciiTheme="majorBidi" w:hAnsiTheme="majorBidi" w:cstheme="majorBidi"/>
                <w:b/>
                <w:bCs/>
                <w:sz w:val="24"/>
                <w:szCs w:val="24"/>
                <w:rtl/>
              </w:rPr>
            </w:pPr>
            <w:r w:rsidRPr="00A638B3">
              <w:rPr>
                <w:rFonts w:asciiTheme="majorBidi" w:hAnsiTheme="majorBidi" w:cstheme="majorBidi"/>
                <w:b/>
                <w:bCs/>
                <w:sz w:val="24"/>
                <w:szCs w:val="24"/>
                <w:rtl/>
              </w:rPr>
              <w:t xml:space="preserve">الرقم القياسي العام </w:t>
            </w:r>
          </w:p>
        </w:tc>
        <w:tc>
          <w:tcPr>
            <w:tcW w:w="849" w:type="dxa"/>
            <w:vAlign w:val="center"/>
          </w:tcPr>
          <w:p w:rsidR="00057031" w:rsidRPr="00A638B3" w:rsidRDefault="00057031" w:rsidP="00A638B3">
            <w:pPr>
              <w:bidi/>
              <w:spacing w:line="240" w:lineRule="auto"/>
              <w:rPr>
                <w:rFonts w:asciiTheme="majorBidi" w:hAnsiTheme="majorBidi" w:cstheme="majorBidi"/>
                <w:b/>
                <w:bCs/>
                <w:sz w:val="24"/>
                <w:szCs w:val="24"/>
                <w:rtl/>
              </w:rPr>
            </w:pPr>
            <w:r w:rsidRPr="00A638B3">
              <w:rPr>
                <w:rFonts w:asciiTheme="majorBidi" w:hAnsiTheme="majorBidi" w:cstheme="majorBidi"/>
                <w:b/>
                <w:bCs/>
                <w:sz w:val="24"/>
                <w:szCs w:val="24"/>
                <w:rtl/>
              </w:rPr>
              <w:t>100%</w:t>
            </w:r>
          </w:p>
        </w:tc>
        <w:tc>
          <w:tcPr>
            <w:tcW w:w="954" w:type="dxa"/>
            <w:vAlign w:val="center"/>
          </w:tcPr>
          <w:p w:rsidR="00057031" w:rsidRPr="00A638B3" w:rsidRDefault="00057031" w:rsidP="00A638B3">
            <w:pPr>
              <w:bidi/>
              <w:spacing w:line="240" w:lineRule="auto"/>
              <w:rPr>
                <w:rFonts w:asciiTheme="majorBidi" w:hAnsiTheme="majorBidi" w:cstheme="majorBidi"/>
                <w:b/>
                <w:bCs/>
                <w:sz w:val="24"/>
                <w:szCs w:val="24"/>
                <w:rtl/>
              </w:rPr>
            </w:pPr>
            <w:r w:rsidRPr="00A638B3">
              <w:rPr>
                <w:rFonts w:asciiTheme="majorBidi" w:hAnsiTheme="majorBidi" w:cstheme="majorBidi"/>
                <w:b/>
                <w:bCs/>
                <w:sz w:val="24"/>
                <w:szCs w:val="24"/>
                <w:rtl/>
              </w:rPr>
              <w:t>+0.39</w:t>
            </w:r>
          </w:p>
        </w:tc>
        <w:tc>
          <w:tcPr>
            <w:tcW w:w="798" w:type="dxa"/>
            <w:vAlign w:val="center"/>
          </w:tcPr>
          <w:p w:rsidR="00057031" w:rsidRPr="00A638B3" w:rsidRDefault="00057031" w:rsidP="00A638B3">
            <w:pPr>
              <w:bidi/>
              <w:spacing w:line="240" w:lineRule="auto"/>
              <w:rPr>
                <w:rFonts w:asciiTheme="majorBidi" w:hAnsiTheme="majorBidi" w:cstheme="majorBidi"/>
                <w:b/>
                <w:bCs/>
                <w:sz w:val="24"/>
                <w:szCs w:val="24"/>
                <w:rtl/>
              </w:rPr>
            </w:pPr>
            <w:r w:rsidRPr="00A638B3">
              <w:rPr>
                <w:rFonts w:asciiTheme="majorBidi" w:hAnsiTheme="majorBidi" w:cstheme="majorBidi"/>
                <w:b/>
                <w:bCs/>
                <w:sz w:val="24"/>
                <w:szCs w:val="24"/>
                <w:rtl/>
              </w:rPr>
              <w:t>-3.04</w:t>
            </w:r>
          </w:p>
        </w:tc>
        <w:tc>
          <w:tcPr>
            <w:tcW w:w="982" w:type="dxa"/>
            <w:vAlign w:val="center"/>
          </w:tcPr>
          <w:p w:rsidR="00057031" w:rsidRPr="00A638B3" w:rsidRDefault="00057031" w:rsidP="00A638B3">
            <w:pPr>
              <w:bidi/>
              <w:spacing w:line="240" w:lineRule="auto"/>
              <w:rPr>
                <w:rFonts w:asciiTheme="majorBidi" w:hAnsiTheme="majorBidi" w:cstheme="majorBidi"/>
                <w:b/>
                <w:bCs/>
                <w:sz w:val="24"/>
                <w:szCs w:val="24"/>
                <w:rtl/>
              </w:rPr>
            </w:pPr>
            <w:r w:rsidRPr="00A638B3">
              <w:rPr>
                <w:rFonts w:asciiTheme="majorBidi" w:hAnsiTheme="majorBidi" w:cstheme="majorBidi"/>
                <w:b/>
                <w:bCs/>
                <w:sz w:val="24"/>
                <w:szCs w:val="24"/>
                <w:rtl/>
              </w:rPr>
              <w:t>+2.06</w:t>
            </w:r>
          </w:p>
        </w:tc>
        <w:tc>
          <w:tcPr>
            <w:tcW w:w="811" w:type="dxa"/>
            <w:vAlign w:val="center"/>
          </w:tcPr>
          <w:p w:rsidR="00057031" w:rsidRPr="00A638B3" w:rsidRDefault="00B46407" w:rsidP="00A638B3">
            <w:pPr>
              <w:bidi/>
              <w:spacing w:line="240" w:lineRule="auto"/>
              <w:rPr>
                <w:rFonts w:asciiTheme="majorBidi" w:hAnsiTheme="majorBidi" w:cstheme="majorBidi"/>
                <w:b/>
                <w:bCs/>
                <w:sz w:val="24"/>
                <w:szCs w:val="24"/>
                <w:rtl/>
              </w:rPr>
            </w:pPr>
            <w:r w:rsidRPr="00A638B3">
              <w:rPr>
                <w:rFonts w:asciiTheme="majorBidi" w:hAnsiTheme="majorBidi" w:cstheme="majorBidi"/>
                <w:b/>
                <w:bCs/>
                <w:sz w:val="24"/>
                <w:szCs w:val="24"/>
                <w:rtl/>
              </w:rPr>
              <w:t>-</w:t>
            </w:r>
            <w:r w:rsidR="00057031" w:rsidRPr="00A638B3">
              <w:rPr>
                <w:rFonts w:asciiTheme="majorBidi" w:hAnsiTheme="majorBidi" w:cstheme="majorBidi"/>
                <w:b/>
                <w:bCs/>
                <w:sz w:val="24"/>
                <w:szCs w:val="24"/>
                <w:rtl/>
              </w:rPr>
              <w:t>0.16</w:t>
            </w:r>
          </w:p>
        </w:tc>
      </w:tr>
    </w:tbl>
    <w:p w:rsidR="00FB52CA" w:rsidRPr="009A3396" w:rsidRDefault="00FB52CA" w:rsidP="00FB52CA">
      <w:pPr>
        <w:pStyle w:val="BodyText2"/>
        <w:spacing w:after="0" w:line="240" w:lineRule="auto"/>
        <w:jc w:val="center"/>
        <w:rPr>
          <w:rFonts w:ascii="Simplified Arabic" w:hAnsi="Simplified Arabic" w:cs="Simplified Arabic"/>
          <w:b/>
          <w:bCs/>
          <w:sz w:val="20"/>
          <w:szCs w:val="20"/>
          <w:rtl/>
        </w:rPr>
      </w:pPr>
    </w:p>
    <w:p w:rsidR="00FB52CA" w:rsidRPr="00FB52CA" w:rsidRDefault="00FB52CA" w:rsidP="00A638B3">
      <w:pPr>
        <w:pStyle w:val="BodyText2"/>
        <w:spacing w:after="0" w:line="240" w:lineRule="auto"/>
        <w:jc w:val="center"/>
        <w:rPr>
          <w:rFonts w:ascii="Simplified Arabic" w:hAnsi="Simplified Arabic" w:cs="Simplified Arabic"/>
          <w:b/>
          <w:bCs/>
          <w:rtl/>
        </w:rPr>
      </w:pPr>
      <w:r w:rsidRPr="00FB52CA">
        <w:rPr>
          <w:rFonts w:ascii="Simplified Arabic" w:hAnsi="Simplified Arabic" w:cs="Simplified Arabic"/>
          <w:b/>
          <w:bCs/>
          <w:rtl/>
        </w:rPr>
        <w:t xml:space="preserve">الأرقام القياسية لأسعار الجملة في </w:t>
      </w:r>
      <w:proofErr w:type="spellStart"/>
      <w:r w:rsidRPr="00FB52CA">
        <w:rPr>
          <w:rFonts w:ascii="Simplified Arabic" w:hAnsi="Simplified Arabic" w:cs="Simplified Arabic"/>
          <w:b/>
          <w:bCs/>
          <w:rtl/>
        </w:rPr>
        <w:t>فلسطين:</w:t>
      </w:r>
      <w:proofErr w:type="spellEnd"/>
      <w:r w:rsidRPr="00FB52CA">
        <w:rPr>
          <w:rFonts w:ascii="Simplified Arabic" w:hAnsi="Simplified Arabic" w:cs="Simplified Arabic"/>
          <w:b/>
          <w:bCs/>
          <w:rtl/>
        </w:rPr>
        <w:t xml:space="preserve"> الربع </w:t>
      </w:r>
      <w:r w:rsidR="00306D78">
        <w:rPr>
          <w:rFonts w:ascii="Simplified Arabic" w:hAnsi="Simplified Arabic" w:cs="Simplified Arabic" w:hint="cs"/>
          <w:b/>
          <w:bCs/>
          <w:rtl/>
        </w:rPr>
        <w:t>الرابع</w:t>
      </w:r>
      <w:r w:rsidRPr="00FB52CA">
        <w:rPr>
          <w:rFonts w:ascii="Simplified Arabic" w:hAnsi="Simplified Arabic" w:cs="Simplified Arabic"/>
          <w:b/>
          <w:bCs/>
          <w:rtl/>
        </w:rPr>
        <w:t xml:space="preserve"> 2015 </w:t>
      </w:r>
      <w:proofErr w:type="spellStart"/>
      <w:r w:rsidRPr="00FB52CA">
        <w:rPr>
          <w:rFonts w:ascii="Simplified Arabic" w:hAnsi="Simplified Arabic" w:cs="Simplified Arabic"/>
          <w:b/>
          <w:bCs/>
          <w:rtl/>
        </w:rPr>
        <w:t>–</w:t>
      </w:r>
      <w:proofErr w:type="spellEnd"/>
      <w:r w:rsidRPr="00FB52CA">
        <w:rPr>
          <w:rFonts w:ascii="Simplified Arabic" w:hAnsi="Simplified Arabic" w:cs="Simplified Arabic"/>
          <w:b/>
          <w:bCs/>
          <w:rtl/>
        </w:rPr>
        <w:t xml:space="preserve"> الربع </w:t>
      </w:r>
      <w:r w:rsidR="00306D78">
        <w:rPr>
          <w:rFonts w:ascii="Simplified Arabic" w:hAnsi="Simplified Arabic" w:cs="Simplified Arabic" w:hint="cs"/>
          <w:b/>
          <w:bCs/>
          <w:rtl/>
        </w:rPr>
        <w:t>الرابع</w:t>
      </w:r>
      <w:r w:rsidRPr="00FB52CA">
        <w:rPr>
          <w:rFonts w:ascii="Simplified Arabic" w:hAnsi="Simplified Arabic" w:cs="Simplified Arabic"/>
          <w:b/>
          <w:bCs/>
          <w:rtl/>
        </w:rPr>
        <w:t xml:space="preserve"> 2017</w:t>
      </w:r>
    </w:p>
    <w:p w:rsidR="00FB52CA" w:rsidRDefault="00FB52CA" w:rsidP="00FB52CA">
      <w:pPr>
        <w:pStyle w:val="BodyText2"/>
        <w:spacing w:after="0" w:line="240" w:lineRule="auto"/>
        <w:jc w:val="center"/>
        <w:rPr>
          <w:rFonts w:ascii="Simplified Arabic" w:hAnsi="Simplified Arabic" w:cs="Simplified Arabic"/>
          <w:b/>
          <w:bCs/>
          <w:rtl/>
        </w:rPr>
      </w:pPr>
      <w:r w:rsidRPr="00FB52CA">
        <w:rPr>
          <w:rFonts w:ascii="Simplified Arabic" w:hAnsi="Simplified Arabic" w:cs="Simplified Arabic"/>
          <w:b/>
          <w:bCs/>
          <w:rtl/>
        </w:rPr>
        <w:t>(سنة الأساس 2007 = 100)</w:t>
      </w:r>
    </w:p>
    <w:tbl>
      <w:tblPr>
        <w:tblStyle w:val="TableGrid"/>
        <w:bidiVisual/>
        <w:tblW w:w="5126" w:type="dxa"/>
        <w:jc w:val="center"/>
        <w:tblInd w:w="-290" w:type="dxa"/>
        <w:tblLook w:val="04A0"/>
      </w:tblPr>
      <w:tblGrid>
        <w:gridCol w:w="5126"/>
      </w:tblGrid>
      <w:tr w:rsidR="00AB032B" w:rsidTr="00A638B3">
        <w:trPr>
          <w:jc w:val="center"/>
        </w:trPr>
        <w:tc>
          <w:tcPr>
            <w:tcW w:w="5126" w:type="dxa"/>
          </w:tcPr>
          <w:p w:rsidR="00AB032B" w:rsidRDefault="00AB032B" w:rsidP="00FB52CA">
            <w:pPr>
              <w:pStyle w:val="BodyText2"/>
              <w:spacing w:after="0" w:line="240" w:lineRule="auto"/>
              <w:jc w:val="center"/>
              <w:rPr>
                <w:rFonts w:ascii="Simplified Arabic" w:hAnsi="Simplified Arabic" w:cs="Simplified Arabic"/>
                <w:b/>
                <w:bCs/>
                <w:rtl/>
              </w:rPr>
            </w:pPr>
            <w:r w:rsidRPr="00AB032B">
              <w:rPr>
                <w:rFonts w:ascii="Simplified Arabic" w:hAnsi="Simplified Arabic" w:cs="Simplified Arabic"/>
                <w:b/>
                <w:bCs/>
                <w:noProof/>
                <w:rtl/>
                <w:lang w:eastAsia="en-US"/>
              </w:rPr>
              <w:drawing>
                <wp:inline distT="0" distB="0" distL="0" distR="0">
                  <wp:extent cx="2933700" cy="242887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AB032B" w:rsidRPr="00FB52CA" w:rsidRDefault="00AB032B" w:rsidP="000F3DDA">
      <w:pPr>
        <w:pStyle w:val="BodyText2"/>
        <w:spacing w:after="0" w:line="240" w:lineRule="auto"/>
        <w:rPr>
          <w:rFonts w:ascii="Simplified Arabic" w:hAnsi="Simplified Arabic" w:cs="Simplified Arabic"/>
          <w:b/>
          <w:bCs/>
          <w:rtl/>
        </w:rPr>
      </w:pPr>
    </w:p>
    <w:sectPr w:rsidR="00AB032B" w:rsidRPr="00FB52CA" w:rsidSect="00A638B3">
      <w:headerReference w:type="default" r:id="rId9"/>
      <w:footerReference w:type="even" r:id="rId10"/>
      <w:footerReference w:type="default" r:id="rId11"/>
      <w:pgSz w:w="11900" w:h="16840" w:code="9"/>
      <w:pgMar w:top="720" w:right="720" w:bottom="720" w:left="720" w:header="709" w:footer="737" w:gutter="0"/>
      <w:cols w:space="794"/>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7AF" w:rsidRDefault="002617AF" w:rsidP="0089530C">
      <w:r>
        <w:separator/>
      </w:r>
    </w:p>
  </w:endnote>
  <w:endnote w:type="continuationSeparator" w:id="0">
    <w:p w:rsidR="002617AF" w:rsidRDefault="002617AF" w:rsidP="0089530C">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0D" w:rsidRDefault="00FE76AA" w:rsidP="00A006DA">
    <w:pPr>
      <w:pStyle w:val="Footer"/>
      <w:framePr w:wrap="none" w:vAnchor="text" w:hAnchor="margin" w:xAlign="center" w:y="1"/>
      <w:rPr>
        <w:rStyle w:val="PageNumber"/>
      </w:rPr>
    </w:pPr>
    <w:r>
      <w:rPr>
        <w:rStyle w:val="PageNumber"/>
      </w:rPr>
      <w:fldChar w:fldCharType="begin"/>
    </w:r>
    <w:r w:rsidR="00CD660D">
      <w:rPr>
        <w:rStyle w:val="PageNumber"/>
      </w:rPr>
      <w:instrText xml:space="preserve">PAGE  </w:instrText>
    </w:r>
    <w:r>
      <w:rPr>
        <w:rStyle w:val="PageNumber"/>
      </w:rPr>
      <w:fldChar w:fldCharType="end"/>
    </w:r>
  </w:p>
  <w:p w:rsidR="00CD660D" w:rsidRDefault="00FE76AA" w:rsidP="00A006DA">
    <w:pPr>
      <w:pStyle w:val="Footer"/>
      <w:framePr w:wrap="none" w:vAnchor="text" w:hAnchor="margin" w:y="1"/>
      <w:rPr>
        <w:rStyle w:val="PageNumber"/>
      </w:rPr>
    </w:pPr>
    <w:r>
      <w:rPr>
        <w:rStyle w:val="PageNumber"/>
      </w:rPr>
      <w:fldChar w:fldCharType="begin"/>
    </w:r>
    <w:r w:rsidR="00CD660D">
      <w:rPr>
        <w:rStyle w:val="PageNumber"/>
      </w:rPr>
      <w:instrText xml:space="preserve">PAGE  </w:instrText>
    </w:r>
    <w:r>
      <w:rPr>
        <w:rStyle w:val="PageNumber"/>
      </w:rPr>
      <w:fldChar w:fldCharType="end"/>
    </w:r>
  </w:p>
  <w:p w:rsidR="00CD660D" w:rsidRDefault="00CD660D" w:rsidP="0020755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0D" w:rsidRDefault="00FE76AA" w:rsidP="0020755C">
    <w:pPr>
      <w:pStyle w:val="Footer"/>
      <w:framePr w:wrap="none" w:vAnchor="text" w:hAnchor="page" w:x="5902" w:y="391"/>
      <w:rPr>
        <w:rStyle w:val="PageNumber"/>
      </w:rPr>
    </w:pPr>
    <w:r>
      <w:rPr>
        <w:rStyle w:val="PageNumber"/>
      </w:rPr>
      <w:fldChar w:fldCharType="begin"/>
    </w:r>
    <w:r w:rsidR="00CD660D">
      <w:rPr>
        <w:rStyle w:val="PageNumber"/>
      </w:rPr>
      <w:instrText xml:space="preserve">PAGE  </w:instrText>
    </w:r>
    <w:r>
      <w:rPr>
        <w:rStyle w:val="PageNumber"/>
      </w:rPr>
      <w:fldChar w:fldCharType="separate"/>
    </w:r>
    <w:r w:rsidR="00A638B3">
      <w:rPr>
        <w:rStyle w:val="PageNumber"/>
        <w:noProof/>
      </w:rPr>
      <w:t>1</w:t>
    </w:r>
    <w:r>
      <w:rPr>
        <w:rStyle w:val="PageNumber"/>
      </w:rPr>
      <w:fldChar w:fldCharType="end"/>
    </w:r>
  </w:p>
  <w:p w:rsidR="00CD660D" w:rsidRDefault="00FE76AA" w:rsidP="0020755C">
    <w:pPr>
      <w:pStyle w:val="Footer"/>
      <w:ind w:firstLine="360"/>
    </w:pPr>
    <w:r>
      <w:rPr>
        <w:noProof/>
      </w:rPr>
      <w:pict>
        <v:shapetype id="_x0000_t202" coordsize="21600,21600" o:spt="202" path="m,l,21600r21600,l21600,xe">
          <v:stroke joinstyle="miter"/>
          <v:path gradientshapeok="t" o:connecttype="rect"/>
        </v:shapetype>
        <v:shape id="Text Box 5" o:spid="_x0000_s4097" type="#_x0000_t202" style="position:absolute;left:0;text-align:left;margin-left:-54.65pt;margin-top:-29.35pt;width:156.05pt;height:21.8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" filled="f" stroked="f">
          <v:textbox style="mso-next-textbox:#Text Box 5">
            <w:txbxContent>
              <w:p w:rsidR="00CD660D" w:rsidRDefault="00CD660D" w:rsidP="009A3396">
                <w:pPr>
                  <w:bidi/>
                  <w:rPr>
                    <w:rtl/>
                  </w:rPr>
                </w:pPr>
                <w:r w:rsidRPr="009B7F79">
                  <w:rPr>
                    <w:rFonts w:hint="cs"/>
                    <w:b/>
                    <w:bCs/>
                    <w:rtl/>
                  </w:rPr>
                  <w:t>التاريخ</w:t>
                </w:r>
                <w:r>
                  <w:t>:</w:t>
                </w:r>
                <w:r>
                  <w:rPr>
                    <w:rFonts w:hint="cs"/>
                    <w:rtl/>
                  </w:rPr>
                  <w:t xml:space="preserve"> 18/01/2018</w:t>
                </w:r>
              </w:p>
            </w:txbxContent>
          </v:textbox>
        </v:shape>
      </w:pict>
    </w:r>
    <w:r w:rsidR="00CD660D">
      <w:rPr>
        <w:noProof/>
      </w:rPr>
      <w:drawing>
        <wp:anchor distT="0" distB="0" distL="114300" distR="114300" simplePos="0" relativeHeight="251671552" behindDoc="1" locked="0" layoutInCell="1" allowOverlap="1">
          <wp:simplePos x="0" y="0"/>
          <wp:positionH relativeFrom="column">
            <wp:posOffset>-721137</wp:posOffset>
          </wp:positionH>
          <wp:positionV relativeFrom="paragraph">
            <wp:posOffset>-624045</wp:posOffset>
          </wp:positionV>
          <wp:extent cx="7547359" cy="1075174"/>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Footer.pdf"/>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47359" cy="1075174"/>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7AF" w:rsidRDefault="002617AF" w:rsidP="0089530C">
      <w:r>
        <w:separator/>
      </w:r>
    </w:p>
  </w:footnote>
  <w:footnote w:type="continuationSeparator" w:id="0">
    <w:p w:rsidR="002617AF" w:rsidRDefault="002617AF" w:rsidP="0089530C">
      <w:r>
        <w:continuationSeparator/>
      </w:r>
    </w:p>
  </w:footnote>
  <w:footnote w:id="1">
    <w:p w:rsidR="00CD660D" w:rsidRDefault="00CD660D" w:rsidP="000B2996">
      <w:pPr>
        <w:pStyle w:val="FootnoteText"/>
        <w:jc w:val="lowKashida"/>
        <w:rPr>
          <w:rtl/>
        </w:rPr>
      </w:pPr>
      <w:r>
        <w:rPr>
          <w:rStyle w:val="FootnoteReference"/>
        </w:rPr>
        <w:t>1</w:t>
      </w:r>
      <w:r>
        <w:t xml:space="preserve"> </w:t>
      </w:r>
      <w:r>
        <w:rPr>
          <w:rtl/>
        </w:rPr>
        <w:t xml:space="preserve"> </w:t>
      </w:r>
      <w:r>
        <w:rPr>
          <w:rFonts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0D" w:rsidRDefault="00CD660D" w:rsidP="009B7F79">
    <w:pPr>
      <w:pStyle w:val="Header"/>
    </w:pPr>
    <w:r>
      <w:rPr>
        <w:noProof/>
      </w:rPr>
      <w:drawing>
        <wp:anchor distT="0" distB="0" distL="114300" distR="114300" simplePos="0" relativeHeight="251672576" behindDoc="1" locked="0" layoutInCell="1" allowOverlap="1">
          <wp:simplePos x="0" y="0"/>
          <wp:positionH relativeFrom="column">
            <wp:posOffset>-731185</wp:posOffset>
          </wp:positionH>
          <wp:positionV relativeFrom="paragraph">
            <wp:posOffset>-329635</wp:posOffset>
          </wp:positionV>
          <wp:extent cx="7587552" cy="1487156"/>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BS+Census Header.jpg"/>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87552" cy="1487156"/>
                  </a:xfrm>
                  <a:prstGeom prst="rect">
                    <a:avLst/>
                  </a:prstGeom>
                </pic:spPr>
              </pic:pic>
            </a:graphicData>
          </a:graphic>
        </wp:anchor>
      </w:drawing>
    </w:r>
    <w:r w:rsidR="00FE76AA">
      <w:rPr>
        <w:noProof/>
      </w:rPr>
      <w:pict>
        <v:rect id="Rectangle 2" o:spid="_x0000_s4099" style="position:absolute;margin-left:-35pt;margin-top:-17.1pt;width:84.05pt;height:107.85pt;z-index:251665408;visibility:visible;mso-position-horizontal-relative:text;mso-position-vertical-relative:text;mso-width-relative:margin;mso-height-relative:margin;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" filled="f" stroked="f" strokeweight="1pt">
          <w10:wrap type="tight"/>
        </v:rect>
      </w:pict>
    </w:r>
    <w:r w:rsidR="00FE76AA">
      <w:rPr>
        <w:noProof/>
      </w:rPr>
      <w:pict>
        <v:rect id="Rectangle 1" o:spid="_x0000_s4098" style="position:absolute;margin-left:-34.75pt;margin-top:-26pt;width:83.35pt;height:126pt;z-index:251660288;visibility:visible;mso-position-horizontal-relative:text;mso-position-vertical-relative:text;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" filled="f" stroked="f" strokeweight="1pt">
          <w10:wrap type="square"/>
        </v:rect>
      </w:pict>
    </w:r>
  </w:p>
  <w:p w:rsidR="00CD660D" w:rsidRDefault="00CD660D" w:rsidP="009B7F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E0DF7"/>
    <w:multiLevelType w:val="hybridMultilevel"/>
    <w:tmpl w:val="71B0E622"/>
    <w:lvl w:ilvl="0" w:tplc="B26680B0">
      <w:start w:val="1"/>
      <w:numFmt w:val="decimal"/>
      <w:lvlText w:val="%1."/>
      <w:lvlJc w:val="left"/>
      <w:pPr>
        <w:ind w:left="720" w:hanging="360"/>
      </w:pPr>
      <w:rPr>
        <w:rFonts w:ascii="Simplified Arabic" w:hAnsi="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89530C"/>
    <w:rsid w:val="000266B5"/>
    <w:rsid w:val="000409F9"/>
    <w:rsid w:val="00057031"/>
    <w:rsid w:val="00066B9A"/>
    <w:rsid w:val="000753B8"/>
    <w:rsid w:val="000A62DF"/>
    <w:rsid w:val="000B0833"/>
    <w:rsid w:val="000B171B"/>
    <w:rsid w:val="000B2996"/>
    <w:rsid w:val="000F0A69"/>
    <w:rsid w:val="000F2B27"/>
    <w:rsid w:val="000F3DDA"/>
    <w:rsid w:val="000F44DB"/>
    <w:rsid w:val="001070A1"/>
    <w:rsid w:val="001156C2"/>
    <w:rsid w:val="00133A6B"/>
    <w:rsid w:val="00164DF7"/>
    <w:rsid w:val="00180D60"/>
    <w:rsid w:val="00183FC3"/>
    <w:rsid w:val="001964D0"/>
    <w:rsid w:val="00197130"/>
    <w:rsid w:val="0019723B"/>
    <w:rsid w:val="001A538A"/>
    <w:rsid w:val="001C3CF6"/>
    <w:rsid w:val="0020755C"/>
    <w:rsid w:val="00215983"/>
    <w:rsid w:val="00216526"/>
    <w:rsid w:val="00216A88"/>
    <w:rsid w:val="002617AF"/>
    <w:rsid w:val="002662AF"/>
    <w:rsid w:val="00272785"/>
    <w:rsid w:val="00273925"/>
    <w:rsid w:val="00281C92"/>
    <w:rsid w:val="00284451"/>
    <w:rsid w:val="00291A40"/>
    <w:rsid w:val="002A334A"/>
    <w:rsid w:val="002B1856"/>
    <w:rsid w:val="002B22C8"/>
    <w:rsid w:val="002C2373"/>
    <w:rsid w:val="002D2E6B"/>
    <w:rsid w:val="00306D78"/>
    <w:rsid w:val="003261C5"/>
    <w:rsid w:val="00332C2B"/>
    <w:rsid w:val="00336377"/>
    <w:rsid w:val="0034382A"/>
    <w:rsid w:val="00344B51"/>
    <w:rsid w:val="00346CBA"/>
    <w:rsid w:val="003567A3"/>
    <w:rsid w:val="003717C5"/>
    <w:rsid w:val="00373661"/>
    <w:rsid w:val="00374B91"/>
    <w:rsid w:val="003B68AD"/>
    <w:rsid w:val="003C749E"/>
    <w:rsid w:val="003D15F4"/>
    <w:rsid w:val="003E6EF8"/>
    <w:rsid w:val="003F5939"/>
    <w:rsid w:val="00403249"/>
    <w:rsid w:val="0043166F"/>
    <w:rsid w:val="00432498"/>
    <w:rsid w:val="004342CD"/>
    <w:rsid w:val="0043593A"/>
    <w:rsid w:val="0047198E"/>
    <w:rsid w:val="004878F9"/>
    <w:rsid w:val="004879CD"/>
    <w:rsid w:val="00491506"/>
    <w:rsid w:val="004A1D0D"/>
    <w:rsid w:val="004A7EF8"/>
    <w:rsid w:val="004C5387"/>
    <w:rsid w:val="004D61A9"/>
    <w:rsid w:val="004E147E"/>
    <w:rsid w:val="004E20E3"/>
    <w:rsid w:val="004F6543"/>
    <w:rsid w:val="00501806"/>
    <w:rsid w:val="00506AD9"/>
    <w:rsid w:val="00544D02"/>
    <w:rsid w:val="00555B1C"/>
    <w:rsid w:val="005819A9"/>
    <w:rsid w:val="005B7152"/>
    <w:rsid w:val="005F7A9D"/>
    <w:rsid w:val="00606C0A"/>
    <w:rsid w:val="006604BA"/>
    <w:rsid w:val="006A5C89"/>
    <w:rsid w:val="006B3767"/>
    <w:rsid w:val="006D14D3"/>
    <w:rsid w:val="006F3D1E"/>
    <w:rsid w:val="006F4D70"/>
    <w:rsid w:val="00703C98"/>
    <w:rsid w:val="00716017"/>
    <w:rsid w:val="00717991"/>
    <w:rsid w:val="00721CE3"/>
    <w:rsid w:val="007230D4"/>
    <w:rsid w:val="00731C12"/>
    <w:rsid w:val="0073710E"/>
    <w:rsid w:val="007441E1"/>
    <w:rsid w:val="007472C9"/>
    <w:rsid w:val="00756231"/>
    <w:rsid w:val="00787D17"/>
    <w:rsid w:val="00791F9B"/>
    <w:rsid w:val="007C562E"/>
    <w:rsid w:val="007D3C37"/>
    <w:rsid w:val="007E4D45"/>
    <w:rsid w:val="007E5AC9"/>
    <w:rsid w:val="007F1A89"/>
    <w:rsid w:val="007F7D6B"/>
    <w:rsid w:val="008039B5"/>
    <w:rsid w:val="00825D5E"/>
    <w:rsid w:val="00880E5E"/>
    <w:rsid w:val="008813B3"/>
    <w:rsid w:val="0089530C"/>
    <w:rsid w:val="008A456C"/>
    <w:rsid w:val="008D22D4"/>
    <w:rsid w:val="008D58E6"/>
    <w:rsid w:val="0091136C"/>
    <w:rsid w:val="00927B97"/>
    <w:rsid w:val="0094463A"/>
    <w:rsid w:val="00947D6F"/>
    <w:rsid w:val="009709C5"/>
    <w:rsid w:val="00970D7A"/>
    <w:rsid w:val="00990944"/>
    <w:rsid w:val="00992EB1"/>
    <w:rsid w:val="009A3396"/>
    <w:rsid w:val="009B2B6C"/>
    <w:rsid w:val="009B7F79"/>
    <w:rsid w:val="009C1A1C"/>
    <w:rsid w:val="009F77D0"/>
    <w:rsid w:val="00A006DA"/>
    <w:rsid w:val="00A06ACF"/>
    <w:rsid w:val="00A0752E"/>
    <w:rsid w:val="00A21B0D"/>
    <w:rsid w:val="00A23E11"/>
    <w:rsid w:val="00A4144E"/>
    <w:rsid w:val="00A50D03"/>
    <w:rsid w:val="00A638B3"/>
    <w:rsid w:val="00AA04B1"/>
    <w:rsid w:val="00AA1D2C"/>
    <w:rsid w:val="00AB032B"/>
    <w:rsid w:val="00AB13D4"/>
    <w:rsid w:val="00AC5EC2"/>
    <w:rsid w:val="00AE6ED6"/>
    <w:rsid w:val="00B061F6"/>
    <w:rsid w:val="00B11935"/>
    <w:rsid w:val="00B22DC5"/>
    <w:rsid w:val="00B35121"/>
    <w:rsid w:val="00B44E60"/>
    <w:rsid w:val="00B46407"/>
    <w:rsid w:val="00B9409D"/>
    <w:rsid w:val="00BA70A6"/>
    <w:rsid w:val="00BC4AED"/>
    <w:rsid w:val="00C03F86"/>
    <w:rsid w:val="00C10666"/>
    <w:rsid w:val="00C3049D"/>
    <w:rsid w:val="00C73AB4"/>
    <w:rsid w:val="00C76741"/>
    <w:rsid w:val="00C82E36"/>
    <w:rsid w:val="00C8412C"/>
    <w:rsid w:val="00C84D6C"/>
    <w:rsid w:val="00CD660D"/>
    <w:rsid w:val="00CE3728"/>
    <w:rsid w:val="00D03463"/>
    <w:rsid w:val="00D22284"/>
    <w:rsid w:val="00D257CE"/>
    <w:rsid w:val="00D50CEE"/>
    <w:rsid w:val="00D709F9"/>
    <w:rsid w:val="00D84F6F"/>
    <w:rsid w:val="00DD710B"/>
    <w:rsid w:val="00DE34F8"/>
    <w:rsid w:val="00DE3E15"/>
    <w:rsid w:val="00DF1948"/>
    <w:rsid w:val="00E316C4"/>
    <w:rsid w:val="00E76D45"/>
    <w:rsid w:val="00E941B0"/>
    <w:rsid w:val="00EA0E55"/>
    <w:rsid w:val="00EA3147"/>
    <w:rsid w:val="00EB5456"/>
    <w:rsid w:val="00ED290A"/>
    <w:rsid w:val="00EE0530"/>
    <w:rsid w:val="00F21F96"/>
    <w:rsid w:val="00F25427"/>
    <w:rsid w:val="00F3352D"/>
    <w:rsid w:val="00F45F27"/>
    <w:rsid w:val="00F56F30"/>
    <w:rsid w:val="00F670EB"/>
    <w:rsid w:val="00F90A9E"/>
    <w:rsid w:val="00F9284D"/>
    <w:rsid w:val="00F94BCC"/>
    <w:rsid w:val="00F95073"/>
    <w:rsid w:val="00FA2CE0"/>
    <w:rsid w:val="00FA594F"/>
    <w:rsid w:val="00FA635A"/>
    <w:rsid w:val="00FB52CA"/>
    <w:rsid w:val="00FD1826"/>
    <w:rsid w:val="00FE76AA"/>
    <w:rsid w:val="00FF65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B6C"/>
    <w:pPr>
      <w:pBdr>
        <w:top w:val="nil"/>
        <w:left w:val="nil"/>
        <w:bottom w:val="nil"/>
        <w:right w:val="nil"/>
        <w:between w:val="nil"/>
      </w:pBdr>
      <w:spacing w:line="276" w:lineRule="auto"/>
    </w:pPr>
    <w:rPr>
      <w:rFonts w:ascii="Arial" w:eastAsia="Arial" w:hAnsi="Arial" w:cs="Arial"/>
      <w:color w:val="000000"/>
      <w:sz w:val="22"/>
      <w:szCs w:val="22"/>
      <w:lang w:eastAsia="it-IT"/>
    </w:rPr>
  </w:style>
  <w:style w:type="paragraph" w:styleId="Heading9">
    <w:name w:val="heading 9"/>
    <w:basedOn w:val="Normal"/>
    <w:next w:val="Normal"/>
    <w:link w:val="Heading9Char"/>
    <w:qFormat/>
    <w:rsid w:val="003567A3"/>
    <w:pPr>
      <w:keepNext/>
      <w:pBdr>
        <w:top w:val="none" w:sz="0" w:space="0" w:color="auto"/>
        <w:left w:val="none" w:sz="0" w:space="0" w:color="auto"/>
        <w:bottom w:val="none" w:sz="0" w:space="0" w:color="auto"/>
        <w:right w:val="none" w:sz="0" w:space="0" w:color="auto"/>
        <w:between w:val="none" w:sz="0" w:space="0" w:color="auto"/>
      </w:pBdr>
      <w:bidi/>
      <w:spacing w:line="240" w:lineRule="auto"/>
      <w:jc w:val="center"/>
      <w:outlineLvl w:val="8"/>
    </w:pPr>
    <w:rPr>
      <w:rFonts w:ascii="Times New Roman" w:eastAsia="Times New Roman" w:hAnsi="Times New Roman" w:cs="Simplified Arabic"/>
      <w:b/>
      <w:bCs/>
      <w:noProof/>
      <w:color w:val="auto"/>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HeaderChar">
    <w:name w:val="Header Char"/>
    <w:basedOn w:val="DefaultParagraphFont"/>
    <w:link w:val="Header"/>
    <w:uiPriority w:val="99"/>
    <w:rsid w:val="0089530C"/>
  </w:style>
  <w:style w:type="paragraph" w:styleId="Footer">
    <w:name w:val="footer"/>
    <w:basedOn w:val="Normal"/>
    <w:link w:val="Foot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FooterChar">
    <w:name w:val="Footer Char"/>
    <w:basedOn w:val="DefaultParagraphFont"/>
    <w:link w:val="Footer"/>
    <w:uiPriority w:val="99"/>
    <w:rsid w:val="0089530C"/>
  </w:style>
  <w:style w:type="character" w:styleId="PageNumber">
    <w:name w:val="page number"/>
    <w:basedOn w:val="DefaultParagraphFont"/>
    <w:uiPriority w:val="99"/>
    <w:semiHidden/>
    <w:unhideWhenUsed/>
    <w:rsid w:val="0020755C"/>
  </w:style>
  <w:style w:type="paragraph" w:styleId="BodyText2">
    <w:name w:val="Body Text 2"/>
    <w:basedOn w:val="Normal"/>
    <w:link w:val="BodyText2Char"/>
    <w:uiPriority w:val="99"/>
    <w:unhideWhenUsed/>
    <w:rsid w:val="00491506"/>
    <w:pPr>
      <w:pBdr>
        <w:top w:val="none" w:sz="0" w:space="0" w:color="auto"/>
        <w:left w:val="none" w:sz="0" w:space="0" w:color="auto"/>
        <w:bottom w:val="none" w:sz="0" w:space="0" w:color="auto"/>
        <w:right w:val="none" w:sz="0" w:space="0" w:color="auto"/>
        <w:between w:val="none" w:sz="0" w:space="0" w:color="auto"/>
      </w:pBdr>
      <w:bidi/>
      <w:spacing w:after="120" w:line="480" w:lineRule="auto"/>
    </w:pPr>
    <w:rPr>
      <w:rFonts w:ascii="Times New Roman" w:eastAsia="Times New Roman" w:hAnsi="Times New Roman" w:cs="Times New Roman"/>
      <w:color w:val="auto"/>
      <w:sz w:val="24"/>
      <w:szCs w:val="24"/>
      <w:lang w:eastAsia="ar-SA"/>
    </w:rPr>
  </w:style>
  <w:style w:type="character" w:customStyle="1" w:styleId="BodyText2Char">
    <w:name w:val="Body Text 2 Char"/>
    <w:basedOn w:val="DefaultParagraphFont"/>
    <w:link w:val="BodyText2"/>
    <w:uiPriority w:val="99"/>
    <w:rsid w:val="00491506"/>
    <w:rPr>
      <w:rFonts w:ascii="Times New Roman" w:eastAsia="Times New Roman" w:hAnsi="Times New Roman" w:cs="Times New Roman"/>
      <w:lang w:eastAsia="ar-SA"/>
    </w:rPr>
  </w:style>
  <w:style w:type="paragraph" w:styleId="BodyText">
    <w:name w:val="Body Text"/>
    <w:basedOn w:val="Normal"/>
    <w:link w:val="BodyTextChar"/>
    <w:uiPriority w:val="99"/>
    <w:semiHidden/>
    <w:unhideWhenUsed/>
    <w:rsid w:val="002B1856"/>
    <w:pPr>
      <w:spacing w:after="120"/>
    </w:pPr>
  </w:style>
  <w:style w:type="character" w:customStyle="1" w:styleId="BodyTextChar">
    <w:name w:val="Body Text Char"/>
    <w:basedOn w:val="DefaultParagraphFont"/>
    <w:link w:val="BodyText"/>
    <w:uiPriority w:val="99"/>
    <w:semiHidden/>
    <w:rsid w:val="002B1856"/>
    <w:rPr>
      <w:rFonts w:ascii="Arial" w:eastAsia="Arial" w:hAnsi="Arial" w:cs="Arial"/>
      <w:color w:val="000000"/>
      <w:sz w:val="22"/>
      <w:szCs w:val="22"/>
      <w:lang w:eastAsia="it-IT"/>
    </w:rPr>
  </w:style>
  <w:style w:type="paragraph" w:styleId="FootnoteText">
    <w:name w:val="footnote text"/>
    <w:basedOn w:val="Normal"/>
    <w:link w:val="FootnoteTextChar"/>
    <w:semiHidden/>
    <w:rsid w:val="002B1856"/>
    <w:pPr>
      <w:pBdr>
        <w:top w:val="none" w:sz="0" w:space="0" w:color="auto"/>
        <w:left w:val="none" w:sz="0" w:space="0" w:color="auto"/>
        <w:bottom w:val="none" w:sz="0" w:space="0" w:color="auto"/>
        <w:right w:val="none" w:sz="0" w:space="0" w:color="auto"/>
        <w:between w:val="none" w:sz="0" w:space="0" w:color="auto"/>
      </w:pBdr>
      <w:bidi/>
      <w:spacing w:line="240" w:lineRule="auto"/>
    </w:pPr>
    <w:rPr>
      <w:rFonts w:ascii="Times New Roman" w:eastAsia="Times New Roman" w:hAnsi="Times New Roman" w:cs="Times New Roman"/>
      <w:snapToGrid w:val="0"/>
      <w:color w:val="auto"/>
      <w:sz w:val="20"/>
      <w:szCs w:val="20"/>
    </w:rPr>
  </w:style>
  <w:style w:type="character" w:customStyle="1" w:styleId="FootnoteTextChar">
    <w:name w:val="Footnote Text Char"/>
    <w:basedOn w:val="DefaultParagraphFont"/>
    <w:link w:val="FootnoteText"/>
    <w:semiHidden/>
    <w:rsid w:val="002B1856"/>
    <w:rPr>
      <w:rFonts w:ascii="Times New Roman" w:eastAsia="Times New Roman" w:hAnsi="Times New Roman" w:cs="Times New Roman"/>
      <w:snapToGrid w:val="0"/>
      <w:sz w:val="20"/>
      <w:szCs w:val="20"/>
    </w:rPr>
  </w:style>
  <w:style w:type="character" w:styleId="FootnoteReference">
    <w:name w:val="footnote reference"/>
    <w:semiHidden/>
    <w:rsid w:val="002B1856"/>
    <w:rPr>
      <w:vertAlign w:val="superscript"/>
    </w:rPr>
  </w:style>
  <w:style w:type="character" w:styleId="Hyperlink">
    <w:name w:val="Hyperlink"/>
    <w:uiPriority w:val="99"/>
    <w:unhideWhenUsed/>
    <w:rsid w:val="002B1856"/>
    <w:rPr>
      <w:color w:val="0000FF"/>
      <w:u w:val="single"/>
    </w:rPr>
  </w:style>
  <w:style w:type="paragraph" w:styleId="BalloonText">
    <w:name w:val="Balloon Text"/>
    <w:basedOn w:val="Normal"/>
    <w:link w:val="BalloonTextChar"/>
    <w:uiPriority w:val="99"/>
    <w:semiHidden/>
    <w:unhideWhenUsed/>
    <w:rsid w:val="002B18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856"/>
    <w:rPr>
      <w:rFonts w:ascii="Tahoma" w:eastAsia="Arial" w:hAnsi="Tahoma" w:cs="Tahoma"/>
      <w:color w:val="000000"/>
      <w:sz w:val="16"/>
      <w:szCs w:val="16"/>
      <w:lang w:eastAsia="it-IT"/>
    </w:rPr>
  </w:style>
  <w:style w:type="table" w:styleId="TableGrid">
    <w:name w:val="Table Grid"/>
    <w:basedOn w:val="TableNormal"/>
    <w:uiPriority w:val="39"/>
    <w:rsid w:val="00DF19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3567A3"/>
    <w:rPr>
      <w:rFonts w:ascii="Times New Roman" w:eastAsia="Times New Roman" w:hAnsi="Times New Roman" w:cs="Simplified Arabic"/>
      <w:b/>
      <w:bCs/>
      <w:noProof/>
      <w:lang w:eastAsia="ar-SA"/>
    </w:rPr>
  </w:style>
  <w:style w:type="paragraph" w:styleId="ListParagraph">
    <w:name w:val="List Paragraph"/>
    <w:basedOn w:val="Normal"/>
    <w:uiPriority w:val="34"/>
    <w:qFormat/>
    <w:rsid w:val="00057031"/>
    <w:pPr>
      <w:ind w:left="720"/>
      <w:contextualSpacing/>
    </w:pPr>
  </w:style>
</w:styles>
</file>

<file path=word/webSettings.xml><?xml version="1.0" encoding="utf-8"?>
<w:webSettings xmlns:r="http://schemas.openxmlformats.org/officeDocument/2006/relationships" xmlns:w="http://schemas.openxmlformats.org/wordprocessingml/2006/main">
  <w:divs>
    <w:div w:id="1185441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1920241575154298"/>
          <c:y val="8.2304526748971207E-2"/>
          <c:w val="0.68038448371211113"/>
          <c:h val="0.72839506172839563"/>
        </c:manualLayout>
      </c:layout>
      <c:lineChart>
        <c:grouping val="standard"/>
        <c:ser>
          <c:idx val="0"/>
          <c:order val="0"/>
          <c:tx>
            <c:strRef>
              <c:f>Sheet1!$A$2</c:f>
              <c:strCache>
                <c:ptCount val="1"/>
                <c:pt idx="0">
                  <c:v>نسب التضخم في فلسطين</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2.6755852842809406E-2"/>
                  <c:y val="3.5842293906810083E-2"/>
                </c:manualLayout>
              </c:layout>
              <c:spPr>
                <a:noFill/>
                <a:ln w="25399">
                  <a:noFill/>
                </a:ln>
              </c:spPr>
              <c:txPr>
                <a:bodyPr/>
                <a:lstStyle/>
                <a:p>
                  <a:pPr>
                    <a:defRPr b="1"/>
                  </a:pPr>
                  <a:endParaRPr lang="ar-SA"/>
                </a:p>
              </c:txPr>
              <c:showVal val="1"/>
            </c:dLbl>
            <c:dLbl>
              <c:idx val="1"/>
              <c:layout>
                <c:manualLayout>
                  <c:x val="-6.6889632107023492E-2"/>
                  <c:y val="-6.4516129032258188E-2"/>
                </c:manualLayout>
              </c:layout>
              <c:spPr>
                <a:noFill/>
                <a:ln w="25399">
                  <a:noFill/>
                </a:ln>
              </c:spPr>
              <c:txPr>
                <a:bodyPr/>
                <a:lstStyle/>
                <a:p>
                  <a:pPr>
                    <a:defRPr b="1"/>
                  </a:pPr>
                  <a:endParaRPr lang="ar-SA"/>
                </a:p>
              </c:txPr>
              <c:showVal val="1"/>
            </c:dLbl>
            <c:dLbl>
              <c:idx val="2"/>
              <c:layout>
                <c:manualLayout>
                  <c:x val="-8.1115078006553501E-2"/>
                  <c:y val="5.0074822736710149E-2"/>
                </c:manualLayout>
              </c:layout>
              <c:spPr>
                <a:noFill/>
                <a:ln w="25399">
                  <a:noFill/>
                </a:ln>
              </c:spPr>
              <c:txPr>
                <a:bodyPr/>
                <a:lstStyle/>
                <a:p>
                  <a:pPr>
                    <a:defRPr b="1"/>
                  </a:pPr>
                  <a:endParaRPr lang="ar-SA"/>
                </a:p>
              </c:txPr>
              <c:dLblPos val="r"/>
              <c:showVal val="1"/>
            </c:dLbl>
            <c:dLbl>
              <c:idx val="3"/>
              <c:layout>
                <c:manualLayout>
                  <c:x val="-6.5616797900262591E-2"/>
                  <c:y val="-7.6893291564360991E-2"/>
                </c:manualLayout>
              </c:layout>
              <c:spPr>
                <a:noFill/>
                <a:ln w="25399">
                  <a:noFill/>
                </a:ln>
              </c:spPr>
              <c:txPr>
                <a:bodyPr/>
                <a:lstStyle/>
                <a:p>
                  <a:pPr>
                    <a:defRPr b="1"/>
                  </a:pPr>
                  <a:endParaRPr lang="ar-SA"/>
                </a:p>
              </c:txPr>
              <c:dLblPos val="r"/>
              <c:showVal val="1"/>
            </c:dLbl>
            <c:dLbl>
              <c:idx val="5"/>
              <c:layout>
                <c:manualLayout>
                  <c:x val="-5.6318963474047426E-2"/>
                  <c:y val="-8.4673044901645469E-2"/>
                </c:manualLayout>
              </c:layout>
              <c:spPr>
                <a:noFill/>
                <a:ln w="25399">
                  <a:noFill/>
                </a:ln>
              </c:spPr>
              <c:txPr>
                <a:bodyPr/>
                <a:lstStyle/>
                <a:p>
                  <a:pPr>
                    <a:defRPr b="1"/>
                  </a:pPr>
                  <a:endParaRPr lang="ar-SA"/>
                </a:p>
              </c:txPr>
              <c:dLblPos val="r"/>
              <c:showVal val="1"/>
            </c:dLbl>
            <c:dLbl>
              <c:idx val="7"/>
              <c:layout>
                <c:manualLayout>
                  <c:x val="-6.3039528085745131E-2"/>
                  <c:y val="-6.2542262862303521E-2"/>
                </c:manualLayout>
              </c:layout>
              <c:spPr>
                <a:noFill/>
                <a:ln w="25399">
                  <a:noFill/>
                </a:ln>
              </c:spPr>
              <c:txPr>
                <a:bodyPr/>
                <a:lstStyle/>
                <a:p>
                  <a:pPr>
                    <a:defRPr b="1"/>
                  </a:pPr>
                  <a:endParaRPr lang="ar-SA"/>
                </a:p>
              </c:txPr>
              <c:dLblPos val="r"/>
              <c:showVal val="1"/>
            </c:dLbl>
            <c:dLbl>
              <c:idx val="9"/>
              <c:layout>
                <c:manualLayout>
                  <c:x val="-5.9363934023297475E-2"/>
                  <c:y val="-7.658905540033302E-2"/>
                </c:manualLayout>
              </c:layout>
              <c:spPr>
                <a:noFill/>
                <a:ln w="25399">
                  <a:noFill/>
                </a:ln>
              </c:spPr>
              <c:txPr>
                <a:bodyPr/>
                <a:lstStyle/>
                <a:p>
                  <a:pPr>
                    <a:defRPr b="1"/>
                  </a:pPr>
                  <a:endParaRPr lang="ar-SA"/>
                </a:p>
              </c:txPr>
              <c:dLblPos val="r"/>
              <c:showVal val="1"/>
            </c:dLbl>
            <c:dLbl>
              <c:idx val="10"/>
              <c:layout>
                <c:manualLayout>
                  <c:x val="0"/>
                  <c:y val="3.02777451326047E-2"/>
                </c:manualLayout>
              </c:layout>
              <c:showVal val="1"/>
            </c:dLbl>
            <c:delete val="1"/>
            <c:txPr>
              <a:bodyPr/>
              <a:lstStyle/>
              <a:p>
                <a:pPr>
                  <a:defRPr b="1"/>
                </a:pPr>
                <a:endParaRPr lang="ar-SA"/>
              </a:p>
            </c:txPr>
          </c:dLbls>
          <c:cat>
            <c:numRef>
              <c:f>Sheet1!$B$1:$L$1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Sheet1!$B$2:$L$2</c:f>
              <c:numCache>
                <c:formatCode>0.00%</c:formatCode>
                <c:ptCount val="11"/>
                <c:pt idx="0">
                  <c:v>3.0800000000000043E-2</c:v>
                </c:pt>
                <c:pt idx="1">
                  <c:v>0.1071000000000001</c:v>
                </c:pt>
                <c:pt idx="2">
                  <c:v>-6.7000000000000124E-3</c:v>
                </c:pt>
                <c:pt idx="3">
                  <c:v>3.7000000000000054E-2</c:v>
                </c:pt>
                <c:pt idx="4">
                  <c:v>3.7600000000000064E-2</c:v>
                </c:pt>
                <c:pt idx="5">
                  <c:v>9.3000000000000183E-3</c:v>
                </c:pt>
                <c:pt idx="6">
                  <c:v>7.8000000000000092E-3</c:v>
                </c:pt>
                <c:pt idx="7">
                  <c:v>1.4800000000000021E-2</c:v>
                </c:pt>
                <c:pt idx="8">
                  <c:v>1.2100000000000001E-2</c:v>
                </c:pt>
                <c:pt idx="9">
                  <c:v>1.6199999999999999E-2</c:v>
                </c:pt>
                <c:pt idx="10">
                  <c:v>-1.1702741605752175E-2</c:v>
                </c:pt>
              </c:numCache>
            </c:numRef>
          </c:val>
        </c:ser>
        <c:marker val="1"/>
        <c:axId val="84699776"/>
        <c:axId val="84701568"/>
      </c:lineChart>
      <c:catAx>
        <c:axId val="84699776"/>
        <c:scaling>
          <c:orientation val="minMax"/>
        </c:scaling>
        <c:axPos val="b"/>
        <c:numFmt formatCode="General" sourceLinked="0"/>
        <c:tickLblPos val="nextTo"/>
        <c:spPr>
          <a:ln w="3175">
            <a:solidFill>
              <a:srgbClr val="000000"/>
            </a:solidFill>
            <a:prstDash val="solid"/>
          </a:ln>
        </c:spPr>
        <c:txPr>
          <a:bodyPr rot="-2700000" vert="horz"/>
          <a:lstStyle/>
          <a:p>
            <a:pPr rtl="0">
              <a:defRPr/>
            </a:pPr>
            <a:endParaRPr lang="ar-SA"/>
          </a:p>
        </c:txPr>
        <c:crossAx val="84701568"/>
        <c:crosses val="autoZero"/>
        <c:auto val="1"/>
        <c:lblAlgn val="ctr"/>
        <c:lblOffset val="500"/>
        <c:tickLblSkip val="1"/>
        <c:tickMarkSkip val="1"/>
      </c:catAx>
      <c:valAx>
        <c:axId val="84701568"/>
        <c:scaling>
          <c:orientation val="minMax"/>
          <c:max val="0.13"/>
          <c:min val="-2.0000000000000032E-2"/>
        </c:scaling>
        <c:axPos val="l"/>
        <c:title>
          <c:tx>
            <c:rich>
              <a:bodyPr/>
              <a:lstStyle/>
              <a:p>
                <a:pPr>
                  <a:defRPr>
                    <a:latin typeface="Simplified Arabic" pitchFamily="18" charset="-78"/>
                    <a:cs typeface="Simplified Arabic" pitchFamily="18" charset="-78"/>
                  </a:defRPr>
                </a:pPr>
                <a:r>
                  <a:rPr lang="ar-SA">
                    <a:latin typeface="Simplified Arabic" pitchFamily="18" charset="-78"/>
                    <a:cs typeface="Simplified Arabic" pitchFamily="18" charset="-78"/>
                  </a:rPr>
                  <a:t>نسب التغّير السنوية في أسعار الجملة</a:t>
                </a:r>
              </a:p>
            </c:rich>
          </c:tx>
          <c:layout>
            <c:manualLayout>
              <c:xMode val="edge"/>
              <c:yMode val="edge"/>
              <c:x val="0"/>
              <c:y val="0.14403296362148291"/>
            </c:manualLayout>
          </c:layout>
          <c:spPr>
            <a:noFill/>
            <a:ln w="25399">
              <a:noFill/>
            </a:ln>
          </c:spPr>
        </c:title>
        <c:numFmt formatCode="0.0%" sourceLinked="0"/>
        <c:tickLblPos val="nextTo"/>
        <c:spPr>
          <a:ln w="3175">
            <a:solidFill>
              <a:srgbClr val="000000"/>
            </a:solidFill>
            <a:prstDash val="solid"/>
          </a:ln>
        </c:spPr>
        <c:txPr>
          <a:bodyPr rot="0" vert="horz"/>
          <a:lstStyle/>
          <a:p>
            <a:pPr>
              <a:defRPr/>
            </a:pPr>
            <a:endParaRPr lang="ar-SA"/>
          </a:p>
        </c:txPr>
        <c:crossAx val="84699776"/>
        <c:crosses val="autoZero"/>
        <c:crossBetween val="midCat"/>
        <c:majorUnit val="2.0000000000000039E-2"/>
      </c:valAx>
      <c:spPr>
        <a:noFill/>
        <a:ln w="25399">
          <a:noFill/>
        </a:ln>
      </c:spPr>
    </c:plotArea>
    <c:plotVisOnly val="1"/>
    <c:dispBlanksAs val="gap"/>
  </c:chart>
  <c:spPr>
    <a:noFill/>
    <a:ln w="12700" cap="flat" cmpd="sng" algn="ctr">
      <a:noFill/>
      <a:prstDash val="solid"/>
      <a:miter lim="800000"/>
      <a:headEnd type="none" w="med" len="med"/>
      <a:tailEnd type="none" w="med" len="med"/>
    </a:ln>
  </c:spPr>
  <c:txPr>
    <a:bodyPr/>
    <a:lstStyle/>
    <a:p>
      <a:pPr>
        <a:defRPr sz="850" b="0" i="0" u="none" strike="noStrike" baseline="0">
          <a:solidFill>
            <a:srgbClr val="000000"/>
          </a:solidFill>
          <a:latin typeface="Arial" pitchFamily="34" charset="0"/>
          <a:ea typeface="Calibri"/>
          <a:cs typeface="Arial" pitchFamily="34" charset="0"/>
        </a:defRPr>
      </a:pPr>
      <a:endParaRPr lang="ar-S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8937382827146609"/>
          <c:y val="7.6477005591692349E-2"/>
          <c:w val="0.72286396018679488"/>
          <c:h val="0.5472690031393137"/>
        </c:manualLayout>
      </c:layout>
      <c:lineChart>
        <c:grouping val="standard"/>
        <c:ser>
          <c:idx val="0"/>
          <c:order val="0"/>
          <c:tx>
            <c:strRef>
              <c:f>Sheet1!$A$2</c:f>
              <c:strCache>
                <c:ptCount val="1"/>
                <c:pt idx="0">
                  <c:v>الرقم القياسي</c:v>
                </c:pt>
              </c:strCache>
            </c:strRef>
          </c:tx>
          <c:spPr>
            <a:ln w="12699">
              <a:solidFill>
                <a:srgbClr val="000080"/>
              </a:solidFill>
              <a:prstDash val="solid"/>
            </a:ln>
          </c:spPr>
          <c:marker>
            <c:symbol val="circle"/>
            <c:size val="4"/>
            <c:spPr>
              <a:solidFill>
                <a:srgbClr val="000080"/>
              </a:solidFill>
              <a:ln>
                <a:solidFill>
                  <a:srgbClr val="000080"/>
                </a:solidFill>
                <a:prstDash val="solid"/>
              </a:ln>
            </c:spPr>
          </c:marker>
          <c:dLbls>
            <c:dLbl>
              <c:idx val="0"/>
              <c:layout>
                <c:manualLayout>
                  <c:x val="-5.2706479871834348E-2"/>
                  <c:y val="-5.9961715311901864E-2"/>
                </c:manualLayout>
              </c:layout>
              <c:spPr>
                <a:noFill/>
                <a:ln w="25399">
                  <a:noFill/>
                </a:ln>
              </c:spPr>
              <c:txPr>
                <a:bodyPr/>
                <a:lstStyle/>
                <a:p>
                  <a:pPr>
                    <a:defRPr b="1"/>
                  </a:pPr>
                  <a:endParaRPr lang="ar-SA"/>
                </a:p>
              </c:txPr>
              <c:dLblPos val="r"/>
              <c:showVal val="1"/>
            </c:dLbl>
            <c:dLbl>
              <c:idx val="8"/>
              <c:layout>
                <c:manualLayout>
                  <c:x val="-3.4632034632034632E-2"/>
                  <c:y val="-6.5162907268170422E-2"/>
                </c:manualLayout>
              </c:layout>
              <c:showVal val="1"/>
            </c:dLbl>
            <c:dLbl>
              <c:idx val="9"/>
              <c:layout>
                <c:manualLayout>
                  <c:x val="0"/>
                  <c:y val="-6.015037593984969E-2"/>
                </c:manualLayout>
              </c:layout>
              <c:showVal val="1"/>
            </c:dLbl>
            <c:delete val="1"/>
            <c:txPr>
              <a:bodyPr/>
              <a:lstStyle/>
              <a:p>
                <a:pPr>
                  <a:defRPr b="1"/>
                </a:pPr>
                <a:endParaRPr lang="ar-SA"/>
              </a:p>
            </c:txPr>
          </c:dLbls>
          <c:cat>
            <c:strRef>
              <c:f>Sheet1!$B$1:$J$1</c:f>
              <c:strCache>
                <c:ptCount val="9"/>
                <c:pt idx="0">
                  <c:v>الربع الرابع 2015</c:v>
                </c:pt>
                <c:pt idx="1">
                  <c:v>الربع الأول 2016</c:v>
                </c:pt>
                <c:pt idx="2">
                  <c:v>الربع الثاني 2016</c:v>
                </c:pt>
                <c:pt idx="3">
                  <c:v>الربع الثالث 2016</c:v>
                </c:pt>
                <c:pt idx="4">
                  <c:v>الربع الرابع 2016</c:v>
                </c:pt>
                <c:pt idx="5">
                  <c:v>الربع الأول 2017</c:v>
                </c:pt>
                <c:pt idx="6">
                  <c:v>الربع الثاني 2017</c:v>
                </c:pt>
                <c:pt idx="7">
                  <c:v>الربع الثالث 2017</c:v>
                </c:pt>
                <c:pt idx="8">
                  <c:v>الربع الرابع 2017</c:v>
                </c:pt>
              </c:strCache>
            </c:strRef>
          </c:cat>
          <c:val>
            <c:numRef>
              <c:f>Sheet1!$B$2:$J$2</c:f>
              <c:numCache>
                <c:formatCode>0.00</c:formatCode>
                <c:ptCount val="9"/>
                <c:pt idx="0">
                  <c:v>124.98</c:v>
                </c:pt>
                <c:pt idx="1">
                  <c:v>123.84</c:v>
                </c:pt>
                <c:pt idx="2">
                  <c:v>125.09</c:v>
                </c:pt>
                <c:pt idx="3">
                  <c:v>128.26</c:v>
                </c:pt>
                <c:pt idx="4">
                  <c:v>125.33</c:v>
                </c:pt>
                <c:pt idx="5">
                  <c:v>125.82</c:v>
                </c:pt>
                <c:pt idx="6">
                  <c:v>122</c:v>
                </c:pt>
                <c:pt idx="7">
                  <c:v>124.5093771472404</c:v>
                </c:pt>
                <c:pt idx="8">
                  <c:v>124.30406209233908</c:v>
                </c:pt>
              </c:numCache>
            </c:numRef>
          </c:val>
        </c:ser>
        <c:marker val="1"/>
        <c:axId val="52085504"/>
        <c:axId val="52087040"/>
      </c:lineChart>
      <c:catAx>
        <c:axId val="52085504"/>
        <c:scaling>
          <c:orientation val="minMax"/>
        </c:scaling>
        <c:axPos val="b"/>
        <c:numFmt formatCode="General" sourceLinked="1"/>
        <c:minorTickMark val="out"/>
        <c:tickLblPos val="nextTo"/>
        <c:spPr>
          <a:ln w="3175">
            <a:solidFill>
              <a:srgbClr val="000000"/>
            </a:solidFill>
            <a:prstDash val="solid"/>
          </a:ln>
        </c:spPr>
        <c:txPr>
          <a:bodyPr rot="3900000" vert="horz"/>
          <a:lstStyle/>
          <a:p>
            <a:pPr>
              <a:defRPr/>
            </a:pPr>
            <a:endParaRPr lang="ar-SA"/>
          </a:p>
        </c:txPr>
        <c:crossAx val="52087040"/>
        <c:crosses val="autoZero"/>
        <c:auto val="1"/>
        <c:lblAlgn val="ctr"/>
        <c:lblOffset val="100"/>
        <c:tickLblSkip val="1"/>
        <c:tickMarkSkip val="2"/>
      </c:catAx>
      <c:valAx>
        <c:axId val="52087040"/>
        <c:scaling>
          <c:orientation val="minMax"/>
          <c:max val="130"/>
          <c:min val="120"/>
        </c:scaling>
        <c:axPos val="l"/>
        <c:title>
          <c:tx>
            <c:rich>
              <a:bodyPr/>
              <a:lstStyle/>
              <a:p>
                <a:pPr>
                  <a:defRPr>
                    <a:latin typeface="Simplified Arabic" pitchFamily="18" charset="-78"/>
                    <a:cs typeface="Simplified Arabic" pitchFamily="18" charset="-78"/>
                  </a:defRPr>
                </a:pPr>
                <a:r>
                  <a:rPr lang="ar-SA">
                    <a:latin typeface="Simplified Arabic" pitchFamily="18" charset="-78"/>
                    <a:cs typeface="Simplified Arabic" pitchFamily="18" charset="-78"/>
                  </a:rPr>
                  <a:t>الرقم القياسي لأسعار الجملة  </a:t>
                </a:r>
                <a:r>
                  <a:rPr lang="en-US">
                    <a:latin typeface="Simplified Arabic" pitchFamily="18" charset="-78"/>
                    <a:cs typeface="Simplified Arabic" pitchFamily="18" charset="-78"/>
                  </a:rPr>
                  <a:t>WPI)</a:t>
                </a:r>
                <a:r>
                  <a:rPr lang="ar-SA">
                    <a:latin typeface="Simplified Arabic" pitchFamily="18" charset="-78"/>
                    <a:cs typeface="Simplified Arabic" pitchFamily="18" charset="-78"/>
                  </a:rPr>
                  <a:t>)</a:t>
                </a:r>
                <a:endParaRPr lang="en-US">
                  <a:latin typeface="Simplified Arabic" pitchFamily="18" charset="-78"/>
                  <a:cs typeface="Simplified Arabic" pitchFamily="18" charset="-78"/>
                </a:endParaRPr>
              </a:p>
            </c:rich>
          </c:tx>
          <c:layout>
            <c:manualLayout>
              <c:xMode val="edge"/>
              <c:yMode val="edge"/>
              <c:x val="0"/>
              <c:y val="0.16700125527787296"/>
            </c:manualLayout>
          </c:layout>
          <c:spPr>
            <a:noFill/>
            <a:ln w="25399">
              <a:noFill/>
            </a:ln>
          </c:spPr>
        </c:title>
        <c:numFmt formatCode="0" sourceLinked="0"/>
        <c:tickLblPos val="nextTo"/>
        <c:spPr>
          <a:ln w="3175">
            <a:solidFill>
              <a:srgbClr val="000000"/>
            </a:solidFill>
            <a:prstDash val="solid"/>
          </a:ln>
        </c:spPr>
        <c:txPr>
          <a:bodyPr rot="0" vert="horz"/>
          <a:lstStyle/>
          <a:p>
            <a:pPr>
              <a:defRPr/>
            </a:pPr>
            <a:endParaRPr lang="ar-SA"/>
          </a:p>
        </c:txPr>
        <c:crossAx val="52085504"/>
        <c:crosses val="autoZero"/>
        <c:crossBetween val="between"/>
        <c:majorUnit val="2"/>
      </c:valAx>
      <c:spPr>
        <a:noFill/>
        <a:ln w="25399">
          <a:noFill/>
        </a:ln>
      </c:spPr>
    </c:plotArea>
    <c:plotVisOnly val="1"/>
    <c:dispBlanksAs val="gap"/>
  </c:chart>
  <c:spPr>
    <a:noFill/>
    <a:ln w="6350" cap="flat" cmpd="sng" algn="ctr">
      <a:noFill/>
      <a:prstDash val="solid"/>
      <a:miter lim="800000"/>
      <a:headEnd type="none" w="med" len="med"/>
      <a:tailEnd type="none" w="med" len="med"/>
    </a:ln>
  </c:spPr>
  <c:txPr>
    <a:bodyPr/>
    <a:lstStyle/>
    <a:p>
      <a:pPr>
        <a:defRPr sz="900" b="0" i="0" u="none" strike="noStrike" baseline="0">
          <a:solidFill>
            <a:srgbClr val="000000"/>
          </a:solidFill>
          <a:latin typeface="Arial" pitchFamily="34" charset="0"/>
          <a:ea typeface="Calibri"/>
          <a:cs typeface="Arial" pitchFamily="34" charset="0"/>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hbadran</cp:lastModifiedBy>
  <cp:revision>2</cp:revision>
  <cp:lastPrinted>2018-01-17T12:46:00Z</cp:lastPrinted>
  <dcterms:created xsi:type="dcterms:W3CDTF">2018-01-17T12:47:00Z</dcterms:created>
  <dcterms:modified xsi:type="dcterms:W3CDTF">2018-01-17T12:47:00Z</dcterms:modified>
</cp:coreProperties>
</file>