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45" w:rsidRDefault="005A6145" w:rsidP="005A6145">
      <w:pPr>
        <w:ind w:right="-18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A6145" w:rsidRDefault="005A6145" w:rsidP="005A6145">
      <w:pPr>
        <w:ind w:right="-18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A6145" w:rsidRPr="005A6145" w:rsidRDefault="005A6145" w:rsidP="005A6145">
      <w:pPr>
        <w:ind w:right="-180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5A6145">
        <w:rPr>
          <w:rFonts w:cs="Simplified Arabic" w:hint="cs"/>
          <w:b/>
          <w:bCs/>
          <w:sz w:val="28"/>
          <w:szCs w:val="28"/>
          <w:rtl/>
        </w:rPr>
        <w:t>الاحصاء الفلسطيني: 1.58% ارتفاع مؤشر غلاء المعيشة في فلسطين خلال العام 2019</w:t>
      </w:r>
    </w:p>
    <w:p w:rsidR="005A6145" w:rsidRDefault="005A6145" w:rsidP="002A7A63">
      <w:pPr>
        <w:ind w:right="-180"/>
        <w:jc w:val="both"/>
        <w:rPr>
          <w:rFonts w:cs="Simplified Arabic"/>
          <w:b/>
          <w:bCs/>
        </w:rPr>
      </w:pPr>
    </w:p>
    <w:p w:rsidR="00D044A9" w:rsidRPr="00D044A9" w:rsidRDefault="00D044A9" w:rsidP="00D044A9">
      <w:pPr>
        <w:ind w:right="-180"/>
        <w:jc w:val="both"/>
        <w:rPr>
          <w:rFonts w:cs="Simplified Arabic" w:hint="cs"/>
          <w:b/>
          <w:bCs/>
          <w:sz w:val="8"/>
          <w:szCs w:val="8"/>
          <w:rtl/>
        </w:rPr>
      </w:pPr>
    </w:p>
    <w:p w:rsidR="0073078C" w:rsidRPr="005A6145" w:rsidRDefault="002A7A63" w:rsidP="002A7A63">
      <w:pPr>
        <w:ind w:right="-180"/>
        <w:jc w:val="both"/>
        <w:rPr>
          <w:rFonts w:cs="Simplified Arabic" w:hint="cs"/>
          <w:sz w:val="26"/>
          <w:szCs w:val="26"/>
          <w:rtl/>
        </w:rPr>
      </w:pPr>
      <w:r w:rsidRPr="005A6145">
        <w:rPr>
          <w:rFonts w:cs="Simplified Arabic"/>
          <w:sz w:val="26"/>
          <w:szCs w:val="26"/>
          <w:rtl/>
        </w:rPr>
        <w:t xml:space="preserve">سجل الرقم القياسي لأسعار المستهلك في فلسطين </w:t>
      </w:r>
      <w:r w:rsidRPr="005A6145">
        <w:rPr>
          <w:rFonts w:cs="Simplified Arabic" w:hint="cs"/>
          <w:sz w:val="26"/>
          <w:szCs w:val="26"/>
          <w:rtl/>
        </w:rPr>
        <w:t>ارتفاعاً</w:t>
      </w:r>
      <w:r w:rsidRPr="005A6145">
        <w:rPr>
          <w:rFonts w:cs="Simplified Arabic"/>
          <w:sz w:val="26"/>
          <w:szCs w:val="26"/>
          <w:rtl/>
        </w:rPr>
        <w:t xml:space="preserve"> </w:t>
      </w:r>
      <w:r w:rsidRPr="005A6145">
        <w:rPr>
          <w:rFonts w:cs="Simplified Arabic" w:hint="cs"/>
          <w:sz w:val="26"/>
          <w:szCs w:val="26"/>
          <w:rtl/>
        </w:rPr>
        <w:t>نسبته 1.58</w:t>
      </w:r>
      <w:r w:rsidRPr="005A6145">
        <w:rPr>
          <w:rFonts w:cs="Simplified Arabic"/>
          <w:sz w:val="26"/>
          <w:szCs w:val="26"/>
          <w:rtl/>
        </w:rPr>
        <w:t xml:space="preserve">% خلال العام </w:t>
      </w:r>
      <w:r w:rsidRPr="005A6145">
        <w:rPr>
          <w:rFonts w:cs="Simplified Arabic" w:hint="cs"/>
          <w:sz w:val="26"/>
          <w:szCs w:val="26"/>
          <w:rtl/>
        </w:rPr>
        <w:t>2019</w:t>
      </w:r>
      <w:r w:rsidRPr="005A6145">
        <w:rPr>
          <w:rFonts w:cs="Simplified Arabic"/>
          <w:sz w:val="26"/>
          <w:szCs w:val="26"/>
          <w:rtl/>
        </w:rPr>
        <w:t xml:space="preserve"> مقارنة مع العام </w:t>
      </w:r>
      <w:r w:rsidRPr="005A6145">
        <w:rPr>
          <w:rFonts w:cs="Simplified Arabic" w:hint="cs"/>
          <w:sz w:val="26"/>
          <w:szCs w:val="26"/>
          <w:rtl/>
        </w:rPr>
        <w:t>2018، و</w:t>
      </w:r>
      <w:r w:rsidR="0073078C" w:rsidRPr="005A6145">
        <w:rPr>
          <w:rFonts w:cs="Simplified Arabic"/>
          <w:sz w:val="26"/>
          <w:szCs w:val="26"/>
          <w:rtl/>
        </w:rPr>
        <w:t xml:space="preserve">يعود </w:t>
      </w:r>
      <w:r w:rsidRPr="005A6145">
        <w:rPr>
          <w:rFonts w:cs="Simplified Arabic" w:hint="cs"/>
          <w:sz w:val="26"/>
          <w:szCs w:val="26"/>
          <w:rtl/>
        </w:rPr>
        <w:t xml:space="preserve">ذلك </w:t>
      </w:r>
      <w:r w:rsidR="0073078C" w:rsidRPr="005A6145">
        <w:rPr>
          <w:rFonts w:cs="Simplified Arabic" w:hint="cs"/>
          <w:sz w:val="26"/>
          <w:szCs w:val="26"/>
          <w:rtl/>
        </w:rPr>
        <w:t>لارتفاع</w:t>
      </w:r>
      <w:r w:rsidR="0073078C" w:rsidRPr="005A6145">
        <w:rPr>
          <w:rFonts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الدجاج الطازج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14.40%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، وأسعار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الفواكه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الطازج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10.38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>%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، وأسعار الخضروات 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الطازجة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5.43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الأرز بنسبة 3.56%، وأسعار اللحوم الطازجة بنسبة 2.29%، </w:t>
      </w:r>
      <w:r w:rsidR="0073078C" w:rsidRPr="005A6145">
        <w:rPr>
          <w:rFonts w:cs="Simplified Arabic" w:hint="cs"/>
          <w:sz w:val="26"/>
          <w:szCs w:val="26"/>
          <w:rtl/>
        </w:rPr>
        <w:t>وأسعار أسماك حية طازجة أو مبردة أو مجمدة بنسبة 1.77%،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رغم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انخفاض 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>أسعار ا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لبيض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الطازج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بمقدار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12.75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>%،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الخضروات المجففة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78C" w:rsidRPr="005A6145">
        <w:rPr>
          <w:rFonts w:ascii="Simplified Arabic" w:hAnsi="Simplified Arabic" w:cs="Simplified Arabic" w:hint="cs"/>
          <w:sz w:val="26"/>
          <w:szCs w:val="26"/>
          <w:rtl/>
        </w:rPr>
        <w:t>6.99</w:t>
      </w:r>
      <w:r w:rsidR="0073078C" w:rsidRPr="005A6145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73078C" w:rsidRPr="005A6145" w:rsidRDefault="0073078C" w:rsidP="0073078C">
      <w:pPr>
        <w:ind w:right="-142"/>
        <w:jc w:val="both"/>
        <w:rPr>
          <w:rFonts w:cs="Simplified Arabic" w:hint="cs"/>
          <w:sz w:val="26"/>
          <w:szCs w:val="26"/>
          <w:rtl/>
        </w:rPr>
      </w:pPr>
    </w:p>
    <w:p w:rsidR="0073078C" w:rsidRPr="005A6145" w:rsidRDefault="0073078C" w:rsidP="002A7A63">
      <w:pPr>
        <w:ind w:right="-14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5A6145">
        <w:rPr>
          <w:rFonts w:cs="Simplified Arabic" w:hint="cs"/>
          <w:sz w:val="26"/>
          <w:szCs w:val="26"/>
          <w:rtl/>
        </w:rPr>
        <w:t xml:space="preserve">سجلت </w:t>
      </w:r>
      <w:r w:rsidR="002A7A63" w:rsidRPr="005A6145">
        <w:rPr>
          <w:rFonts w:cs="Simplified Arabic" w:hint="cs"/>
          <w:sz w:val="26"/>
          <w:szCs w:val="26"/>
          <w:rtl/>
        </w:rPr>
        <w:t xml:space="preserve">رسوم </w:t>
      </w:r>
      <w:r w:rsidRPr="005A6145">
        <w:rPr>
          <w:rFonts w:cs="Simplified Arabic" w:hint="cs"/>
          <w:sz w:val="26"/>
          <w:szCs w:val="26"/>
          <w:rtl/>
        </w:rPr>
        <w:t xml:space="preserve">التعليم العالي </w:t>
      </w:r>
      <w:r w:rsidR="002A7A63" w:rsidRPr="005A6145">
        <w:rPr>
          <w:rFonts w:cs="Simplified Arabic" w:hint="cs"/>
          <w:sz w:val="26"/>
          <w:szCs w:val="26"/>
          <w:rtl/>
        </w:rPr>
        <w:t xml:space="preserve">ارتفاعاً </w:t>
      </w:r>
      <w:r w:rsidRPr="005A6145">
        <w:rPr>
          <w:rFonts w:cs="Simplified Arabic" w:hint="cs"/>
          <w:sz w:val="26"/>
          <w:szCs w:val="26"/>
          <w:rtl/>
        </w:rPr>
        <w:t>بنسبة 1.70%</w:t>
      </w:r>
      <w:r w:rsidR="002A7A63" w:rsidRPr="005A6145">
        <w:rPr>
          <w:rFonts w:cs="Simplified Arabic" w:hint="cs"/>
          <w:sz w:val="26"/>
          <w:szCs w:val="26"/>
          <w:rtl/>
        </w:rPr>
        <w:t xml:space="preserve">،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BB1F79" w:rsidRPr="005A6145">
        <w:rPr>
          <w:rFonts w:cs="Simplified Arabic" w:hint="cs"/>
          <w:sz w:val="26"/>
          <w:szCs w:val="26"/>
          <w:rtl/>
        </w:rPr>
        <w:t>أسعار ملابس الأطفال</w:t>
      </w:r>
      <w:r w:rsidRPr="005A6145">
        <w:rPr>
          <w:rFonts w:cs="Simplified Arabic" w:hint="cs"/>
          <w:sz w:val="26"/>
          <w:szCs w:val="26"/>
          <w:rtl/>
        </w:rPr>
        <w:t xml:space="preserve"> </w:t>
      </w:r>
      <w:r w:rsidR="002A7A63" w:rsidRPr="005A6145">
        <w:rPr>
          <w:rFonts w:cs="Simplified Arabic" w:hint="cs"/>
          <w:sz w:val="26"/>
          <w:szCs w:val="26"/>
          <w:rtl/>
        </w:rPr>
        <w:t xml:space="preserve">انخفاضاً </w:t>
      </w:r>
      <w:r w:rsidRPr="005A6145">
        <w:rPr>
          <w:rFonts w:cs="Simplified Arabic" w:hint="cs"/>
          <w:sz w:val="26"/>
          <w:szCs w:val="26"/>
          <w:rtl/>
        </w:rPr>
        <w:t>مقدار</w:t>
      </w:r>
      <w:r w:rsidR="002A7A63" w:rsidRPr="005A6145">
        <w:rPr>
          <w:rFonts w:cs="Simplified Arabic" w:hint="cs"/>
          <w:sz w:val="26"/>
          <w:szCs w:val="26"/>
          <w:rtl/>
        </w:rPr>
        <w:t>ه</w:t>
      </w:r>
      <w:r w:rsidRPr="005A6145">
        <w:rPr>
          <w:rFonts w:cs="Simplified Arabic" w:hint="cs"/>
          <w:sz w:val="26"/>
          <w:szCs w:val="26"/>
          <w:rtl/>
        </w:rPr>
        <w:t xml:space="preserve"> 12.62%</w:t>
      </w:r>
      <w:r w:rsidR="002A7A63" w:rsidRPr="005A6145">
        <w:rPr>
          <w:rFonts w:cs="Simplified Arabic" w:hint="cs"/>
          <w:sz w:val="26"/>
          <w:szCs w:val="26"/>
          <w:rtl/>
        </w:rPr>
        <w:t xml:space="preserve">،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كذلك تراجع</w:t>
      </w:r>
      <w:r w:rsidR="002A7A63" w:rsidRPr="005A6145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A6145">
        <w:rPr>
          <w:rFonts w:cs="Simplified Arabic" w:hint="cs"/>
          <w:sz w:val="26"/>
          <w:szCs w:val="26"/>
          <w:rtl/>
        </w:rPr>
        <w:t>أسعار المحروقات السائلة المستخدمة كوقود للسيارات "الديزل" بمقدار 14.24%، وأسعار المحروقات السائلة المستخدمة كوقود للسيارات "البنزين" بمقدار 2.48%.</w:t>
      </w:r>
    </w:p>
    <w:p w:rsidR="00BC79FB" w:rsidRDefault="00BC79FB" w:rsidP="005000B5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9D07BD" w:rsidRPr="005A6145" w:rsidRDefault="00D044A9" w:rsidP="0073078C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التغّير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السنوية لأسعار المستهلك في فلسطين للسنوات: 2004 –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</w:t>
      </w:r>
      <w:r w:rsidR="001256E9"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</w:p>
    <w:p w:rsidR="00854A03" w:rsidRPr="00AA409F" w:rsidRDefault="00720707" w:rsidP="00AA409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2962275" cy="18288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6145" w:rsidRDefault="005A6145" w:rsidP="00A17930">
      <w:pPr>
        <w:pStyle w:val="Header"/>
        <w:jc w:val="lowKashida"/>
        <w:rPr>
          <w:rFonts w:ascii="Simplified Arabic" w:hAnsi="Simplified Arabic" w:cs="Simplified Arabic" w:hint="cs"/>
          <w:b/>
          <w:bCs/>
          <w:snapToGrid/>
          <w:sz w:val="24"/>
          <w:szCs w:val="24"/>
          <w:rtl/>
          <w:lang w:val="en-US" w:eastAsia="ar-SA"/>
        </w:rPr>
      </w:pPr>
    </w:p>
    <w:p w:rsidR="00C33581" w:rsidRPr="005A6145" w:rsidRDefault="00C33581" w:rsidP="00A17930">
      <w:pPr>
        <w:pStyle w:val="Header"/>
        <w:jc w:val="lowKashida"/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</w:pPr>
      <w:r w:rsidRPr="005A6145"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  <w:t>الرقم القياسي لأسعار المستهلك على مستوى المناطق الفلسطينية</w:t>
      </w:r>
    </w:p>
    <w:p w:rsidR="004E3814" w:rsidRPr="005A6145" w:rsidRDefault="004E3814" w:rsidP="002A7A6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السلع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الاستهلاكية في 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رتفاع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اً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1.81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العام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مقارنة بالعام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2018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نتج هذا الا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رتفاع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بصورة رئيسية عن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9C3077" w:rsidRPr="005A6145">
        <w:rPr>
          <w:rFonts w:ascii="Simplified Arabic" w:hAnsi="Simplified Arabic" w:cs="Simplified Arabic" w:hint="cs"/>
          <w:sz w:val="26"/>
          <w:szCs w:val="26"/>
          <w:rtl/>
        </w:rPr>
        <w:t>الدجاج الطازج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17.96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الفواكه الطازجة بنسبة 11.13%، وأسعار الأرز بنسبة 7.11%،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وأسعار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الدرنيات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6.53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>%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، وأسعار الخضروات الطازجة بنسبة 3.90%، وأسعار اللحوم الطازجة بنسبة 3.34%، وأسعار الزيوت النباتية بنسبة 2.15%، وأسعار الخضروات المجففة بنسبة 1.75%،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انخفاض أسعار البيض الطازج بمقدار 16.64%،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A6145">
        <w:rPr>
          <w:rFonts w:cs="Simplified Arabic" w:hint="cs"/>
          <w:sz w:val="26"/>
          <w:szCs w:val="26"/>
          <w:rtl/>
        </w:rPr>
        <w:t>أسماك حية طازجة أو مبردة أو مجمدة بمقدار 3.47%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E3814" w:rsidRPr="005A6145" w:rsidRDefault="004E3814" w:rsidP="004E3814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4E3814" w:rsidRPr="005A6145" w:rsidRDefault="004E3814" w:rsidP="002A7A63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سجلت </w:t>
      </w:r>
      <w:r w:rsidR="002A7A6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رسوم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التعليم العالي </w:t>
      </w:r>
      <w:r w:rsidR="002A7A6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>نسب</w:t>
      </w:r>
      <w:r w:rsidR="002A7A63" w:rsidRPr="005A6145">
        <w:rPr>
          <w:rFonts w:ascii="Simplified Arabic" w:hAnsi="Simplified Arabic" w:cs="Simplified Arabic" w:hint="cs"/>
          <w:sz w:val="26"/>
          <w:szCs w:val="26"/>
          <w:rtl/>
        </w:rPr>
        <w:t>ته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2.69%</w:t>
      </w:r>
      <w:r w:rsidR="002A7A6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في المقابل انخفضت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>أسعار ملابس الأطفال بمقدار 12.52%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خلال العام </w:t>
      </w:r>
      <w:r w:rsidR="00C92DD6" w:rsidRPr="005A6145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مقارنة بالعام السابق.</w:t>
      </w:r>
    </w:p>
    <w:p w:rsidR="004E3814" w:rsidRPr="005A6145" w:rsidRDefault="004E3814" w:rsidP="004E3814">
      <w:pPr>
        <w:ind w:right="-18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1245A3" w:rsidRPr="005A6145" w:rsidRDefault="001245A3" w:rsidP="00303D06">
      <w:pPr>
        <w:ind w:right="-18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5A6145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كما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السلع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الاستهلاكية في 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5A6145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1.37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العام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مقارنة بالعام 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2018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03D06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ويعود ذلك لارتفاع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الأرز بنسبة 10.44%، وأسعار الخضروات المجففة بنسبة 10.02%، و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A6145">
        <w:rPr>
          <w:rFonts w:cs="Simplified Arabic" w:hint="cs"/>
          <w:sz w:val="26"/>
          <w:szCs w:val="26"/>
          <w:rtl/>
        </w:rPr>
        <w:t>أسماك حية طازجة أو مبردة أو مجمدة بنسبة 7.53%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، وأسعار الخضروات الطازجة بنسبة 7.16%، وأسعار الفواكه الطازجة بنسبة 6.93%،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وأسعار البيض الطازج بنسبة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2.65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%، على الرغم من انخفاض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الدرنيات بمقدار 5.51%، وأسعار الزيوت النباتية بمقدار 1.80%،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بمقدار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1.44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>%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303D06" w:rsidRPr="005A6145" w:rsidRDefault="00303D06" w:rsidP="00303D06">
      <w:pPr>
        <w:ind w:right="-18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887E54" w:rsidRPr="005A6145" w:rsidRDefault="00303D06" w:rsidP="00303D06">
      <w:pPr>
        <w:ind w:right="-18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سجلت رسوم التعليم الثانوي ارتفاعاً بنسبة 4.64%، </w:t>
      </w:r>
      <w:r w:rsidR="001245A3" w:rsidRPr="005A6145">
        <w:rPr>
          <w:rFonts w:cs="Simplified Arabic" w:hint="cs"/>
          <w:color w:val="000000"/>
          <w:sz w:val="26"/>
          <w:szCs w:val="26"/>
          <w:rtl/>
        </w:rPr>
        <w:t xml:space="preserve">في المقابل انخفضت </w:t>
      </w:r>
      <w:r w:rsidR="00854A03" w:rsidRPr="005A6145">
        <w:rPr>
          <w:rFonts w:cs="Simplified Arabic" w:hint="cs"/>
          <w:color w:val="000000"/>
          <w:sz w:val="26"/>
          <w:szCs w:val="26"/>
          <w:rtl/>
        </w:rPr>
        <w:t>أسعار ملابس الأطفال بمقدار 30.31%</w:t>
      </w:r>
      <w:r w:rsidR="001245A3" w:rsidRPr="005A6145">
        <w:rPr>
          <w:rFonts w:cs="Simplified Arabic" w:hint="cs"/>
          <w:color w:val="000000"/>
          <w:sz w:val="26"/>
          <w:szCs w:val="26"/>
          <w:rtl/>
        </w:rPr>
        <w:t xml:space="preserve">، </w:t>
      </w:r>
      <w:r w:rsidR="006C502E" w:rsidRPr="005A6145">
        <w:rPr>
          <w:rFonts w:cs="Simplified Arabic" w:hint="cs"/>
          <w:color w:val="000000"/>
          <w:sz w:val="26"/>
          <w:szCs w:val="26"/>
          <w:rtl/>
        </w:rPr>
        <w:t>و</w:t>
      </w:r>
      <w:r w:rsidR="00887E54" w:rsidRPr="005A6145">
        <w:rPr>
          <w:rFonts w:cs="Simplified Arabic" w:hint="cs"/>
          <w:sz w:val="26"/>
          <w:szCs w:val="26"/>
          <w:rtl/>
        </w:rPr>
        <w:t>أسعار المحروقات السائلة المستخدمة كوقود للسيارات "البنزين" بمقدار 3.38%.</w:t>
      </w:r>
      <w:r w:rsidR="00887E54" w:rsidRPr="005A6145">
        <w:rPr>
          <w:rFonts w:cs="Simplified Arabic" w:hint="cs"/>
          <w:color w:val="000000"/>
          <w:sz w:val="26"/>
          <w:szCs w:val="26"/>
          <w:rtl/>
        </w:rPr>
        <w:t xml:space="preserve"> </w:t>
      </w:r>
    </w:p>
    <w:p w:rsidR="001245A3" w:rsidRPr="005A6145" w:rsidRDefault="001245A3" w:rsidP="001245A3">
      <w:pPr>
        <w:ind w:right="-180"/>
        <w:jc w:val="both"/>
        <w:rPr>
          <w:rFonts w:cs="Simplified Arabic"/>
          <w:color w:val="FF0000"/>
          <w:sz w:val="26"/>
          <w:szCs w:val="26"/>
          <w:rtl/>
        </w:rPr>
      </w:pPr>
    </w:p>
    <w:p w:rsidR="001657A1" w:rsidRPr="005A6145" w:rsidRDefault="00835B44" w:rsidP="00303D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السلع 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الاستهلاكية في 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3929E4"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ارتفاعاً</w:t>
      </w:r>
      <w:r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ً </w:t>
      </w:r>
      <w:r w:rsidR="003929E4"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929E4"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0.40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العام </w:t>
      </w:r>
      <w:r w:rsidR="003929E4"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مقارنة بالعام </w:t>
      </w:r>
      <w:r w:rsidR="003929E4" w:rsidRPr="005A614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2018</w:t>
      </w:r>
      <w:r w:rsidRPr="005A6145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نتيجة </w:t>
      </w:r>
      <w:r w:rsidR="003929E4" w:rsidRPr="005A6145">
        <w:rPr>
          <w:rFonts w:ascii="Simplified Arabic" w:hAnsi="Simplified Arabic" w:cs="Simplified Arabic" w:hint="cs"/>
          <w:sz w:val="26"/>
          <w:szCs w:val="26"/>
          <w:rtl/>
        </w:rPr>
        <w:t>لا</w:t>
      </w:r>
      <w:r w:rsidR="001256E9" w:rsidRPr="005A6145">
        <w:rPr>
          <w:rFonts w:ascii="Simplified Arabic" w:hAnsi="Simplified Arabic" w:cs="Simplified Arabic" w:hint="cs"/>
          <w:sz w:val="26"/>
          <w:szCs w:val="26"/>
          <w:rtl/>
        </w:rPr>
        <w:t>ر</w:t>
      </w:r>
      <w:r w:rsidR="003929E4" w:rsidRPr="005A6145">
        <w:rPr>
          <w:rFonts w:ascii="Simplified Arabic" w:hAnsi="Simplified Arabic" w:cs="Simplified Arabic" w:hint="cs"/>
          <w:sz w:val="26"/>
          <w:szCs w:val="26"/>
          <w:rtl/>
        </w:rPr>
        <w:t>تفاع</w:t>
      </w:r>
      <w:r w:rsidRPr="005A614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354D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السجائر المستوردة </w:t>
      </w:r>
      <w:r w:rsidR="003929E4" w:rsidRPr="005A6145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25354D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5.</w:t>
      </w:r>
      <w:r w:rsidR="003929E4" w:rsidRPr="005A6145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25354D" w:rsidRPr="005A6145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كما ارتفعت </w:t>
      </w:r>
      <w:r w:rsidR="003929E4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>ملابس الأطفال بنسبة 2.93%</w:t>
      </w:r>
      <w:r w:rsidR="00303D06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BE426A" w:rsidRPr="005A6145">
        <w:rPr>
          <w:rFonts w:ascii="Simplified Arabic" w:hAnsi="Simplified Arabic" w:cs="Simplified Arabic" w:hint="cs"/>
          <w:sz w:val="26"/>
          <w:szCs w:val="26"/>
          <w:rtl/>
        </w:rPr>
        <w:t>في المقابل سجلت</w:t>
      </w:r>
      <w:r w:rsidR="0025354D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929E4" w:rsidRPr="005A6145">
        <w:rPr>
          <w:rFonts w:cs="Simplified Arabic" w:hint="cs"/>
          <w:color w:val="000000"/>
          <w:sz w:val="26"/>
          <w:szCs w:val="26"/>
          <w:rtl/>
        </w:rPr>
        <w:t xml:space="preserve">أسعار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الأدوية </w:t>
      </w:r>
      <w:r w:rsidR="00303D06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>مقدار</w:t>
      </w:r>
      <w:r w:rsidR="00303D06" w:rsidRPr="005A6145">
        <w:rPr>
          <w:rFonts w:ascii="Simplified Arabic" w:hAnsi="Simplified Arabic" w:cs="Simplified Arabic" w:hint="cs"/>
          <w:sz w:val="26"/>
          <w:szCs w:val="26"/>
          <w:rtl/>
        </w:rPr>
        <w:t>ه</w:t>
      </w:r>
      <w:r w:rsidR="00854A03" w:rsidRPr="005A6145">
        <w:rPr>
          <w:rFonts w:ascii="Simplified Arabic" w:hAnsi="Simplified Arabic" w:cs="Simplified Arabic" w:hint="cs"/>
          <w:sz w:val="26"/>
          <w:szCs w:val="26"/>
          <w:rtl/>
        </w:rPr>
        <w:t xml:space="preserve"> 5.36%</w:t>
      </w:r>
      <w:r w:rsidR="003929E4" w:rsidRPr="005A6145">
        <w:rPr>
          <w:rFonts w:ascii="Simplified Arabic" w:hAnsi="Simplified Arabic" w:cs="Simplified Arabic" w:hint="cs"/>
          <w:sz w:val="26"/>
          <w:szCs w:val="26"/>
          <w:rtl/>
        </w:rPr>
        <w:t>.</w:t>
      </w:r>
      <w:bookmarkStart w:id="0" w:name="OLE_LINK5"/>
      <w:bookmarkStart w:id="1" w:name="OLE_LINK6"/>
    </w:p>
    <w:p w:rsidR="008721E1" w:rsidRPr="005A6145" w:rsidRDefault="00C71A7C" w:rsidP="00855140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lang w:val="en-US"/>
        </w:rPr>
      </w:pPr>
      <w:r w:rsidRPr="005A6145">
        <w:rPr>
          <w:rFonts w:cs="Simplified Arabic" w:hint="cs"/>
          <w:b/>
          <w:bCs/>
          <w:sz w:val="26"/>
          <w:szCs w:val="26"/>
          <w:rtl/>
        </w:rPr>
        <w:t>نسب التغير الشهرية</w:t>
      </w:r>
      <w:r w:rsidR="008721E1" w:rsidRPr="005A6145">
        <w:rPr>
          <w:rFonts w:cs="Simplified Arabic" w:hint="cs"/>
          <w:b/>
          <w:bCs/>
          <w:sz w:val="26"/>
          <w:szCs w:val="26"/>
          <w:rtl/>
        </w:rPr>
        <w:t xml:space="preserve"> لأسعار المستهلك </w:t>
      </w:r>
      <w:r w:rsidR="00390677" w:rsidRPr="005A6145">
        <w:rPr>
          <w:rFonts w:cs="Simplified Arabic" w:hint="cs"/>
          <w:b/>
          <w:bCs/>
          <w:sz w:val="26"/>
          <w:szCs w:val="26"/>
          <w:rtl/>
        </w:rPr>
        <w:t xml:space="preserve">في فلسطين </w:t>
      </w:r>
      <w:r w:rsidR="00855140" w:rsidRPr="005A6145">
        <w:rPr>
          <w:rFonts w:cs="Simplified Arabic" w:hint="cs"/>
          <w:b/>
          <w:bCs/>
          <w:sz w:val="26"/>
          <w:szCs w:val="26"/>
          <w:rtl/>
        </w:rPr>
        <w:t>خلال</w:t>
      </w:r>
      <w:r w:rsidR="00276D5A" w:rsidRPr="005A6145">
        <w:rPr>
          <w:rFonts w:cs="Simplified Arabic" w:hint="cs"/>
          <w:b/>
          <w:bCs/>
          <w:sz w:val="26"/>
          <w:szCs w:val="26"/>
          <w:rtl/>
        </w:rPr>
        <w:t xml:space="preserve"> العام </w:t>
      </w:r>
      <w:r w:rsidR="001E7512" w:rsidRPr="005A6145">
        <w:rPr>
          <w:rFonts w:cs="Simplified Arabic" w:hint="cs"/>
          <w:b/>
          <w:bCs/>
          <w:sz w:val="26"/>
          <w:szCs w:val="26"/>
          <w:rtl/>
        </w:rPr>
        <w:t>2019</w:t>
      </w:r>
    </w:p>
    <w:bookmarkEnd w:id="0"/>
    <w:bookmarkEnd w:id="1"/>
    <w:p w:rsidR="00214DF7" w:rsidRDefault="00720707" w:rsidP="00194640">
      <w:pPr>
        <w:pStyle w:val="BodyText2"/>
        <w:spacing w:after="0" w:line="240" w:lineRule="auto"/>
        <w:jc w:val="center"/>
        <w:rPr>
          <w:rFonts w:cs="Simplified Arabic" w:hint="cs"/>
          <w:b/>
          <w:bCs/>
          <w:rtl/>
        </w:rPr>
      </w:pPr>
      <w:r>
        <w:rPr>
          <w:rFonts w:cs="Simplified Arabic"/>
          <w:b/>
          <w:bCs/>
          <w:noProof/>
          <w:lang w:val="en-US" w:eastAsia="en-US"/>
        </w:rPr>
        <w:drawing>
          <wp:inline distT="0" distB="0" distL="0" distR="0">
            <wp:extent cx="2924175" cy="212407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409F" w:rsidRDefault="00AA409F" w:rsidP="00B71728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B71728" w:rsidRPr="005A6145" w:rsidRDefault="00B71728" w:rsidP="00B71728">
      <w:pPr>
        <w:pStyle w:val="BodyText2"/>
        <w:spacing w:after="0" w:line="240" w:lineRule="auto"/>
        <w:rPr>
          <w:rFonts w:cs="Simplified Arabic"/>
          <w:b/>
          <w:bCs/>
          <w:color w:val="000000"/>
          <w:sz w:val="22"/>
          <w:szCs w:val="22"/>
          <w:rtl/>
        </w:rPr>
      </w:pPr>
      <w:r w:rsidRPr="005A6145">
        <w:rPr>
          <w:rFonts w:cs="Simplified Arabic" w:hint="cs"/>
          <w:b/>
          <w:bCs/>
          <w:color w:val="000000"/>
          <w:sz w:val="22"/>
          <w:szCs w:val="22"/>
          <w:rtl/>
        </w:rPr>
        <w:t>تنويه:</w:t>
      </w:r>
    </w:p>
    <w:p w:rsidR="00B71728" w:rsidRPr="005A6145" w:rsidRDefault="00B71728" w:rsidP="00B71728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2"/>
          <w:szCs w:val="22"/>
          <w:rtl/>
        </w:rPr>
      </w:pPr>
      <w:r w:rsidRPr="005A6145">
        <w:rPr>
          <w:rFonts w:cs="Simplified Arabic" w:hint="cs"/>
          <w:color w:val="000000"/>
          <w:sz w:val="22"/>
          <w:szCs w:val="22"/>
          <w:rtl/>
        </w:rPr>
        <w:t>تم تحديث سنة الأساس للرقم القياسي لأسعار المستهلك لتصبح 2018.</w:t>
      </w:r>
    </w:p>
    <w:p w:rsidR="00B71728" w:rsidRPr="005A6145" w:rsidRDefault="00B71728" w:rsidP="00B71728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 w:hint="cs"/>
          <w:color w:val="000000"/>
          <w:sz w:val="22"/>
          <w:szCs w:val="22"/>
        </w:rPr>
      </w:pPr>
      <w:r w:rsidRPr="005A6145">
        <w:rPr>
          <w:rFonts w:cs="Simplified Arabic" w:hint="cs"/>
          <w:color w:val="000000"/>
          <w:sz w:val="22"/>
          <w:szCs w:val="22"/>
          <w:rtl/>
        </w:rPr>
        <w:t xml:space="preserve">تم الاعتماد على الإصدار الجديد من تصنيف الاستهلاك الفردي حسب الغرض من الاستخدام </w:t>
      </w:r>
      <w:r w:rsidRPr="005A6145">
        <w:rPr>
          <w:rFonts w:cs="Simplified Arabic"/>
          <w:color w:val="000000"/>
          <w:sz w:val="22"/>
          <w:szCs w:val="22"/>
        </w:rPr>
        <w:t>COICOP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/>
          <w:color w:val="000000"/>
          <w:sz w:val="22"/>
          <w:szCs w:val="22"/>
          <w:rtl/>
        </w:rPr>
        <w:t>–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 2018 والصادر عن شعبة الإحصاء في الأمم المتحدة، لتصنيف المجموعات الرئيسية والسلع والخدمات الاستهلاكية.</w:t>
      </w:r>
    </w:p>
    <w:p w:rsidR="000632C3" w:rsidRPr="005A6145" w:rsidRDefault="000632C3" w:rsidP="000632C3">
      <w:pPr>
        <w:pStyle w:val="BodyText2"/>
        <w:spacing w:after="0" w:line="240" w:lineRule="auto"/>
        <w:ind w:left="282"/>
        <w:jc w:val="both"/>
        <w:rPr>
          <w:rFonts w:cs="Simplified Arabic"/>
          <w:color w:val="000000"/>
          <w:sz w:val="22"/>
          <w:szCs w:val="22"/>
          <w:rtl/>
        </w:rPr>
      </w:pPr>
    </w:p>
    <w:p w:rsidR="00B71728" w:rsidRPr="005A6145" w:rsidRDefault="00B71728" w:rsidP="00B71728">
      <w:pPr>
        <w:pStyle w:val="BodyText2"/>
        <w:spacing w:after="0" w:line="240" w:lineRule="auto"/>
        <w:rPr>
          <w:rFonts w:cs="Simplified Arabic"/>
          <w:b/>
          <w:bCs/>
          <w:color w:val="FF0000"/>
          <w:sz w:val="22"/>
          <w:szCs w:val="22"/>
          <w:rtl/>
        </w:rPr>
      </w:pPr>
      <w:r w:rsidRPr="005A6145">
        <w:rPr>
          <w:rFonts w:cs="Simplified Arabic" w:hint="cs"/>
          <w:b/>
          <w:bCs/>
          <w:color w:val="000000"/>
          <w:sz w:val="22"/>
          <w:szCs w:val="22"/>
          <w:rtl/>
        </w:rPr>
        <w:t>ملاحظات:</w:t>
      </w:r>
    </w:p>
    <w:p w:rsidR="00B71728" w:rsidRPr="005A6145" w:rsidRDefault="00B71728" w:rsidP="00B71728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sz w:val="22"/>
          <w:szCs w:val="22"/>
          <w:rtl/>
        </w:rPr>
      </w:pPr>
      <w:r w:rsidRPr="005A6145">
        <w:rPr>
          <w:rFonts w:cs="Simplified Arabic" w:hint="cs"/>
          <w:color w:val="000000"/>
          <w:sz w:val="22"/>
          <w:szCs w:val="22"/>
          <w:rtl/>
        </w:rPr>
        <w:t xml:space="preserve">*البيانات تمثل </w:t>
      </w:r>
      <w:r w:rsidRPr="005A6145">
        <w:rPr>
          <w:rFonts w:cs="Simplified Arabic"/>
          <w:color w:val="000000"/>
          <w:sz w:val="22"/>
          <w:szCs w:val="22"/>
          <w:rtl/>
        </w:rPr>
        <w:t xml:space="preserve">ذلك الجزء من محافظة القدس </w:t>
      </w:r>
      <w:r w:rsidRPr="005A6145">
        <w:rPr>
          <w:rFonts w:cs="Simplified Arabic" w:hint="cs"/>
          <w:color w:val="000000"/>
          <w:sz w:val="22"/>
          <w:szCs w:val="22"/>
          <w:rtl/>
        </w:rPr>
        <w:t>و</w:t>
      </w:r>
      <w:r w:rsidRPr="005A6145">
        <w:rPr>
          <w:rFonts w:cs="Simplified Arabic"/>
          <w:color w:val="000000"/>
          <w:sz w:val="22"/>
          <w:szCs w:val="22"/>
          <w:rtl/>
        </w:rPr>
        <w:t>الذي ضم</w:t>
      </w:r>
      <w:r w:rsidRPr="005A6145">
        <w:rPr>
          <w:rFonts w:cs="Simplified Arabic" w:hint="cs"/>
          <w:color w:val="000000"/>
          <w:sz w:val="22"/>
          <w:szCs w:val="22"/>
          <w:rtl/>
        </w:rPr>
        <w:t>ه الاحتلال</w:t>
      </w:r>
      <w:r w:rsidRPr="005A6145">
        <w:rPr>
          <w:rFonts w:cs="Simplified Arabic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 w:hint="cs"/>
          <w:color w:val="000000"/>
          <w:sz w:val="22"/>
          <w:szCs w:val="22"/>
          <w:rtl/>
        </w:rPr>
        <w:t>الإسرائيل</w:t>
      </w:r>
      <w:r w:rsidRPr="005A6145">
        <w:rPr>
          <w:rFonts w:cs="Simplified Arabic" w:hint="eastAsia"/>
          <w:color w:val="000000"/>
          <w:sz w:val="22"/>
          <w:szCs w:val="22"/>
          <w:rtl/>
        </w:rPr>
        <w:t>ي</w:t>
      </w:r>
      <w:r w:rsidRPr="005A6145">
        <w:rPr>
          <w:rFonts w:cs="Simplified Arabic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إليه </w:t>
      </w:r>
      <w:r w:rsidRPr="005A6145">
        <w:rPr>
          <w:rFonts w:cs="Simplified Arabic"/>
          <w:color w:val="000000"/>
          <w:sz w:val="22"/>
          <w:szCs w:val="22"/>
          <w:rtl/>
        </w:rPr>
        <w:t>عنوة بعيد احتلاله للضفة الغربية عام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/>
          <w:color w:val="000000"/>
          <w:sz w:val="22"/>
          <w:szCs w:val="22"/>
          <w:rtl/>
        </w:rPr>
        <w:t>1967.</w:t>
      </w:r>
    </w:p>
    <w:p w:rsidR="00B71728" w:rsidRPr="005A6145" w:rsidRDefault="00B71728" w:rsidP="00B71728">
      <w:pPr>
        <w:pStyle w:val="BodyText2"/>
        <w:spacing w:after="0" w:line="240" w:lineRule="auto"/>
        <w:jc w:val="both"/>
        <w:rPr>
          <w:rFonts w:cs="Simplified Arabic"/>
          <w:color w:val="000000"/>
          <w:sz w:val="22"/>
          <w:szCs w:val="22"/>
        </w:rPr>
      </w:pPr>
      <w:bookmarkStart w:id="2" w:name="OLE_LINK7"/>
      <w:bookmarkStart w:id="3" w:name="OLE_LINK8"/>
      <w:r w:rsidRPr="005A6145">
        <w:rPr>
          <w:rFonts w:cs="Simplified Arabic" w:hint="cs"/>
          <w:color w:val="000000"/>
          <w:sz w:val="22"/>
          <w:szCs w:val="22"/>
          <w:rtl/>
        </w:rPr>
        <w:t xml:space="preserve">**البيانات </w:t>
      </w:r>
      <w:r w:rsidRPr="005A6145">
        <w:rPr>
          <w:rFonts w:cs="Simplified Arabic"/>
          <w:color w:val="000000"/>
          <w:sz w:val="22"/>
          <w:szCs w:val="22"/>
          <w:rtl/>
        </w:rPr>
        <w:t>لا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 </w:t>
      </w:r>
      <w:bookmarkEnd w:id="2"/>
      <w:bookmarkEnd w:id="3"/>
      <w:r w:rsidRPr="005A6145">
        <w:rPr>
          <w:rFonts w:cs="Simplified Arabic" w:hint="cs"/>
          <w:color w:val="000000"/>
          <w:sz w:val="22"/>
          <w:szCs w:val="22"/>
          <w:rtl/>
        </w:rPr>
        <w:t xml:space="preserve">تشمل </w:t>
      </w:r>
      <w:r w:rsidRPr="005A6145">
        <w:rPr>
          <w:rFonts w:cs="Simplified Arabic"/>
          <w:color w:val="000000"/>
          <w:sz w:val="22"/>
          <w:szCs w:val="22"/>
          <w:rtl/>
        </w:rPr>
        <w:t xml:space="preserve">ذلك الجزء من محافظة القدس </w:t>
      </w:r>
      <w:r w:rsidRPr="005A6145">
        <w:rPr>
          <w:rFonts w:cs="Simplified Arabic" w:hint="cs"/>
          <w:color w:val="000000"/>
          <w:sz w:val="22"/>
          <w:szCs w:val="22"/>
          <w:rtl/>
        </w:rPr>
        <w:t>و</w:t>
      </w:r>
      <w:r w:rsidRPr="005A6145">
        <w:rPr>
          <w:rFonts w:cs="Simplified Arabic"/>
          <w:color w:val="000000"/>
          <w:sz w:val="22"/>
          <w:szCs w:val="22"/>
          <w:rtl/>
        </w:rPr>
        <w:t>الذي ضم</w:t>
      </w:r>
      <w:r w:rsidRPr="005A6145">
        <w:rPr>
          <w:rFonts w:cs="Simplified Arabic" w:hint="cs"/>
          <w:color w:val="000000"/>
          <w:sz w:val="22"/>
          <w:szCs w:val="22"/>
          <w:rtl/>
        </w:rPr>
        <w:t>ه الاحتلال</w:t>
      </w:r>
      <w:r w:rsidRPr="005A6145">
        <w:rPr>
          <w:rFonts w:cs="Simplified Arabic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 w:hint="cs"/>
          <w:color w:val="000000"/>
          <w:sz w:val="22"/>
          <w:szCs w:val="22"/>
          <w:rtl/>
        </w:rPr>
        <w:t>الإسرائيلي</w:t>
      </w:r>
      <w:r w:rsidRPr="005A6145">
        <w:rPr>
          <w:rFonts w:cs="Simplified Arabic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إليه </w:t>
      </w:r>
      <w:r w:rsidRPr="005A6145">
        <w:rPr>
          <w:rFonts w:cs="Simplified Arabic"/>
          <w:color w:val="000000"/>
          <w:sz w:val="22"/>
          <w:szCs w:val="22"/>
          <w:rtl/>
        </w:rPr>
        <w:t>عنوة بعيد احتلاله للضفة الغربية عام</w:t>
      </w:r>
      <w:r w:rsidRPr="005A614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5A6145">
        <w:rPr>
          <w:rFonts w:cs="Simplified Arabic"/>
          <w:color w:val="000000"/>
          <w:sz w:val="22"/>
          <w:szCs w:val="22"/>
          <w:rtl/>
        </w:rPr>
        <w:t>1967.</w:t>
      </w:r>
    </w:p>
    <w:p w:rsidR="00B71728" w:rsidRDefault="00B71728" w:rsidP="00B71728">
      <w:pPr>
        <w:pStyle w:val="BodyText2"/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sectPr w:rsidR="00B71728" w:rsidSect="005A6145">
      <w:footerReference w:type="even" r:id="rId10"/>
      <w:footerReference w:type="default" r:id="rId11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92" w:rsidRDefault="00B75892">
      <w:r>
        <w:separator/>
      </w:r>
    </w:p>
  </w:endnote>
  <w:endnote w:type="continuationSeparator" w:id="0">
    <w:p w:rsidR="00B75892" w:rsidRDefault="00B7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63" w:rsidRDefault="002A7A6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7A63" w:rsidRDefault="002A7A63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63" w:rsidRDefault="002A7A63">
    <w:pPr>
      <w:pStyle w:val="Footer"/>
      <w:jc w:val="center"/>
    </w:pPr>
    <w:fldSimple w:instr=" PAGE   \* MERGEFORMAT ">
      <w:r w:rsidR="00720707">
        <w:rPr>
          <w:noProof/>
          <w:rtl/>
        </w:rPr>
        <w:t>1</w:t>
      </w:r>
    </w:fldSimple>
  </w:p>
  <w:p w:rsidR="002A7A63" w:rsidRDefault="002A7A63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92" w:rsidRDefault="00B75892">
      <w:r>
        <w:separator/>
      </w:r>
    </w:p>
  </w:footnote>
  <w:footnote w:type="continuationSeparator" w:id="0">
    <w:p w:rsidR="00B75892" w:rsidRDefault="00B75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115C"/>
    <w:rsid w:val="00042B6E"/>
    <w:rsid w:val="00042D93"/>
    <w:rsid w:val="000462AD"/>
    <w:rsid w:val="00050809"/>
    <w:rsid w:val="00051412"/>
    <w:rsid w:val="000517B6"/>
    <w:rsid w:val="00055BF4"/>
    <w:rsid w:val="000568F4"/>
    <w:rsid w:val="000578B6"/>
    <w:rsid w:val="00060589"/>
    <w:rsid w:val="00062F37"/>
    <w:rsid w:val="000632C3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3465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5EAD"/>
    <w:rsid w:val="000F6C0C"/>
    <w:rsid w:val="000F732D"/>
    <w:rsid w:val="0010000E"/>
    <w:rsid w:val="00100A6F"/>
    <w:rsid w:val="001035EB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45A3"/>
    <w:rsid w:val="001256E9"/>
    <w:rsid w:val="00125A87"/>
    <w:rsid w:val="0012672E"/>
    <w:rsid w:val="0012726A"/>
    <w:rsid w:val="0012784F"/>
    <w:rsid w:val="00131C9F"/>
    <w:rsid w:val="00132C19"/>
    <w:rsid w:val="00133B30"/>
    <w:rsid w:val="001348FC"/>
    <w:rsid w:val="001355A5"/>
    <w:rsid w:val="00135694"/>
    <w:rsid w:val="00135C91"/>
    <w:rsid w:val="001403EB"/>
    <w:rsid w:val="001407AF"/>
    <w:rsid w:val="00140D98"/>
    <w:rsid w:val="00140DAD"/>
    <w:rsid w:val="001410D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B7C"/>
    <w:rsid w:val="00161BD5"/>
    <w:rsid w:val="001648E5"/>
    <w:rsid w:val="00164C88"/>
    <w:rsid w:val="00164E99"/>
    <w:rsid w:val="001657A1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7721E"/>
    <w:rsid w:val="0018035A"/>
    <w:rsid w:val="00181B11"/>
    <w:rsid w:val="00181E5D"/>
    <w:rsid w:val="001836FD"/>
    <w:rsid w:val="00185B15"/>
    <w:rsid w:val="001901E2"/>
    <w:rsid w:val="00192D2B"/>
    <w:rsid w:val="00193557"/>
    <w:rsid w:val="001941C1"/>
    <w:rsid w:val="00194640"/>
    <w:rsid w:val="00194CAC"/>
    <w:rsid w:val="00194DCF"/>
    <w:rsid w:val="00194E5F"/>
    <w:rsid w:val="00194EC3"/>
    <w:rsid w:val="001952D4"/>
    <w:rsid w:val="001A0A69"/>
    <w:rsid w:val="001A1AA8"/>
    <w:rsid w:val="001A5006"/>
    <w:rsid w:val="001A5A9D"/>
    <w:rsid w:val="001A628B"/>
    <w:rsid w:val="001A717E"/>
    <w:rsid w:val="001B100A"/>
    <w:rsid w:val="001B12A3"/>
    <w:rsid w:val="001B141E"/>
    <w:rsid w:val="001B1FC8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65D8"/>
    <w:rsid w:val="001D7491"/>
    <w:rsid w:val="001D7E65"/>
    <w:rsid w:val="001D7F0C"/>
    <w:rsid w:val="001E0AF6"/>
    <w:rsid w:val="001E1281"/>
    <w:rsid w:val="001E1A67"/>
    <w:rsid w:val="001E1A6E"/>
    <w:rsid w:val="001E3E81"/>
    <w:rsid w:val="001E4474"/>
    <w:rsid w:val="001E6154"/>
    <w:rsid w:val="001E73AF"/>
    <w:rsid w:val="001E7512"/>
    <w:rsid w:val="001E7CB9"/>
    <w:rsid w:val="001F1B3A"/>
    <w:rsid w:val="001F2BE1"/>
    <w:rsid w:val="001F3D7D"/>
    <w:rsid w:val="001F3D91"/>
    <w:rsid w:val="001F4912"/>
    <w:rsid w:val="00200BC8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4DF7"/>
    <w:rsid w:val="0021596C"/>
    <w:rsid w:val="002165DF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614"/>
    <w:rsid w:val="00244547"/>
    <w:rsid w:val="00245D90"/>
    <w:rsid w:val="00245FB9"/>
    <w:rsid w:val="00246405"/>
    <w:rsid w:val="0024675B"/>
    <w:rsid w:val="00246E6E"/>
    <w:rsid w:val="002510C0"/>
    <w:rsid w:val="0025131B"/>
    <w:rsid w:val="00252355"/>
    <w:rsid w:val="0025250D"/>
    <w:rsid w:val="00252A65"/>
    <w:rsid w:val="0025334B"/>
    <w:rsid w:val="0025354D"/>
    <w:rsid w:val="002544F2"/>
    <w:rsid w:val="0025450A"/>
    <w:rsid w:val="0025542E"/>
    <w:rsid w:val="00255950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6D5A"/>
    <w:rsid w:val="002779B2"/>
    <w:rsid w:val="00277ACB"/>
    <w:rsid w:val="002813D3"/>
    <w:rsid w:val="00283418"/>
    <w:rsid w:val="002843B8"/>
    <w:rsid w:val="00285547"/>
    <w:rsid w:val="00285834"/>
    <w:rsid w:val="00285962"/>
    <w:rsid w:val="00286D09"/>
    <w:rsid w:val="002916EA"/>
    <w:rsid w:val="00293C44"/>
    <w:rsid w:val="00294226"/>
    <w:rsid w:val="00297FDE"/>
    <w:rsid w:val="002A1898"/>
    <w:rsid w:val="002A1B84"/>
    <w:rsid w:val="002A26D7"/>
    <w:rsid w:val="002A2C5F"/>
    <w:rsid w:val="002A2FA1"/>
    <w:rsid w:val="002A3F61"/>
    <w:rsid w:val="002A61BC"/>
    <w:rsid w:val="002A7995"/>
    <w:rsid w:val="002A7A63"/>
    <w:rsid w:val="002B0D3E"/>
    <w:rsid w:val="002B3E30"/>
    <w:rsid w:val="002B5ECD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1E69"/>
    <w:rsid w:val="00303D06"/>
    <w:rsid w:val="00304449"/>
    <w:rsid w:val="00305E33"/>
    <w:rsid w:val="00306612"/>
    <w:rsid w:val="00306F89"/>
    <w:rsid w:val="00310A93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77DA"/>
    <w:rsid w:val="00337E86"/>
    <w:rsid w:val="00340DEE"/>
    <w:rsid w:val="00340E37"/>
    <w:rsid w:val="00340EC4"/>
    <w:rsid w:val="003423FC"/>
    <w:rsid w:val="003436BB"/>
    <w:rsid w:val="003455EC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F47"/>
    <w:rsid w:val="003634BA"/>
    <w:rsid w:val="00363E46"/>
    <w:rsid w:val="00364F3A"/>
    <w:rsid w:val="003705AE"/>
    <w:rsid w:val="00370C40"/>
    <w:rsid w:val="003713DE"/>
    <w:rsid w:val="00372CDA"/>
    <w:rsid w:val="0037395B"/>
    <w:rsid w:val="00373AEA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29E4"/>
    <w:rsid w:val="00393C95"/>
    <w:rsid w:val="00395BFE"/>
    <w:rsid w:val="00395C2B"/>
    <w:rsid w:val="003964D8"/>
    <w:rsid w:val="003974C9"/>
    <w:rsid w:val="003A04BD"/>
    <w:rsid w:val="003A0CD0"/>
    <w:rsid w:val="003A2B94"/>
    <w:rsid w:val="003A7C11"/>
    <w:rsid w:val="003B0477"/>
    <w:rsid w:val="003B064B"/>
    <w:rsid w:val="003B1479"/>
    <w:rsid w:val="003B149E"/>
    <w:rsid w:val="003B1644"/>
    <w:rsid w:val="003B799A"/>
    <w:rsid w:val="003C2419"/>
    <w:rsid w:val="003C242C"/>
    <w:rsid w:val="003C292E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42FE"/>
    <w:rsid w:val="003F531A"/>
    <w:rsid w:val="003F7187"/>
    <w:rsid w:val="003F7C82"/>
    <w:rsid w:val="00401ED7"/>
    <w:rsid w:val="00401F73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87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3814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E00"/>
    <w:rsid w:val="00521E76"/>
    <w:rsid w:val="00522A30"/>
    <w:rsid w:val="00522FB5"/>
    <w:rsid w:val="005231CF"/>
    <w:rsid w:val="0052334B"/>
    <w:rsid w:val="00524E7D"/>
    <w:rsid w:val="005254B8"/>
    <w:rsid w:val="00525587"/>
    <w:rsid w:val="00525EDE"/>
    <w:rsid w:val="00526B9D"/>
    <w:rsid w:val="005271BC"/>
    <w:rsid w:val="0053062F"/>
    <w:rsid w:val="00532C9C"/>
    <w:rsid w:val="0053744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21DA"/>
    <w:rsid w:val="005A3532"/>
    <w:rsid w:val="005A3F71"/>
    <w:rsid w:val="005A5892"/>
    <w:rsid w:val="005A6004"/>
    <w:rsid w:val="005A6145"/>
    <w:rsid w:val="005A7765"/>
    <w:rsid w:val="005A7E7F"/>
    <w:rsid w:val="005B0706"/>
    <w:rsid w:val="005B0DF4"/>
    <w:rsid w:val="005B19F7"/>
    <w:rsid w:val="005B23AD"/>
    <w:rsid w:val="005B30AB"/>
    <w:rsid w:val="005B3EF9"/>
    <w:rsid w:val="005B3F1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C7F9D"/>
    <w:rsid w:val="005D0295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283C"/>
    <w:rsid w:val="005E2C5C"/>
    <w:rsid w:val="005E2C84"/>
    <w:rsid w:val="005E3FB7"/>
    <w:rsid w:val="005E401D"/>
    <w:rsid w:val="005E4B52"/>
    <w:rsid w:val="005E526E"/>
    <w:rsid w:val="005E6174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196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321F"/>
    <w:rsid w:val="006545C8"/>
    <w:rsid w:val="00654729"/>
    <w:rsid w:val="00654CC8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021"/>
    <w:rsid w:val="00677864"/>
    <w:rsid w:val="00677C21"/>
    <w:rsid w:val="00680743"/>
    <w:rsid w:val="006815A5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01A"/>
    <w:rsid w:val="006A07DB"/>
    <w:rsid w:val="006A0BE8"/>
    <w:rsid w:val="006A2E5C"/>
    <w:rsid w:val="006A35BA"/>
    <w:rsid w:val="006A399B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B09"/>
    <w:rsid w:val="006B7EAF"/>
    <w:rsid w:val="006C00A9"/>
    <w:rsid w:val="006C2385"/>
    <w:rsid w:val="006C268E"/>
    <w:rsid w:val="006C36D0"/>
    <w:rsid w:val="006C502E"/>
    <w:rsid w:val="006C54BD"/>
    <w:rsid w:val="006C5FCA"/>
    <w:rsid w:val="006C6006"/>
    <w:rsid w:val="006C6942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D745D"/>
    <w:rsid w:val="006E0271"/>
    <w:rsid w:val="006E0E56"/>
    <w:rsid w:val="006E339A"/>
    <w:rsid w:val="006E3F3F"/>
    <w:rsid w:val="006E4299"/>
    <w:rsid w:val="006E4A55"/>
    <w:rsid w:val="006E51E2"/>
    <w:rsid w:val="006E5943"/>
    <w:rsid w:val="006E62EB"/>
    <w:rsid w:val="006E6A30"/>
    <w:rsid w:val="006E6BA3"/>
    <w:rsid w:val="006E6D98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358"/>
    <w:rsid w:val="00706F9F"/>
    <w:rsid w:val="00710B24"/>
    <w:rsid w:val="00711027"/>
    <w:rsid w:val="00711627"/>
    <w:rsid w:val="00711B09"/>
    <w:rsid w:val="00711C13"/>
    <w:rsid w:val="00711C3E"/>
    <w:rsid w:val="007135D4"/>
    <w:rsid w:val="007152F1"/>
    <w:rsid w:val="00715C67"/>
    <w:rsid w:val="007169AF"/>
    <w:rsid w:val="00716E24"/>
    <w:rsid w:val="00717177"/>
    <w:rsid w:val="0071784D"/>
    <w:rsid w:val="00717900"/>
    <w:rsid w:val="00720707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078C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34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F62"/>
    <w:rsid w:val="007B4279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5B0A"/>
    <w:rsid w:val="007E692E"/>
    <w:rsid w:val="007E6F76"/>
    <w:rsid w:val="007E7FE0"/>
    <w:rsid w:val="007F03B5"/>
    <w:rsid w:val="007F082D"/>
    <w:rsid w:val="007F24AF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8F8"/>
    <w:rsid w:val="0082303B"/>
    <w:rsid w:val="008243A2"/>
    <w:rsid w:val="0082529C"/>
    <w:rsid w:val="0082581A"/>
    <w:rsid w:val="00826513"/>
    <w:rsid w:val="00827642"/>
    <w:rsid w:val="008307AA"/>
    <w:rsid w:val="00830BBC"/>
    <w:rsid w:val="00830D06"/>
    <w:rsid w:val="00832022"/>
    <w:rsid w:val="00832B3B"/>
    <w:rsid w:val="0083300C"/>
    <w:rsid w:val="00834098"/>
    <w:rsid w:val="00835B44"/>
    <w:rsid w:val="008360FF"/>
    <w:rsid w:val="00841315"/>
    <w:rsid w:val="00841900"/>
    <w:rsid w:val="00842A61"/>
    <w:rsid w:val="00843420"/>
    <w:rsid w:val="00843B07"/>
    <w:rsid w:val="00844084"/>
    <w:rsid w:val="00844AF0"/>
    <w:rsid w:val="008469F4"/>
    <w:rsid w:val="00847B7F"/>
    <w:rsid w:val="00850010"/>
    <w:rsid w:val="00853325"/>
    <w:rsid w:val="00853D20"/>
    <w:rsid w:val="00854A03"/>
    <w:rsid w:val="00855140"/>
    <w:rsid w:val="00856BB9"/>
    <w:rsid w:val="008570E3"/>
    <w:rsid w:val="008576CE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73F30"/>
    <w:rsid w:val="00880CA4"/>
    <w:rsid w:val="0088192A"/>
    <w:rsid w:val="008832A6"/>
    <w:rsid w:val="00883D54"/>
    <w:rsid w:val="00884129"/>
    <w:rsid w:val="00884317"/>
    <w:rsid w:val="00884628"/>
    <w:rsid w:val="00885464"/>
    <w:rsid w:val="008861A1"/>
    <w:rsid w:val="0088671C"/>
    <w:rsid w:val="00887CB5"/>
    <w:rsid w:val="00887E54"/>
    <w:rsid w:val="00890955"/>
    <w:rsid w:val="00891D75"/>
    <w:rsid w:val="00893016"/>
    <w:rsid w:val="008935B9"/>
    <w:rsid w:val="00893E4E"/>
    <w:rsid w:val="0089579C"/>
    <w:rsid w:val="008A03E4"/>
    <w:rsid w:val="008A1041"/>
    <w:rsid w:val="008A1356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40B4"/>
    <w:rsid w:val="008D5068"/>
    <w:rsid w:val="008D5999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3231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7AF6"/>
    <w:rsid w:val="009305BC"/>
    <w:rsid w:val="009312F4"/>
    <w:rsid w:val="00931AC3"/>
    <w:rsid w:val="009353C5"/>
    <w:rsid w:val="00937515"/>
    <w:rsid w:val="00940084"/>
    <w:rsid w:val="00940D4E"/>
    <w:rsid w:val="0094161A"/>
    <w:rsid w:val="00941AD7"/>
    <w:rsid w:val="00943629"/>
    <w:rsid w:val="00945B17"/>
    <w:rsid w:val="00945F11"/>
    <w:rsid w:val="00946BF0"/>
    <w:rsid w:val="00947C61"/>
    <w:rsid w:val="009503B2"/>
    <w:rsid w:val="009540E8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25B0"/>
    <w:rsid w:val="009852DE"/>
    <w:rsid w:val="0098675E"/>
    <w:rsid w:val="009911C4"/>
    <w:rsid w:val="0099157B"/>
    <w:rsid w:val="00992526"/>
    <w:rsid w:val="00993C2B"/>
    <w:rsid w:val="009A1080"/>
    <w:rsid w:val="009A17B4"/>
    <w:rsid w:val="009A2084"/>
    <w:rsid w:val="009A2B2E"/>
    <w:rsid w:val="009A2CA1"/>
    <w:rsid w:val="009A423F"/>
    <w:rsid w:val="009A4F26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77"/>
    <w:rsid w:val="009C3081"/>
    <w:rsid w:val="009C3C40"/>
    <w:rsid w:val="009C4D54"/>
    <w:rsid w:val="009C4E26"/>
    <w:rsid w:val="009C5390"/>
    <w:rsid w:val="009C5C97"/>
    <w:rsid w:val="009C7DEE"/>
    <w:rsid w:val="009C7E41"/>
    <w:rsid w:val="009D07BD"/>
    <w:rsid w:val="009D121F"/>
    <w:rsid w:val="009D3496"/>
    <w:rsid w:val="009D3B3B"/>
    <w:rsid w:val="009D532A"/>
    <w:rsid w:val="009D5D87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2B19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930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50F2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B26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5A1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8EC"/>
    <w:rsid w:val="00AA2D0E"/>
    <w:rsid w:val="00AA34E5"/>
    <w:rsid w:val="00AA3541"/>
    <w:rsid w:val="00AA3BE5"/>
    <w:rsid w:val="00AA409F"/>
    <w:rsid w:val="00AB0814"/>
    <w:rsid w:val="00AB1EF4"/>
    <w:rsid w:val="00AB24F6"/>
    <w:rsid w:val="00AB3C71"/>
    <w:rsid w:val="00AB4887"/>
    <w:rsid w:val="00AB4EB5"/>
    <w:rsid w:val="00AB50CF"/>
    <w:rsid w:val="00AB54BC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3468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69C"/>
    <w:rsid w:val="00B42C74"/>
    <w:rsid w:val="00B450D2"/>
    <w:rsid w:val="00B45636"/>
    <w:rsid w:val="00B45B32"/>
    <w:rsid w:val="00B45FF8"/>
    <w:rsid w:val="00B469A4"/>
    <w:rsid w:val="00B50157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1728"/>
    <w:rsid w:val="00B75807"/>
    <w:rsid w:val="00B75892"/>
    <w:rsid w:val="00B76647"/>
    <w:rsid w:val="00B77E89"/>
    <w:rsid w:val="00B80B28"/>
    <w:rsid w:val="00B80B39"/>
    <w:rsid w:val="00B8154B"/>
    <w:rsid w:val="00B8431C"/>
    <w:rsid w:val="00B84630"/>
    <w:rsid w:val="00B84948"/>
    <w:rsid w:val="00B84AA5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1F79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426A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BF7432"/>
    <w:rsid w:val="00C022A3"/>
    <w:rsid w:val="00C028B3"/>
    <w:rsid w:val="00C04D23"/>
    <w:rsid w:val="00C051B1"/>
    <w:rsid w:val="00C0599B"/>
    <w:rsid w:val="00C07FA0"/>
    <w:rsid w:val="00C10132"/>
    <w:rsid w:val="00C12946"/>
    <w:rsid w:val="00C14622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3BFE"/>
    <w:rsid w:val="00C34749"/>
    <w:rsid w:val="00C37E22"/>
    <w:rsid w:val="00C41719"/>
    <w:rsid w:val="00C418D7"/>
    <w:rsid w:val="00C42131"/>
    <w:rsid w:val="00C4290E"/>
    <w:rsid w:val="00C43813"/>
    <w:rsid w:val="00C43F0A"/>
    <w:rsid w:val="00C44D75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A7C"/>
    <w:rsid w:val="00C71C80"/>
    <w:rsid w:val="00C722D9"/>
    <w:rsid w:val="00C72AD0"/>
    <w:rsid w:val="00C73B66"/>
    <w:rsid w:val="00C75346"/>
    <w:rsid w:val="00C7565E"/>
    <w:rsid w:val="00C75E69"/>
    <w:rsid w:val="00C76249"/>
    <w:rsid w:val="00C77193"/>
    <w:rsid w:val="00C81E88"/>
    <w:rsid w:val="00C82032"/>
    <w:rsid w:val="00C8255A"/>
    <w:rsid w:val="00C82DB0"/>
    <w:rsid w:val="00C83D43"/>
    <w:rsid w:val="00C84927"/>
    <w:rsid w:val="00C86F98"/>
    <w:rsid w:val="00C87BBD"/>
    <w:rsid w:val="00C87C35"/>
    <w:rsid w:val="00C91625"/>
    <w:rsid w:val="00C92DD6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44A9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1807"/>
    <w:rsid w:val="00D225E8"/>
    <w:rsid w:val="00D24432"/>
    <w:rsid w:val="00D2639F"/>
    <w:rsid w:val="00D2663B"/>
    <w:rsid w:val="00D269FF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46F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237C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A1F75"/>
    <w:rsid w:val="00DA2524"/>
    <w:rsid w:val="00DA386F"/>
    <w:rsid w:val="00DA39E1"/>
    <w:rsid w:val="00DA7CF3"/>
    <w:rsid w:val="00DB22DC"/>
    <w:rsid w:val="00DB4819"/>
    <w:rsid w:val="00DB7262"/>
    <w:rsid w:val="00DC04AB"/>
    <w:rsid w:val="00DC058A"/>
    <w:rsid w:val="00DC1FDF"/>
    <w:rsid w:val="00DC74E9"/>
    <w:rsid w:val="00DC7A2A"/>
    <w:rsid w:val="00DC7AC2"/>
    <w:rsid w:val="00DD0246"/>
    <w:rsid w:val="00DD0DB4"/>
    <w:rsid w:val="00DD133E"/>
    <w:rsid w:val="00DD3E39"/>
    <w:rsid w:val="00DD476F"/>
    <w:rsid w:val="00DD4DD5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5B"/>
    <w:rsid w:val="00DE5677"/>
    <w:rsid w:val="00DE732E"/>
    <w:rsid w:val="00DE78CC"/>
    <w:rsid w:val="00DF0A1F"/>
    <w:rsid w:val="00DF1E5E"/>
    <w:rsid w:val="00DF3ED9"/>
    <w:rsid w:val="00DF475F"/>
    <w:rsid w:val="00DF5591"/>
    <w:rsid w:val="00DF699D"/>
    <w:rsid w:val="00E00324"/>
    <w:rsid w:val="00E01012"/>
    <w:rsid w:val="00E01AB9"/>
    <w:rsid w:val="00E0319A"/>
    <w:rsid w:val="00E036ED"/>
    <w:rsid w:val="00E064B3"/>
    <w:rsid w:val="00E10649"/>
    <w:rsid w:val="00E11336"/>
    <w:rsid w:val="00E11B99"/>
    <w:rsid w:val="00E13320"/>
    <w:rsid w:val="00E1341F"/>
    <w:rsid w:val="00E1354F"/>
    <w:rsid w:val="00E14CB0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26167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7798"/>
    <w:rsid w:val="00E92E5B"/>
    <w:rsid w:val="00E93EF1"/>
    <w:rsid w:val="00E94149"/>
    <w:rsid w:val="00E9577B"/>
    <w:rsid w:val="00E97B96"/>
    <w:rsid w:val="00EA0EDC"/>
    <w:rsid w:val="00EA166A"/>
    <w:rsid w:val="00EA206C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719"/>
    <w:rsid w:val="00EB5D78"/>
    <w:rsid w:val="00EC200E"/>
    <w:rsid w:val="00EC303F"/>
    <w:rsid w:val="00EC54F4"/>
    <w:rsid w:val="00EC625C"/>
    <w:rsid w:val="00EC77DB"/>
    <w:rsid w:val="00EC7859"/>
    <w:rsid w:val="00ED0336"/>
    <w:rsid w:val="00ED2011"/>
    <w:rsid w:val="00ED4264"/>
    <w:rsid w:val="00ED495A"/>
    <w:rsid w:val="00ED5B37"/>
    <w:rsid w:val="00ED69E3"/>
    <w:rsid w:val="00ED6B95"/>
    <w:rsid w:val="00ED6DA5"/>
    <w:rsid w:val="00ED77DB"/>
    <w:rsid w:val="00EE0AF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6790"/>
    <w:rsid w:val="00F3713F"/>
    <w:rsid w:val="00F4090C"/>
    <w:rsid w:val="00F40CC2"/>
    <w:rsid w:val="00F4250F"/>
    <w:rsid w:val="00F43482"/>
    <w:rsid w:val="00F437F7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4AB"/>
    <w:rsid w:val="00F61DA4"/>
    <w:rsid w:val="00F632F1"/>
    <w:rsid w:val="00F6399E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90D"/>
    <w:rsid w:val="00F93DF0"/>
    <w:rsid w:val="00F969B9"/>
    <w:rsid w:val="00F96A12"/>
    <w:rsid w:val="00F97662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4182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7275747508305647"/>
          <c:y val="0.12637362637362629"/>
          <c:w val="0.7940199335548177"/>
          <c:h val="0.7142857142857145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926941393224678E-2"/>
                  <c:y val="5.96808451828136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8.8608224054248508E-2"/>
                  <c:y val="-9.977765399517367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5.1232690731575159E-2"/>
                  <c:y val="-0.11088466105198384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5"/>
              <c:layout>
                <c:manualLayout>
                  <c:x val="5.5442650914430559E-3"/>
                  <c:y val="-0.1281529171834289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numRef>
              <c:f>Sheet1!$B$1:$Q$1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Sheet1!$B$2:$Q$2</c:f>
              <c:numCache>
                <c:formatCode>0.00%</c:formatCode>
                <c:ptCount val="16"/>
                <c:pt idx="0">
                  <c:v>3.0000000000000002E-2</c:v>
                </c:pt>
                <c:pt idx="1">
                  <c:v>4.1099999999999998E-2</c:v>
                </c:pt>
                <c:pt idx="2">
                  <c:v>3.8399999999999997E-2</c:v>
                </c:pt>
                <c:pt idx="3">
                  <c:v>1.8599999999999998E-2</c:v>
                </c:pt>
                <c:pt idx="4">
                  <c:v>9.890000000000003E-2</c:v>
                </c:pt>
                <c:pt idx="5">
                  <c:v>2.7500000000000007E-2</c:v>
                </c:pt>
                <c:pt idx="6">
                  <c:v>3.7500000000000006E-2</c:v>
                </c:pt>
                <c:pt idx="7">
                  <c:v>2.8799999999999999E-2</c:v>
                </c:pt>
                <c:pt idx="8">
                  <c:v>2.7800000000000005E-2</c:v>
                </c:pt>
                <c:pt idx="9">
                  <c:v>1.72E-2</c:v>
                </c:pt>
                <c:pt idx="10">
                  <c:v>1.7299999999999996E-2</c:v>
                </c:pt>
                <c:pt idx="11">
                  <c:v>1.43E-2</c:v>
                </c:pt>
                <c:pt idx="12">
                  <c:v>-2.200000000000001E-3</c:v>
                </c:pt>
                <c:pt idx="13">
                  <c:v>2.0999999999999999E-3</c:v>
                </c:pt>
                <c:pt idx="14">
                  <c:v>-1.9000000000000009E-3</c:v>
                </c:pt>
                <c:pt idx="15">
                  <c:v>1.5800000000000008E-2</c:v>
                </c:pt>
              </c:numCache>
            </c:numRef>
          </c:val>
        </c:ser>
        <c:marker val="1"/>
        <c:axId val="201388800"/>
        <c:axId val="201390336"/>
      </c:lineChart>
      <c:catAx>
        <c:axId val="2013888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201390336"/>
        <c:crosses val="autoZero"/>
        <c:auto val="1"/>
        <c:lblAlgn val="ctr"/>
        <c:lblOffset val="145"/>
        <c:tickLblSkip val="1"/>
        <c:tickMarkSkip val="1"/>
      </c:catAx>
      <c:valAx>
        <c:axId val="2013903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السنوية %</a:t>
                </a:r>
              </a:p>
            </c:rich>
          </c:tx>
          <c:layout>
            <c:manualLayout>
              <c:xMode val="edge"/>
              <c:yMode val="edge"/>
              <c:x val="0"/>
              <c:y val="0.23626373626373626"/>
            </c:manualLayout>
          </c:layout>
          <c:spPr>
            <a:noFill/>
            <a:ln w="25399">
              <a:noFill/>
            </a:ln>
          </c:spPr>
        </c:title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20138880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9191919191919196"/>
          <c:y val="7.0422535211267623E-2"/>
          <c:w val="0.69023569023569042"/>
          <c:h val="0.7652582159624415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نسبة التغير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9528619528619534"/>
                  <c:y val="0.450704225352112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3232323232323238"/>
                  <c:y val="0.624413145539905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6700336700336711"/>
                  <c:y val="3.286384976525823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791245791245816"/>
                  <c:y val="0.64319248826291076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5656565656565691"/>
                  <c:y val="0.27230046948356817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64646464646464663"/>
                  <c:y val="0.6666666666666666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74747474747474763"/>
                  <c:y val="0.6103286384976526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Mode val="edge"/>
                  <c:yMode val="edge"/>
                  <c:x val="0.83164983164983219"/>
                  <c:y val="0.6525821596244131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كانون ثاني</c:v>
                </c:pt>
                <c:pt idx="1">
                  <c:v>شباط</c:v>
                </c:pt>
                <c:pt idx="2">
                  <c:v>آذار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ايلول</c:v>
                </c:pt>
                <c:pt idx="9">
                  <c:v>تشرين اول</c:v>
                </c:pt>
                <c:pt idx="10">
                  <c:v>تشرين ثاني</c:v>
                </c:pt>
                <c:pt idx="11">
                  <c:v>كانون اول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-1.0000000000000004E-2</c:v>
                </c:pt>
                <c:pt idx="1">
                  <c:v>-0.05</c:v>
                </c:pt>
                <c:pt idx="2">
                  <c:v>0.8500000000000002</c:v>
                </c:pt>
                <c:pt idx="3">
                  <c:v>0.8500000000000002</c:v>
                </c:pt>
                <c:pt idx="4">
                  <c:v>0.4300000000000001</c:v>
                </c:pt>
                <c:pt idx="5">
                  <c:v>-0.48000000000000009</c:v>
                </c:pt>
                <c:pt idx="6">
                  <c:v>0.18000000000000005</c:v>
                </c:pt>
                <c:pt idx="7">
                  <c:v>0.31000000000000011</c:v>
                </c:pt>
                <c:pt idx="8">
                  <c:v>0.33000000000000013</c:v>
                </c:pt>
                <c:pt idx="9">
                  <c:v>-0.31000000000000011</c:v>
                </c:pt>
                <c:pt idx="10">
                  <c:v>-0.31000000000000011</c:v>
                </c:pt>
                <c:pt idx="11">
                  <c:v>-0.24000000000000005</c:v>
                </c:pt>
              </c:numCache>
            </c:numRef>
          </c:val>
        </c:ser>
        <c:axId val="211961728"/>
        <c:axId val="211963264"/>
      </c:barChart>
      <c:catAx>
        <c:axId val="2119617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211963264"/>
        <c:crosses val="autoZero"/>
        <c:auto val="1"/>
        <c:lblAlgn val="ctr"/>
        <c:lblOffset val="1000"/>
        <c:tickLblSkip val="1"/>
        <c:tickMarkSkip val="1"/>
      </c:catAx>
      <c:valAx>
        <c:axId val="2119632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نسبة التغير الشهرية %</a:t>
                </a:r>
              </a:p>
            </c:rich>
          </c:tx>
          <c:layout>
            <c:manualLayout>
              <c:xMode val="edge"/>
              <c:yMode val="edge"/>
              <c:x val="0"/>
              <c:y val="0.22065727699530516"/>
            </c:manualLayout>
          </c:layout>
          <c:spPr>
            <a:noFill/>
            <a:ln w="25400">
              <a:noFill/>
            </a:ln>
          </c:spPr>
        </c:title>
        <c:numFmt formatCode="0.0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2119617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66B7-2F8F-41F3-9FB8-6C55179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2020-01-13T10:14:00Z</cp:lastPrinted>
  <dcterms:created xsi:type="dcterms:W3CDTF">2020-01-14T08:08:00Z</dcterms:created>
  <dcterms:modified xsi:type="dcterms:W3CDTF">2020-01-14T08:08:00Z</dcterms:modified>
</cp:coreProperties>
</file>