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7" w:rsidRDefault="00F07377" w:rsidP="00F07377">
      <w:pPr>
        <w:bidi/>
        <w:ind w:firstLine="46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D3269" w:rsidRDefault="00AD3269" w:rsidP="00AD3269">
      <w:pPr>
        <w:bidi/>
        <w:spacing w:after="240"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AD3269" w:rsidRDefault="00AD3269" w:rsidP="00AD3269">
      <w:pPr>
        <w:bidi/>
        <w:spacing w:after="240"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F07377" w:rsidRPr="00F07377" w:rsidRDefault="00F07377" w:rsidP="00AD3269">
      <w:pPr>
        <w:bidi/>
        <w:spacing w:line="240" w:lineRule="auto"/>
        <w:ind w:firstLine="46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F07377"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 يعلن مؤشر غلاء المعيشة في فلسطين للعام 2017</w:t>
      </w:r>
    </w:p>
    <w:p w:rsidR="00AD3269" w:rsidRPr="00AD3269" w:rsidRDefault="00AD3269" w:rsidP="00AD3269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F07377" w:rsidRPr="00F07377" w:rsidRDefault="00F07377" w:rsidP="00AD326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Pr="00F07377">
        <w:rPr>
          <w:rFonts w:ascii="Simplified Arabic" w:hAnsi="Simplified Arabic" w:cs="Simplified Arabic"/>
          <w:b/>
          <w:bCs/>
          <w:sz w:val="28"/>
          <w:szCs w:val="28"/>
          <w:rtl/>
        </w:rPr>
        <w:t>رتفاع</w:t>
      </w:r>
      <w:proofErr w:type="spellEnd"/>
      <w:r w:rsidRPr="00F073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طفيف في مؤشر غلاء المعيشة خلال العام </w:t>
      </w:r>
      <w:r w:rsidRPr="00F07377">
        <w:rPr>
          <w:rFonts w:ascii="Simplified Arabic" w:hAnsi="Simplified Arabic" w:cs="Simplified Arabic"/>
          <w:b/>
          <w:bCs/>
          <w:sz w:val="28"/>
          <w:szCs w:val="28"/>
        </w:rPr>
        <w:t>2017</w:t>
      </w:r>
    </w:p>
    <w:p w:rsidR="00EB5456" w:rsidRDefault="00EB5456" w:rsidP="008A4A2C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Pr="00F07377" w:rsidRDefault="00AD3269" w:rsidP="00AD326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8A4A2C" w:rsidRDefault="00EB5456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سجل الرقم القياسي لأسعار المستهلك في فلسطين </w:t>
      </w:r>
      <w:r w:rsidR="00BC1FE0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C1FE0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نسبته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C1FE0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0.21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% خلال </w:t>
      </w:r>
      <w:r w:rsidR="00BC1FE0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العام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2017 مقارنة مع </w:t>
      </w:r>
      <w:r w:rsidR="00BC1FE0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العام 2016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r w:rsidR="00BC1FE0" w:rsidRPr="008A4A2C">
        <w:rPr>
          <w:rFonts w:ascii="Simplified Arabic" w:hAnsi="Simplified Arabic" w:cs="Simplified Arabic"/>
          <w:sz w:val="24"/>
          <w:szCs w:val="24"/>
          <w:rtl/>
        </w:rPr>
        <w:t>2.18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F45F27" w:rsidRPr="008A4A2C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BC1FE0" w:rsidRPr="008A4A2C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="00BC1FE0" w:rsidRPr="008A4A2C">
        <w:rPr>
          <w:rFonts w:ascii="Simplified Arabic" w:hAnsi="Simplified Arabic" w:cs="Simplified Arabic"/>
          <w:sz w:val="24"/>
          <w:szCs w:val="24"/>
        </w:rPr>
        <w:t>J1</w:t>
      </w:r>
      <w:r w:rsidR="00BC1FE0" w:rsidRPr="008A4A2C">
        <w:rPr>
          <w:rFonts w:ascii="Simplified Arabic" w:hAnsi="Simplified Arabic" w:cs="Simplified Arabic"/>
          <w:sz w:val="24"/>
          <w:szCs w:val="24"/>
          <w:rtl/>
        </w:rPr>
        <w:t xml:space="preserve">*، وبنسبة 0.11% في </w:t>
      </w:r>
      <w:r w:rsidR="00F45F27" w:rsidRPr="008A4A2C">
        <w:rPr>
          <w:rFonts w:ascii="Simplified Arabic" w:hAnsi="Simplified Arabic" w:cs="Simplified Arabic"/>
          <w:sz w:val="24"/>
          <w:szCs w:val="24"/>
          <w:rtl/>
        </w:rPr>
        <w:t>قطاع غزة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BC1FE0" w:rsidRPr="008A4A2C">
        <w:rPr>
          <w:rFonts w:ascii="Simplified Arabic" w:hAnsi="Simplified Arabic" w:cs="Simplified Arabic"/>
          <w:sz w:val="24"/>
          <w:szCs w:val="24"/>
          <w:rtl/>
        </w:rPr>
        <w:t xml:space="preserve">في حين سجل الرقم القياسي انخفاضاً طفيفاً </w:t>
      </w:r>
      <w:r w:rsidR="00DB1758" w:rsidRPr="008A4A2C">
        <w:rPr>
          <w:rFonts w:ascii="Simplified Arabic" w:hAnsi="Simplified Arabic" w:cs="Simplified Arabic"/>
          <w:sz w:val="24"/>
          <w:szCs w:val="24"/>
          <w:rtl/>
        </w:rPr>
        <w:t>مقدار</w:t>
      </w:r>
      <w:r w:rsidR="00BC1FE0" w:rsidRPr="008A4A2C">
        <w:rPr>
          <w:rFonts w:ascii="Simplified Arabic" w:hAnsi="Simplified Arabic" w:cs="Simplified Arabic"/>
          <w:sz w:val="24"/>
          <w:szCs w:val="24"/>
          <w:rtl/>
        </w:rPr>
        <w:t>ه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1FE0" w:rsidRPr="008A4A2C">
        <w:rPr>
          <w:rFonts w:ascii="Simplified Arabic" w:hAnsi="Simplified Arabic" w:cs="Simplified Arabic"/>
          <w:sz w:val="24"/>
          <w:szCs w:val="24"/>
          <w:rtl/>
        </w:rPr>
        <w:t>0.01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DB1758" w:rsidRPr="008A4A2C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F07377" w:rsidRDefault="00EB5456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C1FE0" w:rsidRPr="00F07377" w:rsidRDefault="00BC1FE0" w:rsidP="003C5E4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نسب </w:t>
      </w:r>
      <w:r w:rsidR="003C5E40" w:rsidRPr="00F07377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التغّير</w:t>
      </w: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السنوية لأسعار المستهلك في فلسطين للسنوات: 2004 </w:t>
      </w:r>
      <w:r w:rsidR="008A4A2C"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8A4A2C" w:rsidRPr="008A4A2C" w:rsidRDefault="008A4A2C" w:rsidP="008A4A2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TableGrid"/>
        <w:tblW w:w="0" w:type="auto"/>
        <w:jc w:val="center"/>
        <w:tblInd w:w="192" w:type="dxa"/>
        <w:tblLook w:val="04A0"/>
      </w:tblPr>
      <w:tblGrid>
        <w:gridCol w:w="5241"/>
      </w:tblGrid>
      <w:tr w:rsidR="00BC1FE0" w:rsidRPr="008A4A2C" w:rsidTr="00BC1FE0">
        <w:trPr>
          <w:jc w:val="center"/>
        </w:trPr>
        <w:tc>
          <w:tcPr>
            <w:tcW w:w="4443" w:type="dxa"/>
          </w:tcPr>
          <w:p w:rsidR="00BC1FE0" w:rsidRPr="008A4A2C" w:rsidRDefault="00BC1FE0" w:rsidP="00F07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8A4A2C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190875" cy="2295525"/>
                  <wp:effectExtent l="0" t="0" r="0" b="0"/>
                  <wp:docPr id="4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2A6002" w:rsidRPr="008A4A2C" w:rsidRDefault="002A6002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2A6002" w:rsidRPr="008A4A2C" w:rsidRDefault="002A6002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السبب الرئيسي لارتفاع </w:t>
      </w:r>
      <w:r w:rsidR="008A4A2C">
        <w:rPr>
          <w:rFonts w:ascii="Simplified Arabic" w:hAnsi="Simplified Arabic" w:cs="Simplified Arabic" w:hint="cs"/>
          <w:sz w:val="24"/>
          <w:szCs w:val="24"/>
          <w:rtl/>
        </w:rPr>
        <w:t xml:space="preserve">أسعار 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المستهلك في فلسطين خلال العام 2017 يعود لارتفاع أسعار السلع والخدمات في بعض المجموعات الرئيسية أهمها أسعار السلع والخدمات ضمن 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المسكن ومستلزماته بنسبة 3.41%، والتي تشكل أهميتها النسبية حوالي 9% من سلة المستهلك الفلسطيني،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حيث ارتفعت أسعار كل من الغاز بنسبة 8.99%، وأسعار المحروقات السائلة المستخدمة كوقود للمنازل بنسبة 6.36%، وأسعار تعرفة الكهرباء بنسبة 2.16%.</w:t>
      </w:r>
    </w:p>
    <w:p w:rsidR="002A6002" w:rsidRPr="00F07377" w:rsidRDefault="002A6002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A6002" w:rsidRPr="008A4A2C" w:rsidRDefault="002A6002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كما ارتفعت </w:t>
      </w:r>
      <w:r w:rsidR="008A4A2C">
        <w:rPr>
          <w:rFonts w:ascii="Simplified Arabic" w:hAnsi="Simplified Arabic" w:cs="Simplified Arabic" w:hint="cs"/>
          <w:sz w:val="24"/>
          <w:szCs w:val="24"/>
          <w:rtl/>
        </w:rPr>
        <w:t xml:space="preserve">أيضاً 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الخدمات الطبية بنسبة 1.62% والتي تشكل أهميتها النسبية حوالي 4% من سلة المستهلك الفلسطيني.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F07377" w:rsidRPr="00F07377" w:rsidRDefault="00F07377" w:rsidP="00F07377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432F6" w:rsidRPr="008A4A2C" w:rsidRDefault="002A6002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في حين انخفضت أسعار السلع ضمن 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المواد الغذائية والمشروبات المرطبة بمقدار 0.97%، والتي تشكل أهميتها النسبية حوالي 35% من سلة المستهلك الفلسطيني،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إذ انخفضت أسعار كل من اللحوم الطازجة بمقدار 11.13%، وأسعار ال</w:t>
      </w:r>
      <w:r w:rsidR="008A4A2C">
        <w:rPr>
          <w:rFonts w:ascii="Simplified Arabic" w:hAnsi="Simplified Arabic" w:cs="Simplified Arabic"/>
          <w:sz w:val="24"/>
          <w:szCs w:val="24"/>
          <w:rtl/>
        </w:rPr>
        <w:t>طحين بمقدار 5.67%، وأسعار الخضر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وات المجففة بمقدار 3.99</w:t>
      </w:r>
      <w:r w:rsidR="00B178EF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، وأسعار الأرز بمقدار 3.72%، وأسعار الدواجن الطازجة بمقدار </w:t>
      </w:r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 xml:space="preserve">2.46%، 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على الرغم من ارتفاع أسعار </w:t>
      </w:r>
      <w:proofErr w:type="spellStart"/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>6.07%،</w:t>
      </w:r>
      <w:proofErr w:type="spellEnd"/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 xml:space="preserve"> وأسعار الخضروات الطازجة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>5.90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%، وأسعار </w:t>
      </w:r>
      <w:r w:rsidR="00A0006E" w:rsidRPr="008A4A2C">
        <w:rPr>
          <w:rFonts w:ascii="Simplified Arabic" w:hAnsi="Simplified Arabic" w:cs="Simplified Arabic"/>
          <w:sz w:val="24"/>
          <w:szCs w:val="24"/>
          <w:rtl/>
        </w:rPr>
        <w:t>البيض الطازج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>5.73%.</w:t>
      </w:r>
    </w:p>
    <w:p w:rsidR="004432F6" w:rsidRPr="00F07377" w:rsidRDefault="004432F6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D3269" w:rsidRDefault="00AD3269" w:rsidP="008A4A2C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2A6002" w:rsidRPr="008A4A2C" w:rsidRDefault="002A6002" w:rsidP="00AD326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خدمات التعليم </w:t>
      </w:r>
      <w:r w:rsidR="008A4A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أيضاً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انخفاض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اً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مقداره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0.61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خلال العام 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>2017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مقارنة بالعام 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>2016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والتي تشكل أهميتها النسبية حوالي 3%</w:t>
      </w:r>
      <w:r w:rsidR="008A4A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من سلة المستهلك الفلسطيني.</w:t>
      </w:r>
    </w:p>
    <w:p w:rsidR="00197130" w:rsidRPr="00F07377" w:rsidRDefault="00197130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432F6" w:rsidRPr="00AD3269" w:rsidRDefault="00EB5456" w:rsidP="008A4A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AD3269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  <w:r w:rsidR="004432F6" w:rsidRPr="00AD3269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</w:p>
    <w:p w:rsidR="006C13E8" w:rsidRPr="008A4A2C" w:rsidRDefault="00B178EF" w:rsidP="00B178E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سجلت 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السلع 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الاستهلاكية في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</w:rPr>
        <w:t>J1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* ارتفاعاً نسبته 2.18% خلال العام 2017 مقارنة بالعام 2016،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نتيجة لارتفاع أسعار السلع ضمن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خدمات التعليم بنسبة 5.64%،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السلع والخدمات ضمن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المسكن ومستلزماته بنسبة 2.44%،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إذ ارتفعت أسعار المحروقات السائلة المستخدمة كوقود للمنازل ب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2.16%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، كما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ارتفعت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أسعار السلع ضمن 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المواد الغذائية والمشروبات المرطبة ب</w:t>
      </w:r>
      <w:r w:rsidR="0090533E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0533E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0.84</w:t>
      </w:r>
      <w:r w:rsidR="004432F6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%،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حيث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ارتفعت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أسعار كل من </w:t>
      </w:r>
      <w:proofErr w:type="spellStart"/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ب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12.31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وأسعار البيض الطازج ب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7.87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%، وأسعار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الخضروات الطازجة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ب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7.52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%، على الرغم من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أسعار الخضروات المجففة ب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مقدار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8.24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>%</w:t>
      </w:r>
      <w:r w:rsidR="0090533E" w:rsidRPr="008A4A2C">
        <w:rPr>
          <w:rFonts w:ascii="Simplified Arabic" w:hAnsi="Simplified Arabic" w:cs="Simplified Arabic"/>
          <w:sz w:val="24"/>
          <w:szCs w:val="24"/>
          <w:rtl/>
        </w:rPr>
        <w:t>، وأسعار اللحوم الطازجة بمقدار 1.34%</w:t>
      </w:r>
      <w:r w:rsidR="004432F6" w:rsidRPr="008A4A2C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6C13E8" w:rsidRPr="00F07377" w:rsidRDefault="006C13E8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C13E8" w:rsidRPr="008A4A2C" w:rsidRDefault="00B178EF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سجلت 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السلع 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الاستهلاكية في 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قطاع غزة ارتفاعاً </w:t>
      </w:r>
      <w:r w:rsidR="00CB7A2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طفيفاً 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نسب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ته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0.11% خلال العام 2017 مقارنة بالعام 2016،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نتيجة لارتفاع أسعار السلع والخدمات ضمن 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المسكن ومستلزماته بنسبة 2.42%،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إذ ارتفعت أسعار الغاز بنسبة 9.11%، وأسعار المحروقات السائلة المس</w:t>
      </w:r>
      <w:r>
        <w:rPr>
          <w:rFonts w:ascii="Simplified Arabic" w:hAnsi="Simplified Arabic" w:cs="Simplified Arabic"/>
          <w:sz w:val="24"/>
          <w:szCs w:val="24"/>
          <w:rtl/>
        </w:rPr>
        <w:t>تخدمة كوقود للمنازل بنسبة 6.83%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 xml:space="preserve">كما ارتفعت أسعار </w:t>
      </w:r>
      <w:r w:rsidR="00DC3431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الخدمات الطبية بنسبة 2.12%،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 xml:space="preserve"> وأسعار</w:t>
      </w:r>
      <w:r w:rsidR="008A4A2C">
        <w:rPr>
          <w:rFonts w:ascii="Simplified Arabic" w:hAnsi="Simplified Arabic" w:cs="Simplified Arabic" w:hint="cs"/>
          <w:sz w:val="24"/>
          <w:szCs w:val="24"/>
          <w:rtl/>
        </w:rPr>
        <w:t xml:space="preserve"> السلع ضمن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المواد الغذائية والمشروبات المرطبة ب</w:t>
      </w:r>
      <w:r w:rsidR="00DC3431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0.20</w:t>
      </w:r>
      <w:r w:rsidR="006C13E8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%،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إذ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ارتفعت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أسعار كل من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ال</w:t>
      </w:r>
      <w:r w:rsidR="008A4A2C">
        <w:rPr>
          <w:rFonts w:ascii="Simplified Arabic" w:hAnsi="Simplified Arabic" w:cs="Simplified Arabic"/>
          <w:sz w:val="24"/>
          <w:szCs w:val="24"/>
          <w:rtl/>
        </w:rPr>
        <w:t>أسماك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الطازجة</w:t>
      </w:r>
      <w:r w:rsidR="008A4A2C">
        <w:rPr>
          <w:rFonts w:ascii="Simplified Arabic" w:hAnsi="Simplified Arabic" w:cs="Simplified Arabic"/>
          <w:sz w:val="24"/>
          <w:szCs w:val="24"/>
          <w:rtl/>
        </w:rPr>
        <w:t xml:space="preserve"> بنسبة 9.16%، وأسعار الخضر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وات الطازجة بنسبة 6.77%، وأسعار البيض الطازج بنسبة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6.74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 xml:space="preserve">وأسعار </w:t>
      </w:r>
      <w:proofErr w:type="spellStart"/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3.12%،</w:t>
      </w:r>
      <w:proofErr w:type="spellEnd"/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>وأسعار الدواجن الطازجة ب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2.83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%، على الرغم من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أسعار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اللحوم الطازجة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ب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مقدار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11.41%، وأسعار الخضروات المجففة بمقدار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3.54</w:t>
      </w:r>
      <w:r w:rsidR="006C13E8" w:rsidRPr="008A4A2C">
        <w:rPr>
          <w:rFonts w:ascii="Simplified Arabic" w:hAnsi="Simplified Arabic" w:cs="Simplified Arabic"/>
          <w:sz w:val="24"/>
          <w:szCs w:val="24"/>
          <w:rtl/>
        </w:rPr>
        <w:t>%.</w:t>
      </w:r>
    </w:p>
    <w:p w:rsidR="006C13E8" w:rsidRPr="00F07377" w:rsidRDefault="006C13E8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C16DD" w:rsidRPr="008A4A2C" w:rsidRDefault="006C13E8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في المقابل سجلت أسعار </w:t>
      </w:r>
      <w:r w:rsidR="00DC3431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خدمات التعليم انخفاض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اً </w:t>
      </w:r>
      <w:r w:rsidR="00DC3431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مقداره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C3431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3.22</w:t>
      </w:r>
      <w:r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خلال العام 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2017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مقارنة بالعام السابق</w:t>
      </w:r>
      <w:r w:rsidR="00DC3431" w:rsidRPr="008A4A2C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CC16DD" w:rsidRPr="00F07377" w:rsidRDefault="00CC16DD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76D6" w:rsidRPr="008A4A2C" w:rsidRDefault="00B178EF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سجلت 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السلع 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الاستهلاكية في </w:t>
      </w:r>
      <w:r w:rsidR="00CC16DD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الضفة الغربية** انخفاضاً طفيفاً مقداره </w:t>
      </w:r>
      <w:r w:rsidR="003A027F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0.01</w:t>
      </w:r>
      <w:r w:rsidR="00CC16DD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% خلال العام </w:t>
      </w:r>
      <w:r w:rsidR="003A027F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2017</w:t>
      </w:r>
      <w:r w:rsidR="00CC16DD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مقارنة بالعام </w:t>
      </w:r>
      <w:r w:rsidR="003A027F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2016</w:t>
      </w:r>
      <w:r w:rsidR="00CC16DD" w:rsidRPr="008A4A2C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نتج هذا الانخفاض بصورة رئيسية عن انخفاض 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</w:t>
      </w:r>
      <w:r w:rsidR="003A027F"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>مجموعة المواد الغذائية والمشروبات المرطبة بمقدار 1.73%،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 إذ انخفضت أسعار كل من اللحوم الطازجة بمقدار 12.23%، وأسعار الطحين بمقدار 10.05%، وأسعار الدواجن الطازجة بمقدار 4.93%، وأسعار ا</w:t>
      </w:r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 xml:space="preserve">لخضروات المجففة بمقدار 4.43%، 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على الرغم من ارتفاع أسعار </w:t>
      </w:r>
      <w:proofErr w:type="spellStart"/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>7.70%،</w:t>
      </w:r>
      <w:proofErr w:type="spellEnd"/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الخضروات </w:t>
      </w:r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>الطازجة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>4.98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%، وأسعار </w:t>
      </w:r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 xml:space="preserve">البيض الطازج 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8776D6" w:rsidRPr="008A4A2C">
        <w:rPr>
          <w:rFonts w:ascii="Simplified Arabic" w:hAnsi="Simplified Arabic" w:cs="Simplified Arabic"/>
          <w:sz w:val="24"/>
          <w:szCs w:val="24"/>
          <w:rtl/>
        </w:rPr>
        <w:t>4.95%</w:t>
      </w:r>
      <w:r w:rsidR="003A027F" w:rsidRPr="008A4A2C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F07377" w:rsidRPr="00AD3269" w:rsidRDefault="00F07377" w:rsidP="00F07377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76D6" w:rsidRPr="008A4A2C" w:rsidRDefault="008776D6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في المقابل سجلت 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أسعار السلع والخدمات ضمن </w:t>
      </w:r>
      <w:r w:rsidR="00CC16DD"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مجموعة المسكن ومستلزماته </w:t>
      </w:r>
      <w:r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 نسبته</w:t>
      </w:r>
      <w:r w:rsidR="00CC16DD"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>3.90</w:t>
      </w:r>
      <w:r w:rsidR="00CC16DD"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>%،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إذ 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ارتفعت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أسعار كل من 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الغاز بنسبة 10.05%، وأسعار 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>المحروقات السائلة المستخدمة كوقود للمنازل ب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8A4A2C">
        <w:rPr>
          <w:rFonts w:ascii="Simplified Arabic" w:hAnsi="Simplified Arabic" w:cs="Simplified Arabic"/>
          <w:sz w:val="24"/>
          <w:szCs w:val="24"/>
          <w:rtl/>
        </w:rPr>
        <w:t>6.83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proofErr w:type="spellStart"/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>تعرفة</w:t>
      </w:r>
      <w:proofErr w:type="spellEnd"/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الكهرباء ب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نسبة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8A4A2C">
        <w:rPr>
          <w:rFonts w:ascii="Simplified Arabic" w:hAnsi="Simplified Arabic" w:cs="Simplified Arabic"/>
          <w:sz w:val="24"/>
          <w:szCs w:val="24"/>
          <w:rtl/>
        </w:rPr>
        <w:t>3.21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>%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CC16DD" w:rsidRPr="00F07377" w:rsidRDefault="00CC16DD" w:rsidP="008A4A2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CC16DD" w:rsidRPr="008A4A2C" w:rsidRDefault="008776D6" w:rsidP="008A4A2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كما ارتفعت أسعار </w:t>
      </w:r>
      <w:r w:rsidRPr="00C9509F">
        <w:rPr>
          <w:rFonts w:ascii="Simplified Arabic" w:hAnsi="Simplified Arabic" w:cs="Simplified Arabic"/>
          <w:b/>
          <w:bCs/>
          <w:sz w:val="24"/>
          <w:szCs w:val="24"/>
          <w:rtl/>
        </w:rPr>
        <w:t>الخدمات الطبية بنسبة 1.54%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C16DD" w:rsidRPr="008A4A2C">
        <w:rPr>
          <w:rFonts w:ascii="Simplified Arabic" w:hAnsi="Simplified Arabic" w:cs="Simplified Arabic"/>
          <w:sz w:val="24"/>
          <w:szCs w:val="24"/>
          <w:rtl/>
        </w:rPr>
        <w:t xml:space="preserve">خلال العام </w:t>
      </w:r>
      <w:r w:rsidRPr="008A4A2C">
        <w:rPr>
          <w:rFonts w:ascii="Simplified Arabic" w:hAnsi="Simplified Arabic" w:cs="Simplified Arabic"/>
          <w:sz w:val="24"/>
          <w:szCs w:val="24"/>
          <w:rtl/>
        </w:rPr>
        <w:t>2017 مقارنة بالعام السابق.</w:t>
      </w:r>
    </w:p>
    <w:p w:rsidR="00BA70A6" w:rsidRDefault="00BA70A6" w:rsidP="008A4A2C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Default="00AD3269" w:rsidP="00AD326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AD3269" w:rsidRPr="00F07377" w:rsidRDefault="00AD3269" w:rsidP="00AD326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76D6" w:rsidRPr="00AD3269" w:rsidRDefault="008776D6" w:rsidP="00AD3269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AD326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الجدول التالي يوضح نسب </w:t>
      </w:r>
      <w:r w:rsidR="003C5E40" w:rsidRPr="00AD3269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التغّير</w:t>
      </w:r>
      <w:r w:rsidRPr="00AD326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السنوية في أسعار المستهلك على مستوى المناطق الفلسطينية للسنوات: 2004 – </w:t>
      </w:r>
      <w:r w:rsidR="00ED2EB8" w:rsidRPr="00AD3269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2017</w:t>
      </w:r>
    </w:p>
    <w:p w:rsidR="00C9509F" w:rsidRPr="00C9509F" w:rsidRDefault="00C9509F" w:rsidP="00C9509F">
      <w:pPr>
        <w:pStyle w:val="Header"/>
        <w:bidi/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  <w:lang w:eastAsia="ar-SA"/>
        </w:rPr>
      </w:pPr>
    </w:p>
    <w:tbl>
      <w:tblPr>
        <w:bidiVisual/>
        <w:tblW w:w="5535" w:type="dxa"/>
        <w:jc w:val="center"/>
        <w:tblInd w:w="-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"/>
        <w:gridCol w:w="993"/>
        <w:gridCol w:w="1198"/>
        <w:gridCol w:w="1211"/>
        <w:gridCol w:w="1212"/>
      </w:tblGrid>
      <w:tr w:rsidR="008776D6" w:rsidRPr="00F07377" w:rsidTr="00F07377">
        <w:trPr>
          <w:tblHeader/>
          <w:jc w:val="center"/>
        </w:trPr>
        <w:tc>
          <w:tcPr>
            <w:tcW w:w="921" w:type="dxa"/>
            <w:vMerge w:val="restart"/>
            <w:vAlign w:val="center"/>
          </w:tcPr>
          <w:p w:rsidR="008776D6" w:rsidRPr="00F07377" w:rsidRDefault="008776D6" w:rsidP="00C950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السنة</w:t>
            </w:r>
          </w:p>
        </w:tc>
        <w:tc>
          <w:tcPr>
            <w:tcW w:w="4614" w:type="dxa"/>
            <w:gridSpan w:val="4"/>
            <w:vAlign w:val="center"/>
          </w:tcPr>
          <w:p w:rsidR="008776D6" w:rsidRPr="00F07377" w:rsidRDefault="008776D6" w:rsidP="003C5E4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نسب </w:t>
            </w:r>
            <w:r w:rsidR="003C5E40"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التغّير</w:t>
            </w: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السنوية</w:t>
            </w:r>
          </w:p>
        </w:tc>
      </w:tr>
      <w:tr w:rsidR="00C9509F" w:rsidRPr="00F07377" w:rsidTr="00F07377">
        <w:trPr>
          <w:tblHeader/>
          <w:jc w:val="center"/>
        </w:trPr>
        <w:tc>
          <w:tcPr>
            <w:tcW w:w="921" w:type="dxa"/>
            <w:vMerge/>
            <w:vAlign w:val="center"/>
          </w:tcPr>
          <w:p w:rsidR="008776D6" w:rsidRPr="00F07377" w:rsidRDefault="008776D6" w:rsidP="00C950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993" w:type="dxa"/>
          </w:tcPr>
          <w:p w:rsidR="008776D6" w:rsidRPr="00F07377" w:rsidRDefault="008776D6" w:rsidP="00C950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فلسطين</w:t>
            </w:r>
          </w:p>
        </w:tc>
        <w:tc>
          <w:tcPr>
            <w:tcW w:w="1198" w:type="dxa"/>
          </w:tcPr>
          <w:p w:rsidR="008776D6" w:rsidRPr="00F07377" w:rsidRDefault="008776D6" w:rsidP="00C950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الضفة الغربية**</w:t>
            </w:r>
          </w:p>
        </w:tc>
        <w:tc>
          <w:tcPr>
            <w:tcW w:w="1211" w:type="dxa"/>
          </w:tcPr>
          <w:p w:rsidR="008776D6" w:rsidRPr="00F07377" w:rsidRDefault="008776D6" w:rsidP="00C950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قطاع غزة</w:t>
            </w:r>
          </w:p>
        </w:tc>
        <w:tc>
          <w:tcPr>
            <w:tcW w:w="1212" w:type="dxa"/>
          </w:tcPr>
          <w:p w:rsidR="008776D6" w:rsidRPr="00F07377" w:rsidRDefault="008776D6" w:rsidP="00C9509F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القدس </w:t>
            </w:r>
            <w:r w:rsidRPr="00F07377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J1</w:t>
            </w: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*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2004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+ 3.00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+ 2.89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+ 3.18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+ 4.42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2005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+ 4.11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+ 4.00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+ 2.45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+ 5.10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2006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+ 3.84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+ 5.02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+ 4.64 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+ 1.77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2007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+ 1.86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+ 0.75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+ 1.56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+ 3.10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2008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+ 9.89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+ 9.81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+ 13.98 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+ 7.12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2009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+ 2.75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+ 0.57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+ 4.42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+ 3.54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2010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+ 3.75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+ 4.24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+ 1.72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+ 5.25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2011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+ 2.88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+ 3.54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+ 0.57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+ 4.13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2012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+ 2.78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+ 4.08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+ 0.48 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+ 3.23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2013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+ 1.72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+ 3.10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- 0.76 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+ 1.81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2014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+ 1.73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+ 1.20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+ 2.85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+ 3.84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2015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+ 1.43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+ 1.29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+ 1.77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+ 0.33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2016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- 0.22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- 0.08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- 0.84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- 0.96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ED2EB8" w:rsidRPr="00F07377" w:rsidRDefault="00ED2EB8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2017</w:t>
            </w:r>
          </w:p>
        </w:tc>
        <w:tc>
          <w:tcPr>
            <w:tcW w:w="993" w:type="dxa"/>
            <w:vAlign w:val="center"/>
          </w:tcPr>
          <w:p w:rsidR="00ED2EB8" w:rsidRPr="00F07377" w:rsidRDefault="00ED2EB8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+ 0.21</w:t>
            </w:r>
          </w:p>
        </w:tc>
        <w:tc>
          <w:tcPr>
            <w:tcW w:w="1198" w:type="dxa"/>
            <w:vAlign w:val="center"/>
          </w:tcPr>
          <w:p w:rsidR="00ED2EB8" w:rsidRPr="00F07377" w:rsidRDefault="00ED2EB8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- 0.01</w:t>
            </w:r>
          </w:p>
        </w:tc>
        <w:tc>
          <w:tcPr>
            <w:tcW w:w="1211" w:type="dxa"/>
            <w:vAlign w:val="center"/>
          </w:tcPr>
          <w:p w:rsidR="00ED2EB8" w:rsidRPr="00F07377" w:rsidRDefault="00ED2EB8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+ 0.11</w:t>
            </w:r>
          </w:p>
        </w:tc>
        <w:tc>
          <w:tcPr>
            <w:tcW w:w="1212" w:type="dxa"/>
            <w:vAlign w:val="center"/>
          </w:tcPr>
          <w:p w:rsidR="00ED2EB8" w:rsidRPr="00F07377" w:rsidRDefault="00ED2EB8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+ 2.18</w:t>
            </w:r>
          </w:p>
        </w:tc>
      </w:tr>
      <w:tr w:rsidR="00C9509F" w:rsidRPr="00F07377" w:rsidTr="00F07377">
        <w:trPr>
          <w:jc w:val="center"/>
        </w:trPr>
        <w:tc>
          <w:tcPr>
            <w:tcW w:w="921" w:type="dxa"/>
            <w:vAlign w:val="center"/>
          </w:tcPr>
          <w:p w:rsidR="008776D6" w:rsidRPr="00F07377" w:rsidRDefault="008776D6" w:rsidP="008A4A2C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التراكمي</w:t>
            </w:r>
          </w:p>
        </w:tc>
        <w:tc>
          <w:tcPr>
            <w:tcW w:w="993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+ 47.</w:t>
            </w:r>
            <w:r w:rsidR="00ED2EB8"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47</w:t>
            </w:r>
          </w:p>
        </w:tc>
        <w:tc>
          <w:tcPr>
            <w:tcW w:w="1198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+ 48.3</w:t>
            </w:r>
            <w:r w:rsidR="00ED2EB8"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1</w:t>
            </w:r>
          </w:p>
        </w:tc>
        <w:tc>
          <w:tcPr>
            <w:tcW w:w="1211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+ 41.</w:t>
            </w:r>
            <w:r w:rsidR="00ED2EB8"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70</w:t>
            </w:r>
          </w:p>
        </w:tc>
        <w:tc>
          <w:tcPr>
            <w:tcW w:w="1212" w:type="dxa"/>
            <w:vAlign w:val="center"/>
          </w:tcPr>
          <w:p w:rsidR="008776D6" w:rsidRPr="00F07377" w:rsidRDefault="008776D6" w:rsidP="00C9509F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+ </w:t>
            </w:r>
            <w:r w:rsidR="00ED2EB8"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55.12</w:t>
            </w:r>
          </w:p>
        </w:tc>
      </w:tr>
    </w:tbl>
    <w:p w:rsidR="00F07377" w:rsidRPr="00F07377" w:rsidRDefault="00F07377" w:rsidP="00F07377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eastAsia="ar-SA"/>
        </w:rPr>
      </w:pPr>
    </w:p>
    <w:p w:rsidR="00EB5456" w:rsidRPr="00F07377" w:rsidRDefault="00EB5456" w:rsidP="00F0737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F07377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الجدول أدناه يوضح نسب التغيّر الشهرية في أسعار المستهلك على مستوى المناطق الفل</w:t>
      </w:r>
      <w:r w:rsidR="006D14D3" w:rsidRPr="00F07377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سطينية </w:t>
      </w:r>
      <w:r w:rsidR="00B178EF" w:rsidRPr="00F07377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ل</w:t>
      </w:r>
      <w:r w:rsidR="00C9509F" w:rsidRPr="00F07377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أشهر العام</w:t>
      </w:r>
      <w:r w:rsidR="00ED2EB8" w:rsidRPr="00F07377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</w:t>
      </w:r>
      <w:r w:rsidRPr="00F07377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2017:</w:t>
      </w:r>
    </w:p>
    <w:p w:rsidR="00EB5456" w:rsidRPr="00F07377" w:rsidRDefault="00EB5456" w:rsidP="00F07377">
      <w:pPr>
        <w:pStyle w:val="Header"/>
        <w:bidi/>
        <w:jc w:val="center"/>
        <w:rPr>
          <w:rFonts w:ascii="Simplified Arabic" w:hAnsi="Simplified Arabic" w:cs="Simplified Arabic"/>
          <w:color w:val="000000"/>
          <w:sz w:val="4"/>
          <w:szCs w:val="4"/>
          <w:rtl/>
          <w:lang w:eastAsia="ar-SA"/>
        </w:rPr>
      </w:pPr>
    </w:p>
    <w:tbl>
      <w:tblPr>
        <w:bidiVisual/>
        <w:tblW w:w="5137" w:type="dxa"/>
        <w:jc w:val="center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09"/>
        <w:gridCol w:w="992"/>
        <w:gridCol w:w="993"/>
        <w:gridCol w:w="935"/>
        <w:gridCol w:w="1008"/>
      </w:tblGrid>
      <w:tr w:rsidR="00C9509F" w:rsidRPr="00F07377" w:rsidTr="00F07377">
        <w:trPr>
          <w:tblHeader/>
          <w:jc w:val="center"/>
        </w:trPr>
        <w:tc>
          <w:tcPr>
            <w:tcW w:w="1209" w:type="dxa"/>
            <w:vMerge w:val="restart"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3928" w:type="dxa"/>
            <w:gridSpan w:val="4"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 التغيّر الشهرية</w:t>
            </w:r>
          </w:p>
        </w:tc>
      </w:tr>
      <w:tr w:rsidR="00C9509F" w:rsidRPr="00F07377" w:rsidTr="00F07377">
        <w:trPr>
          <w:tblHeader/>
          <w:jc w:val="center"/>
        </w:trPr>
        <w:tc>
          <w:tcPr>
            <w:tcW w:w="1209" w:type="dxa"/>
            <w:vMerge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فلسطين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الضفة الغربية**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قطاع غزة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القدس </w:t>
            </w:r>
            <w:r w:rsidRPr="00F07377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J1</w:t>
            </w: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*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+ 0.14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+ 0.03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+ 0.38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+ 1.02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+ 0.62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+ 0.78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+ 0.40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+ 0.35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+ 1.08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+ 0.22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+ 2.33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- 0.70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- 0.50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- 1.01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+ 0.13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+ 0.61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- 0.84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- 0.50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- 1.62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- 0.17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- 0.96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- 0.90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- 1.61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- 0.29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B5456" w:rsidRPr="00F07377" w:rsidRDefault="00EB5456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992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- 0.15</w:t>
            </w:r>
          </w:p>
        </w:tc>
        <w:tc>
          <w:tcPr>
            <w:tcW w:w="993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+ 0.36</w:t>
            </w:r>
          </w:p>
        </w:tc>
        <w:tc>
          <w:tcPr>
            <w:tcW w:w="935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- 0.58</w:t>
            </w:r>
          </w:p>
        </w:tc>
        <w:tc>
          <w:tcPr>
            <w:tcW w:w="1008" w:type="dxa"/>
            <w:vAlign w:val="center"/>
          </w:tcPr>
          <w:p w:rsidR="00EB5456" w:rsidRPr="00F07377" w:rsidRDefault="00EB5456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- 0.13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6D14D3" w:rsidRPr="00F07377" w:rsidRDefault="006D14D3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992" w:type="dxa"/>
            <w:vAlign w:val="center"/>
          </w:tcPr>
          <w:p w:rsidR="006D14D3" w:rsidRPr="00F07377" w:rsidRDefault="006D14D3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+ 0.56</w:t>
            </w:r>
          </w:p>
        </w:tc>
        <w:tc>
          <w:tcPr>
            <w:tcW w:w="993" w:type="dxa"/>
            <w:vAlign w:val="center"/>
          </w:tcPr>
          <w:p w:rsidR="006D14D3" w:rsidRPr="00F07377" w:rsidRDefault="006D14D3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+ 0.57</w:t>
            </w:r>
          </w:p>
        </w:tc>
        <w:tc>
          <w:tcPr>
            <w:tcW w:w="935" w:type="dxa"/>
            <w:vAlign w:val="center"/>
          </w:tcPr>
          <w:p w:rsidR="006D14D3" w:rsidRPr="00F07377" w:rsidRDefault="006D14D3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+ 0.31</w:t>
            </w:r>
          </w:p>
        </w:tc>
        <w:tc>
          <w:tcPr>
            <w:tcW w:w="1008" w:type="dxa"/>
            <w:vAlign w:val="center"/>
          </w:tcPr>
          <w:p w:rsidR="006D14D3" w:rsidRPr="00F07377" w:rsidRDefault="006D14D3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+ 0.47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9F77D0" w:rsidRPr="00F07377" w:rsidRDefault="009F77D0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أيلول</w:t>
            </w:r>
          </w:p>
        </w:tc>
        <w:tc>
          <w:tcPr>
            <w:tcW w:w="992" w:type="dxa"/>
            <w:vAlign w:val="center"/>
          </w:tcPr>
          <w:p w:rsidR="009F77D0" w:rsidRPr="00F07377" w:rsidRDefault="009F77D0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+ 0.65</w:t>
            </w:r>
          </w:p>
        </w:tc>
        <w:tc>
          <w:tcPr>
            <w:tcW w:w="993" w:type="dxa"/>
            <w:vAlign w:val="center"/>
          </w:tcPr>
          <w:p w:rsidR="009F77D0" w:rsidRPr="00F07377" w:rsidRDefault="009F77D0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+ 0.14</w:t>
            </w:r>
          </w:p>
        </w:tc>
        <w:tc>
          <w:tcPr>
            <w:tcW w:w="935" w:type="dxa"/>
            <w:vAlign w:val="center"/>
          </w:tcPr>
          <w:p w:rsidR="009F77D0" w:rsidRPr="00F07377" w:rsidRDefault="009F77D0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4382A"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1.39</w:t>
            </w:r>
          </w:p>
        </w:tc>
        <w:tc>
          <w:tcPr>
            <w:tcW w:w="1008" w:type="dxa"/>
            <w:vAlign w:val="center"/>
          </w:tcPr>
          <w:p w:rsidR="009F77D0" w:rsidRPr="00F07377" w:rsidRDefault="009F77D0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4382A"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0.28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2E15E8" w:rsidRPr="00F07377" w:rsidRDefault="002E15E8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أول</w:t>
            </w:r>
          </w:p>
        </w:tc>
        <w:tc>
          <w:tcPr>
            <w:tcW w:w="992" w:type="dxa"/>
            <w:vAlign w:val="center"/>
          </w:tcPr>
          <w:p w:rsidR="002E15E8" w:rsidRPr="00F07377" w:rsidRDefault="002E15E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+ 0.20</w:t>
            </w:r>
          </w:p>
        </w:tc>
        <w:tc>
          <w:tcPr>
            <w:tcW w:w="993" w:type="dxa"/>
            <w:vAlign w:val="center"/>
          </w:tcPr>
          <w:p w:rsidR="002E15E8" w:rsidRPr="00F07377" w:rsidRDefault="002E15E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- 0.08</w:t>
            </w:r>
          </w:p>
        </w:tc>
        <w:tc>
          <w:tcPr>
            <w:tcW w:w="935" w:type="dxa"/>
            <w:vAlign w:val="center"/>
          </w:tcPr>
          <w:p w:rsidR="002E15E8" w:rsidRPr="00F07377" w:rsidRDefault="002E15E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+ 0.65</w:t>
            </w:r>
          </w:p>
        </w:tc>
        <w:tc>
          <w:tcPr>
            <w:tcW w:w="1008" w:type="dxa"/>
            <w:vAlign w:val="center"/>
          </w:tcPr>
          <w:p w:rsidR="002E15E8" w:rsidRPr="00F07377" w:rsidRDefault="002E15E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+ 0.08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9F5FDB" w:rsidRPr="00F07377" w:rsidRDefault="009F5FDB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ثاني</w:t>
            </w:r>
          </w:p>
        </w:tc>
        <w:tc>
          <w:tcPr>
            <w:tcW w:w="992" w:type="dxa"/>
            <w:vAlign w:val="center"/>
          </w:tcPr>
          <w:p w:rsidR="009F5FDB" w:rsidRPr="00F07377" w:rsidRDefault="009F5FDB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- 0.38</w:t>
            </w:r>
          </w:p>
        </w:tc>
        <w:tc>
          <w:tcPr>
            <w:tcW w:w="993" w:type="dxa"/>
            <w:vAlign w:val="center"/>
          </w:tcPr>
          <w:p w:rsidR="009F5FDB" w:rsidRPr="00F07377" w:rsidRDefault="009F5FDB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- 0.17</w:t>
            </w:r>
          </w:p>
        </w:tc>
        <w:tc>
          <w:tcPr>
            <w:tcW w:w="935" w:type="dxa"/>
            <w:vAlign w:val="center"/>
          </w:tcPr>
          <w:p w:rsidR="009F5FDB" w:rsidRPr="00F07377" w:rsidRDefault="009F5FDB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- 0.96</w:t>
            </w:r>
          </w:p>
        </w:tc>
        <w:tc>
          <w:tcPr>
            <w:tcW w:w="1008" w:type="dxa"/>
            <w:vAlign w:val="center"/>
          </w:tcPr>
          <w:p w:rsidR="009F5FDB" w:rsidRPr="00F07377" w:rsidRDefault="009F5FDB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- 0.16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ED2EB8" w:rsidRPr="00F07377" w:rsidRDefault="00ED2EB8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أول</w:t>
            </w:r>
          </w:p>
        </w:tc>
        <w:tc>
          <w:tcPr>
            <w:tcW w:w="992" w:type="dxa"/>
            <w:vAlign w:val="center"/>
          </w:tcPr>
          <w:p w:rsidR="00ED2EB8" w:rsidRPr="00F07377" w:rsidRDefault="00ED2EB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- 0.41</w:t>
            </w:r>
          </w:p>
        </w:tc>
        <w:tc>
          <w:tcPr>
            <w:tcW w:w="993" w:type="dxa"/>
            <w:vAlign w:val="center"/>
          </w:tcPr>
          <w:p w:rsidR="00ED2EB8" w:rsidRPr="00F07377" w:rsidRDefault="00ED2EB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- 0.43</w:t>
            </w:r>
          </w:p>
        </w:tc>
        <w:tc>
          <w:tcPr>
            <w:tcW w:w="935" w:type="dxa"/>
            <w:vAlign w:val="center"/>
          </w:tcPr>
          <w:p w:rsidR="00ED2EB8" w:rsidRPr="00F07377" w:rsidRDefault="00ED2EB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- 0.44</w:t>
            </w:r>
          </w:p>
        </w:tc>
        <w:tc>
          <w:tcPr>
            <w:tcW w:w="1008" w:type="dxa"/>
            <w:vAlign w:val="center"/>
          </w:tcPr>
          <w:p w:rsidR="00ED2EB8" w:rsidRPr="00F07377" w:rsidRDefault="00ED2EB8" w:rsidP="00F07377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+ 0.07</w:t>
            </w:r>
          </w:p>
        </w:tc>
      </w:tr>
      <w:tr w:rsidR="00C9509F" w:rsidRPr="00F07377" w:rsidTr="00F07377">
        <w:trPr>
          <w:jc w:val="center"/>
        </w:trPr>
        <w:tc>
          <w:tcPr>
            <w:tcW w:w="1209" w:type="dxa"/>
            <w:vAlign w:val="center"/>
          </w:tcPr>
          <w:p w:rsidR="00C9509F" w:rsidRPr="00F07377" w:rsidRDefault="00C9509F" w:rsidP="00F07377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2017</w:t>
            </w:r>
          </w:p>
        </w:tc>
        <w:tc>
          <w:tcPr>
            <w:tcW w:w="992" w:type="dxa"/>
            <w:vAlign w:val="center"/>
          </w:tcPr>
          <w:p w:rsidR="00C9509F" w:rsidRPr="00F07377" w:rsidRDefault="00C9509F" w:rsidP="00F07377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+ 0.21</w:t>
            </w:r>
          </w:p>
        </w:tc>
        <w:tc>
          <w:tcPr>
            <w:tcW w:w="993" w:type="dxa"/>
            <w:vAlign w:val="center"/>
          </w:tcPr>
          <w:p w:rsidR="00C9509F" w:rsidRPr="00F07377" w:rsidRDefault="00C9509F" w:rsidP="00F07377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- 0.01</w:t>
            </w:r>
          </w:p>
        </w:tc>
        <w:tc>
          <w:tcPr>
            <w:tcW w:w="935" w:type="dxa"/>
            <w:vAlign w:val="center"/>
          </w:tcPr>
          <w:p w:rsidR="00C9509F" w:rsidRPr="00F07377" w:rsidRDefault="00C9509F" w:rsidP="00F07377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+ 0.11</w:t>
            </w:r>
          </w:p>
        </w:tc>
        <w:tc>
          <w:tcPr>
            <w:tcW w:w="1008" w:type="dxa"/>
            <w:vAlign w:val="center"/>
          </w:tcPr>
          <w:p w:rsidR="00C9509F" w:rsidRPr="00F07377" w:rsidRDefault="00C9509F" w:rsidP="00F07377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F07377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+ 2.18</w:t>
            </w:r>
          </w:p>
        </w:tc>
      </w:tr>
    </w:tbl>
    <w:p w:rsidR="00B178EF" w:rsidRPr="00F07377" w:rsidRDefault="00B178EF" w:rsidP="008A4A2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  <w:bookmarkStart w:id="0" w:name="OLE_LINK5"/>
      <w:bookmarkStart w:id="1" w:name="OLE_LINK6"/>
    </w:p>
    <w:p w:rsidR="00AD3269" w:rsidRDefault="00AD3269" w:rsidP="00F07377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AD3269" w:rsidRDefault="00AD3269" w:rsidP="00F07377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AD3269" w:rsidRDefault="00AD3269" w:rsidP="00F07377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AD3269" w:rsidRDefault="00AD3269" w:rsidP="00F07377">
      <w:pPr>
        <w:pStyle w:val="BodyText2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AD3269" w:rsidRDefault="00AD3269" w:rsidP="00AD3269">
      <w:pPr>
        <w:pStyle w:val="BodyText2"/>
        <w:spacing w:after="0" w:line="240" w:lineRule="auto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F07377" w:rsidRPr="00F07377" w:rsidRDefault="00EB5456" w:rsidP="00AD3269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</w:t>
      </w:r>
      <w:r w:rsidR="00816C67"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المستهلك في فلسطين </w:t>
      </w:r>
      <w:r w:rsidR="00C9509F"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خلال </w:t>
      </w:r>
      <w:r w:rsidR="00C9509F" w:rsidRPr="00F07377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</w:t>
      </w: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شهر </w:t>
      </w:r>
      <w:r w:rsidR="00C9509F" w:rsidRPr="00F07377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العام</w:t>
      </w: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D2EB8" w:rsidRPr="00F07377" w:rsidRDefault="00EB5456" w:rsidP="00AD3269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F07377">
        <w:rPr>
          <w:rFonts w:ascii="Simplified Arabic" w:hAnsi="Simplified Arabic" w:cs="Simplified Arabic"/>
          <w:b/>
          <w:bCs/>
          <w:sz w:val="25"/>
          <w:szCs w:val="25"/>
          <w:rtl/>
        </w:rPr>
        <w:t>(سنة الأساس 2010 = 100)</w:t>
      </w:r>
    </w:p>
    <w:p w:rsidR="00ED2EB8" w:rsidRPr="00F07377" w:rsidRDefault="00ED2EB8" w:rsidP="00F07377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4761"/>
      </w:tblGrid>
      <w:tr w:rsidR="00197130" w:rsidRPr="008A4A2C" w:rsidTr="00C9509F">
        <w:trPr>
          <w:jc w:val="center"/>
        </w:trPr>
        <w:tc>
          <w:tcPr>
            <w:tcW w:w="4416" w:type="dxa"/>
          </w:tcPr>
          <w:p w:rsidR="00197130" w:rsidRPr="008A4A2C" w:rsidRDefault="00197130" w:rsidP="008A4A2C">
            <w:pPr>
              <w:pStyle w:val="BodyText2"/>
              <w:spacing w:after="0" w:line="240" w:lineRule="auto"/>
              <w:jc w:val="both"/>
              <w:rPr>
                <w:rFonts w:ascii="Simplified Arabic" w:hAnsi="Simplified Arabic" w:cs="Simplified Arabic"/>
                <w:rtl/>
              </w:rPr>
            </w:pPr>
            <w:r w:rsidRPr="008A4A2C"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>
                  <wp:extent cx="2886075" cy="234315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F07377" w:rsidRDefault="00F07377" w:rsidP="008A4A2C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16"/>
          <w:szCs w:val="16"/>
          <w:rtl/>
        </w:rPr>
      </w:pPr>
    </w:p>
    <w:p w:rsidR="00AD3269" w:rsidRPr="00F07377" w:rsidRDefault="00AD3269" w:rsidP="008A4A2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EB5456" w:rsidRPr="00C9509F" w:rsidRDefault="00EB5456" w:rsidP="008A4A2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  <w:r w:rsidRPr="00C9509F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ملاحظات:</w:t>
      </w:r>
    </w:p>
    <w:p w:rsidR="00EB5456" w:rsidRPr="00C9509F" w:rsidRDefault="00EB5456" w:rsidP="008A4A2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C9509F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C9509F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C9509F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C9509F" w:rsidRPr="00F07377" w:rsidRDefault="00EB5456" w:rsidP="00F0737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C9509F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C9509F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197130" w:rsidRPr="00C9509F" w:rsidRDefault="00197130" w:rsidP="00C9509F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C9509F"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ar-SA"/>
        </w:rPr>
        <w:t>تنويه:</w:t>
      </w:r>
    </w:p>
    <w:p w:rsidR="00EB5456" w:rsidRPr="00C9509F" w:rsidRDefault="00EB5456" w:rsidP="008A4A2C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C9509F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sectPr w:rsidR="00EB5456" w:rsidRPr="00C9509F" w:rsidSect="00AD3269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86" w:rsidRDefault="002E0D86" w:rsidP="0089530C">
      <w:r>
        <w:separator/>
      </w:r>
    </w:p>
  </w:endnote>
  <w:endnote w:type="continuationSeparator" w:id="0">
    <w:p w:rsidR="002E0D86" w:rsidRDefault="002E0D86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D6" w:rsidRDefault="002E4449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7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6D6" w:rsidRDefault="002E4449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77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6D6" w:rsidRDefault="008776D6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D6" w:rsidRDefault="002E4449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8776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269">
      <w:rPr>
        <w:rStyle w:val="PageNumber"/>
        <w:noProof/>
      </w:rPr>
      <w:t>2</w:t>
    </w:r>
    <w:r>
      <w:rPr>
        <w:rStyle w:val="PageNumber"/>
      </w:rPr>
      <w:fldChar w:fldCharType="end"/>
    </w:r>
  </w:p>
  <w:p w:rsidR="008776D6" w:rsidRDefault="002E4449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8776D6" w:rsidRDefault="008776D6" w:rsidP="00BC1FE0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14/01/2018</w:t>
                </w:r>
              </w:p>
            </w:txbxContent>
          </v:textbox>
        </v:shape>
      </w:pict>
    </w:r>
    <w:r w:rsidR="008776D6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86" w:rsidRDefault="002E0D86" w:rsidP="0089530C">
      <w:r>
        <w:separator/>
      </w:r>
    </w:p>
  </w:footnote>
  <w:footnote w:type="continuationSeparator" w:id="0">
    <w:p w:rsidR="002E0D86" w:rsidRDefault="002E0D86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D6" w:rsidRDefault="008776D6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449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2E4449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8776D6" w:rsidRDefault="008776D6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409F9"/>
    <w:rsid w:val="0005027F"/>
    <w:rsid w:val="00066B9A"/>
    <w:rsid w:val="000753B8"/>
    <w:rsid w:val="000844BE"/>
    <w:rsid w:val="000B0833"/>
    <w:rsid w:val="000B171B"/>
    <w:rsid w:val="000B19AD"/>
    <w:rsid w:val="000B227F"/>
    <w:rsid w:val="000C65E1"/>
    <w:rsid w:val="000F0A69"/>
    <w:rsid w:val="000F2B27"/>
    <w:rsid w:val="000F44DB"/>
    <w:rsid w:val="001070A1"/>
    <w:rsid w:val="001156C2"/>
    <w:rsid w:val="00133A6B"/>
    <w:rsid w:val="00133FA1"/>
    <w:rsid w:val="00164DF7"/>
    <w:rsid w:val="00180D60"/>
    <w:rsid w:val="00183FC3"/>
    <w:rsid w:val="00185598"/>
    <w:rsid w:val="00197130"/>
    <w:rsid w:val="001A538A"/>
    <w:rsid w:val="0020755C"/>
    <w:rsid w:val="00215983"/>
    <w:rsid w:val="00216A88"/>
    <w:rsid w:val="0023327E"/>
    <w:rsid w:val="002662AF"/>
    <w:rsid w:val="00273925"/>
    <w:rsid w:val="00284451"/>
    <w:rsid w:val="002A334A"/>
    <w:rsid w:val="002A6002"/>
    <w:rsid w:val="002B1856"/>
    <w:rsid w:val="002C2373"/>
    <w:rsid w:val="002C6074"/>
    <w:rsid w:val="002D2E6B"/>
    <w:rsid w:val="002D4BA5"/>
    <w:rsid w:val="002E0D86"/>
    <w:rsid w:val="002E15E8"/>
    <w:rsid w:val="002E4449"/>
    <w:rsid w:val="002E5821"/>
    <w:rsid w:val="00302810"/>
    <w:rsid w:val="00324DB0"/>
    <w:rsid w:val="003261C5"/>
    <w:rsid w:val="00332C2B"/>
    <w:rsid w:val="00336377"/>
    <w:rsid w:val="0034382A"/>
    <w:rsid w:val="00344B51"/>
    <w:rsid w:val="00346CBA"/>
    <w:rsid w:val="003470B1"/>
    <w:rsid w:val="003567A3"/>
    <w:rsid w:val="003717C5"/>
    <w:rsid w:val="00373661"/>
    <w:rsid w:val="00374B91"/>
    <w:rsid w:val="003814FC"/>
    <w:rsid w:val="003A027F"/>
    <w:rsid w:val="003B1C77"/>
    <w:rsid w:val="003B68AD"/>
    <w:rsid w:val="003C5E40"/>
    <w:rsid w:val="003C749E"/>
    <w:rsid w:val="003D15F4"/>
    <w:rsid w:val="003E6EF8"/>
    <w:rsid w:val="00403249"/>
    <w:rsid w:val="00405504"/>
    <w:rsid w:val="004109B1"/>
    <w:rsid w:val="0043166F"/>
    <w:rsid w:val="0043593A"/>
    <w:rsid w:val="004432F6"/>
    <w:rsid w:val="00453ED2"/>
    <w:rsid w:val="0047198E"/>
    <w:rsid w:val="004878F9"/>
    <w:rsid w:val="004879CD"/>
    <w:rsid w:val="00491506"/>
    <w:rsid w:val="004A7EF8"/>
    <w:rsid w:val="004C5387"/>
    <w:rsid w:val="004D3DA2"/>
    <w:rsid w:val="004D61A9"/>
    <w:rsid w:val="004E20E3"/>
    <w:rsid w:val="004E45C6"/>
    <w:rsid w:val="004F6543"/>
    <w:rsid w:val="00501806"/>
    <w:rsid w:val="00506AD9"/>
    <w:rsid w:val="00544D02"/>
    <w:rsid w:val="00555B1C"/>
    <w:rsid w:val="005762F8"/>
    <w:rsid w:val="005819A9"/>
    <w:rsid w:val="005B7152"/>
    <w:rsid w:val="00606C0A"/>
    <w:rsid w:val="00650B69"/>
    <w:rsid w:val="00651366"/>
    <w:rsid w:val="006604BA"/>
    <w:rsid w:val="006732FA"/>
    <w:rsid w:val="00683624"/>
    <w:rsid w:val="006A0707"/>
    <w:rsid w:val="006A5C89"/>
    <w:rsid w:val="006B3767"/>
    <w:rsid w:val="006B494A"/>
    <w:rsid w:val="006C13E8"/>
    <w:rsid w:val="006D14D3"/>
    <w:rsid w:val="006D4509"/>
    <w:rsid w:val="006F3D1E"/>
    <w:rsid w:val="006F4D70"/>
    <w:rsid w:val="00703947"/>
    <w:rsid w:val="00703C98"/>
    <w:rsid w:val="007065BF"/>
    <w:rsid w:val="00716017"/>
    <w:rsid w:val="00717991"/>
    <w:rsid w:val="007230D4"/>
    <w:rsid w:val="00731C12"/>
    <w:rsid w:val="0073710E"/>
    <w:rsid w:val="007441E1"/>
    <w:rsid w:val="00756231"/>
    <w:rsid w:val="00776BB2"/>
    <w:rsid w:val="00787D17"/>
    <w:rsid w:val="00791F9B"/>
    <w:rsid w:val="007C58C6"/>
    <w:rsid w:val="007D3C37"/>
    <w:rsid w:val="007E4D45"/>
    <w:rsid w:val="007E5AC9"/>
    <w:rsid w:val="007F7D6B"/>
    <w:rsid w:val="00816C67"/>
    <w:rsid w:val="00825D5E"/>
    <w:rsid w:val="00836F86"/>
    <w:rsid w:val="00876644"/>
    <w:rsid w:val="008776D6"/>
    <w:rsid w:val="00880E5E"/>
    <w:rsid w:val="008813B3"/>
    <w:rsid w:val="0089530C"/>
    <w:rsid w:val="008A456C"/>
    <w:rsid w:val="008A4A2C"/>
    <w:rsid w:val="008D58E6"/>
    <w:rsid w:val="008D7FDB"/>
    <w:rsid w:val="0090533E"/>
    <w:rsid w:val="00927B97"/>
    <w:rsid w:val="009342FB"/>
    <w:rsid w:val="0094463A"/>
    <w:rsid w:val="00947D6F"/>
    <w:rsid w:val="0096594F"/>
    <w:rsid w:val="009709C5"/>
    <w:rsid w:val="0098668D"/>
    <w:rsid w:val="00990944"/>
    <w:rsid w:val="00992EB1"/>
    <w:rsid w:val="009B2B6C"/>
    <w:rsid w:val="009B7F79"/>
    <w:rsid w:val="009C1A1C"/>
    <w:rsid w:val="009E2782"/>
    <w:rsid w:val="009E7FFB"/>
    <w:rsid w:val="009F5FDB"/>
    <w:rsid w:val="009F77D0"/>
    <w:rsid w:val="00A0006E"/>
    <w:rsid w:val="00A006DA"/>
    <w:rsid w:val="00A06ACF"/>
    <w:rsid w:val="00A21B0D"/>
    <w:rsid w:val="00A50D03"/>
    <w:rsid w:val="00A829EF"/>
    <w:rsid w:val="00AA04B1"/>
    <w:rsid w:val="00AC5EC2"/>
    <w:rsid w:val="00AD3269"/>
    <w:rsid w:val="00AD5232"/>
    <w:rsid w:val="00AE6ED6"/>
    <w:rsid w:val="00B11935"/>
    <w:rsid w:val="00B178EF"/>
    <w:rsid w:val="00B35121"/>
    <w:rsid w:val="00B86483"/>
    <w:rsid w:val="00B9323D"/>
    <w:rsid w:val="00B9409D"/>
    <w:rsid w:val="00BA70A6"/>
    <w:rsid w:val="00BC1FE0"/>
    <w:rsid w:val="00BC4AED"/>
    <w:rsid w:val="00C10666"/>
    <w:rsid w:val="00C3049D"/>
    <w:rsid w:val="00C62128"/>
    <w:rsid w:val="00C70BBD"/>
    <w:rsid w:val="00C73AB4"/>
    <w:rsid w:val="00C76741"/>
    <w:rsid w:val="00C82E36"/>
    <w:rsid w:val="00C8412C"/>
    <w:rsid w:val="00C85F6E"/>
    <w:rsid w:val="00C9509F"/>
    <w:rsid w:val="00CB7A26"/>
    <w:rsid w:val="00CC16DD"/>
    <w:rsid w:val="00CE3BEA"/>
    <w:rsid w:val="00D03463"/>
    <w:rsid w:val="00D257CE"/>
    <w:rsid w:val="00D26663"/>
    <w:rsid w:val="00D37A83"/>
    <w:rsid w:val="00D5063D"/>
    <w:rsid w:val="00D50CEE"/>
    <w:rsid w:val="00D84F6F"/>
    <w:rsid w:val="00DB1758"/>
    <w:rsid w:val="00DC3431"/>
    <w:rsid w:val="00DD710B"/>
    <w:rsid w:val="00DE34F8"/>
    <w:rsid w:val="00DF17F5"/>
    <w:rsid w:val="00DF1948"/>
    <w:rsid w:val="00E316C4"/>
    <w:rsid w:val="00E50067"/>
    <w:rsid w:val="00E76D45"/>
    <w:rsid w:val="00E87EB0"/>
    <w:rsid w:val="00E926E1"/>
    <w:rsid w:val="00EA0E55"/>
    <w:rsid w:val="00EA1C60"/>
    <w:rsid w:val="00EB5456"/>
    <w:rsid w:val="00ED290A"/>
    <w:rsid w:val="00ED2EB8"/>
    <w:rsid w:val="00EE0530"/>
    <w:rsid w:val="00F07377"/>
    <w:rsid w:val="00F21F96"/>
    <w:rsid w:val="00F25427"/>
    <w:rsid w:val="00F45F27"/>
    <w:rsid w:val="00F56F30"/>
    <w:rsid w:val="00F670EB"/>
    <w:rsid w:val="00F676C9"/>
    <w:rsid w:val="00F746EB"/>
    <w:rsid w:val="00F9284D"/>
    <w:rsid w:val="00F94BCC"/>
    <w:rsid w:val="00FA2CE0"/>
    <w:rsid w:val="00FA635A"/>
    <w:rsid w:val="00FD1826"/>
    <w:rsid w:val="00FD1D5C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3196517688810053"/>
          <c:y val="8.2304526748971207E-2"/>
          <c:w val="0.69414476359469335"/>
          <c:h val="0.6284095318124760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التضخم في فلسطين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708402646852238E-2"/>
                  <c:y val="6.156979340238071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7.0516801596983564E-2"/>
                  <c:y val="-6.131451410897295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6.8433699308713375E-2"/>
                  <c:y val="-6.275340063819842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3"/>
              <c:layout>
                <c:manualLayout>
                  <c:x val="-2.3322612842408778E-3"/>
                  <c:y val="-6.798619052286526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</c:numCache>
            </c:numRef>
          </c:cat>
          <c:val>
            <c:numRef>
              <c:f>Sheet1!$B$2:$O$2</c:f>
              <c:numCache>
                <c:formatCode>0.00%</c:formatCode>
                <c:ptCount val="14"/>
                <c:pt idx="0">
                  <c:v>3.0000000000000051E-2</c:v>
                </c:pt>
                <c:pt idx="1">
                  <c:v>4.1100000000000005E-2</c:v>
                </c:pt>
                <c:pt idx="2">
                  <c:v>3.8400000000000045E-2</c:v>
                </c:pt>
                <c:pt idx="3">
                  <c:v>1.8599999999999998E-2</c:v>
                </c:pt>
                <c:pt idx="4">
                  <c:v>9.8900000000000224E-2</c:v>
                </c:pt>
                <c:pt idx="5">
                  <c:v>2.7500000000000042E-2</c:v>
                </c:pt>
                <c:pt idx="6">
                  <c:v>3.7500000000000054E-2</c:v>
                </c:pt>
                <c:pt idx="7">
                  <c:v>2.8799999999999999E-2</c:v>
                </c:pt>
                <c:pt idx="8">
                  <c:v>2.7800000000000057E-2</c:v>
                </c:pt>
                <c:pt idx="9">
                  <c:v>1.7200000000000045E-2</c:v>
                </c:pt>
                <c:pt idx="10">
                  <c:v>1.7299999999999996E-2</c:v>
                </c:pt>
                <c:pt idx="11">
                  <c:v>1.4300000000000021E-2</c:v>
                </c:pt>
                <c:pt idx="12">
                  <c:v>-2.2000000000000049E-3</c:v>
                </c:pt>
                <c:pt idx="13">
                  <c:v>2.1239565879329746E-3</c:v>
                </c:pt>
              </c:numCache>
            </c:numRef>
          </c:val>
        </c:ser>
        <c:marker val="1"/>
        <c:axId val="82224256"/>
        <c:axId val="82225792"/>
      </c:lineChart>
      <c:catAx>
        <c:axId val="82224256"/>
        <c:scaling>
          <c:orientation val="minMax"/>
        </c:scaling>
        <c:axPos val="b"/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 rtl="0">
              <a:defRPr/>
            </a:pPr>
            <a:endParaRPr lang="ar-SA"/>
          </a:p>
        </c:txPr>
        <c:crossAx val="82225792"/>
        <c:crosses val="autoZero"/>
        <c:auto val="1"/>
        <c:lblAlgn val="ctr"/>
        <c:lblOffset val="400"/>
        <c:tickLblSkip val="1"/>
        <c:tickMarkSkip val="1"/>
      </c:catAx>
      <c:valAx>
        <c:axId val="82225792"/>
        <c:scaling>
          <c:orientation val="minMax"/>
          <c:max val="0.13"/>
          <c:min val="-1.0000000000000021E-2"/>
        </c:scaling>
        <c:axPos val="l"/>
        <c:title>
          <c:tx>
            <c:rich>
              <a:bodyPr/>
              <a:lstStyle/>
              <a:p>
                <a:pPr>
                  <a:defRPr>
                    <a:latin typeface="Simplified Arabic" pitchFamily="18" charset="-78"/>
                    <a:cs typeface="Simplified Arabic" pitchFamily="18" charset="-78"/>
                  </a:defRPr>
                </a:pPr>
                <a:r>
                  <a:rPr lang="ar-SA">
                    <a:latin typeface="Simplified Arabic" pitchFamily="18" charset="-78"/>
                    <a:cs typeface="Simplified Arabic" pitchFamily="18" charset="-78"/>
                  </a:rPr>
                  <a:t>نسب</a:t>
                </a:r>
                <a:r>
                  <a:rPr lang="ar-SA" baseline="0">
                    <a:latin typeface="Simplified Arabic" pitchFamily="18" charset="-78"/>
                    <a:cs typeface="Simplified Arabic" pitchFamily="18" charset="-78"/>
                  </a:rPr>
                  <a:t> التغّير</a:t>
                </a:r>
                <a:r>
                  <a:rPr lang="ar-SA">
                    <a:latin typeface="Simplified Arabic" pitchFamily="18" charset="-78"/>
                    <a:cs typeface="Simplified Arabic" pitchFamily="18" charset="-78"/>
                  </a:rPr>
                  <a:t> السنوية في أسعار المستهلك</a:t>
                </a:r>
              </a:p>
            </c:rich>
          </c:tx>
          <c:layout>
            <c:manualLayout>
              <c:xMode val="edge"/>
              <c:yMode val="edge"/>
              <c:x val="0"/>
              <c:y val="0.14403292181069971"/>
            </c:manualLayout>
          </c:layout>
          <c:spPr>
            <a:noFill/>
            <a:ln w="25399">
              <a:noFill/>
            </a:ln>
          </c:spPr>
        </c:title>
        <c:numFmt formatCode="0.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2224256"/>
        <c:crosses val="autoZero"/>
        <c:crossBetween val="midCat"/>
        <c:majorUnit val="2.0000000000000042E-2"/>
      </c:valAx>
      <c:spPr>
        <a:noFill/>
        <a:ln w="25399">
          <a:noFill/>
        </a:ln>
      </c:spPr>
    </c:plotArea>
    <c:plotVisOnly val="1"/>
    <c:dispBlanksAs val="gap"/>
  </c:chart>
  <c:spPr>
    <a:noFill/>
    <a:ln w="1270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Calibri"/>
          <a:cs typeface="Arial" pitchFamily="34" charset="0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787851518560181"/>
          <c:y val="5.5516897597102904E-2"/>
          <c:w val="0.66565954255718329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811773528309003E-2"/>
                  <c:y val="5.860443808160342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0"/>
                  <c:y val="6.78787878787879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5.679331901694130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Sheet1!$B$1:$M$1</c:f>
              <c:strCache>
                <c:ptCount val="12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2017</c:v>
                </c:pt>
                <c:pt idx="5">
                  <c:v>حزيران 2017</c:v>
                </c:pt>
                <c:pt idx="6">
                  <c:v>تموز 2017</c:v>
                </c:pt>
                <c:pt idx="7">
                  <c:v>آب 2017</c:v>
                </c:pt>
                <c:pt idx="8">
                  <c:v>أيلول 2017</c:v>
                </c:pt>
                <c:pt idx="9">
                  <c:v>تشرين أول 2017</c:v>
                </c:pt>
                <c:pt idx="10">
                  <c:v>تشرين ثاني 2017</c:v>
                </c:pt>
                <c:pt idx="11">
                  <c:v>كانون أول 2017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110.66999999999999</c:v>
                </c:pt>
                <c:pt idx="1">
                  <c:v>111.35262359633445</c:v>
                </c:pt>
                <c:pt idx="2">
                  <c:v>112.55</c:v>
                </c:pt>
                <c:pt idx="3">
                  <c:v>111.98</c:v>
                </c:pt>
                <c:pt idx="4">
                  <c:v>111.04</c:v>
                </c:pt>
                <c:pt idx="5">
                  <c:v>109.98</c:v>
                </c:pt>
                <c:pt idx="6">
                  <c:v>109.82</c:v>
                </c:pt>
                <c:pt idx="7">
                  <c:v>110.43</c:v>
                </c:pt>
                <c:pt idx="8">
                  <c:v>111.14999999999999</c:v>
                </c:pt>
                <c:pt idx="9">
                  <c:v>111.36999999999999</c:v>
                </c:pt>
                <c:pt idx="10">
                  <c:v>110.95</c:v>
                </c:pt>
                <c:pt idx="11">
                  <c:v>110.49767065393874</c:v>
                </c:pt>
              </c:numCache>
            </c:numRef>
          </c:val>
        </c:ser>
        <c:marker val="1"/>
        <c:axId val="81771136"/>
        <c:axId val="82133376"/>
      </c:lineChart>
      <c:catAx>
        <c:axId val="81771136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/>
            </a:pPr>
            <a:endParaRPr lang="ar-SA"/>
          </a:p>
        </c:txPr>
        <c:crossAx val="82133376"/>
        <c:crosses val="autoZero"/>
        <c:auto val="1"/>
        <c:lblAlgn val="ctr"/>
        <c:lblOffset val="100"/>
        <c:tickLblSkip val="1"/>
        <c:tickMarkSkip val="1"/>
      </c:catAx>
      <c:valAx>
        <c:axId val="8213337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>
                    <a:latin typeface="Simplified Arabic" pitchFamily="18" charset="-78"/>
                    <a:cs typeface="Simplified Arabic" pitchFamily="18" charset="-78"/>
                  </a:defRPr>
                </a:pPr>
                <a:r>
                  <a:rPr lang="en-US">
                    <a:latin typeface="Simplified Arabic" pitchFamily="18" charset="-78"/>
                    <a:cs typeface="Simplified Arabic" pitchFamily="18" charset="-78"/>
                  </a:rPr>
                  <a:t>CPI  </a:t>
                </a:r>
                <a:r>
                  <a:rPr lang="ar-SA">
                    <a:latin typeface="Simplified Arabic" pitchFamily="18" charset="-78"/>
                    <a:cs typeface="Simplified Arabic" pitchFamily="18" charset="-78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912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1771136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3</cp:revision>
  <cp:lastPrinted>2017-12-10T08:24:00Z</cp:lastPrinted>
  <dcterms:created xsi:type="dcterms:W3CDTF">2018-01-11T10:15:00Z</dcterms:created>
  <dcterms:modified xsi:type="dcterms:W3CDTF">2018-01-11T10:31:00Z</dcterms:modified>
</cp:coreProperties>
</file>