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07" w:rsidRDefault="00B87207" w:rsidP="00D05109">
      <w:pPr>
        <w:pStyle w:val="BodyText"/>
        <w:jc w:val="lowKashida"/>
        <w:rPr>
          <w:rFonts w:cs="Simplified Arabic" w:hint="cs"/>
          <w:b/>
          <w:bCs/>
          <w:sz w:val="24"/>
          <w:rtl/>
          <w:lang w:eastAsia="en-US"/>
        </w:rPr>
      </w:pPr>
    </w:p>
    <w:p w:rsidR="00B87207" w:rsidRDefault="00B87207" w:rsidP="00B87207">
      <w:pPr>
        <w:spacing w:after="0" w:line="240" w:lineRule="auto"/>
        <w:jc w:val="center"/>
        <w:rPr>
          <w:rFonts w:ascii="Simplified Arabic" w:hAnsi="Simplified Arabic" w:cs="Simplified Arabic" w:hint="cs"/>
          <w:b/>
          <w:bCs/>
          <w:sz w:val="28"/>
          <w:szCs w:val="28"/>
          <w:rtl/>
        </w:rPr>
      </w:pPr>
    </w:p>
    <w:p w:rsidR="00B87207" w:rsidRDefault="00B87207" w:rsidP="00B87207">
      <w:pPr>
        <w:spacing w:after="0" w:line="240" w:lineRule="auto"/>
        <w:jc w:val="center"/>
        <w:rPr>
          <w:rFonts w:ascii="Simplified Arabic" w:hAnsi="Simplified Arabic" w:cs="Simplified Arabic"/>
          <w:b/>
          <w:bCs/>
          <w:sz w:val="28"/>
          <w:szCs w:val="28"/>
        </w:rPr>
      </w:pPr>
      <w:r>
        <w:rPr>
          <w:rFonts w:ascii="Simplified Arabic" w:hAnsi="Simplified Arabic" w:cs="Simplified Arabic"/>
          <w:b/>
          <w:bCs/>
          <w:sz w:val="28"/>
          <w:szCs w:val="28"/>
          <w:rtl/>
        </w:rPr>
        <w:t>الإحصاء الفلسطيني يعلن النتائج الأساسية لمسح القوى العاملة للربع الرابع 2016،</w:t>
      </w:r>
    </w:p>
    <w:p w:rsidR="00B87207" w:rsidRDefault="00B87207" w:rsidP="00B87207">
      <w:pPr>
        <w:spacing w:after="0" w:line="240" w:lineRule="auto"/>
        <w:jc w:val="center"/>
        <w:rPr>
          <w:rFonts w:ascii="Arial" w:hAnsi="Arial"/>
          <w:b/>
          <w:bCs/>
          <w:sz w:val="28"/>
          <w:szCs w:val="28"/>
        </w:rPr>
      </w:pP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دورة ( تشرين أول – كانون أول، 2016)</w:t>
      </w:r>
    </w:p>
    <w:p w:rsidR="00B87207" w:rsidRPr="00B87207" w:rsidRDefault="00B87207" w:rsidP="00D05109">
      <w:pPr>
        <w:pStyle w:val="BodyText"/>
        <w:jc w:val="lowKashida"/>
        <w:rPr>
          <w:rFonts w:cs="Simplified Arabic" w:hint="cs"/>
          <w:b/>
          <w:bCs/>
          <w:sz w:val="24"/>
          <w:rtl/>
          <w:lang w:eastAsia="en-US"/>
        </w:rPr>
      </w:pPr>
    </w:p>
    <w:p w:rsidR="00B87207" w:rsidRDefault="00D05109" w:rsidP="00B87207">
      <w:pPr>
        <w:pStyle w:val="BodyText"/>
        <w:jc w:val="lowKashida"/>
        <w:rPr>
          <w:rFonts w:cs="Simplified Arabic" w:hint="cs"/>
          <w:b/>
          <w:bCs/>
          <w:sz w:val="24"/>
          <w:rtl/>
          <w:lang w:eastAsia="en-US"/>
        </w:rPr>
      </w:pPr>
      <w:r w:rsidRPr="002924F2">
        <w:rPr>
          <w:rFonts w:cs="Simplified Arabic" w:hint="cs"/>
          <w:b/>
          <w:bCs/>
          <w:sz w:val="24"/>
          <w:rtl/>
          <w:lang w:eastAsia="en-US"/>
        </w:rPr>
        <w:t xml:space="preserve"> </w:t>
      </w:r>
      <w:r w:rsidR="00B87207">
        <w:rPr>
          <w:rFonts w:cs="Simplified Arabic" w:hint="cs"/>
          <w:b/>
          <w:bCs/>
          <w:noProof w:val="0"/>
          <w:sz w:val="24"/>
          <w:rtl/>
        </w:rPr>
        <w:t>45.5</w:t>
      </w:r>
      <w:r w:rsidR="00B87207" w:rsidRPr="00A70785">
        <w:rPr>
          <w:rFonts w:cs="Simplified Arabic" w:hint="cs"/>
          <w:b/>
          <w:bCs/>
          <w:noProof w:val="0"/>
          <w:sz w:val="24"/>
          <w:rtl/>
        </w:rPr>
        <w:t xml:space="preserve">% </w:t>
      </w:r>
      <w:r w:rsidR="00B87207" w:rsidRPr="00A70785">
        <w:rPr>
          <w:rFonts w:cs="Simplified Arabic" w:hint="cs"/>
          <w:b/>
          <w:bCs/>
          <w:sz w:val="24"/>
          <w:rtl/>
          <w:lang w:eastAsia="en-US"/>
        </w:rPr>
        <w:t xml:space="preserve">نسبة المشاركة في القوى العاملة بين الافراد 15 سنة </w:t>
      </w:r>
      <w:r w:rsidR="00B87207" w:rsidRPr="002924F2">
        <w:rPr>
          <w:rFonts w:cs="Simplified Arabic" w:hint="cs"/>
          <w:b/>
          <w:bCs/>
          <w:sz w:val="24"/>
          <w:rtl/>
          <w:lang w:eastAsia="en-US"/>
        </w:rPr>
        <w:t>فأكثر</w:t>
      </w:r>
    </w:p>
    <w:p w:rsidR="00D05109" w:rsidRPr="00D05109" w:rsidRDefault="00D05109" w:rsidP="00D05109">
      <w:pPr>
        <w:spacing w:line="240" w:lineRule="auto"/>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بلغ عدد المشاركين في القوى العاملة 1,348,000 شخصاً خلال الربع الرابع 2016، منهم 847,900 شخصاً في الضفة الغربية 500,100 شخصاً في قطاع غزة.</w:t>
      </w:r>
    </w:p>
    <w:p w:rsidR="00D05109" w:rsidRPr="00D05109" w:rsidRDefault="00D05109" w:rsidP="00D05109">
      <w:pPr>
        <w:spacing w:line="240" w:lineRule="auto"/>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بلغت نسبة المشاركة في القوى العاملة في الضفة الغربية 45.2% مقابل 45.8% في قطاع غزة، ومن الواضح أن الفجوة في المشاركة في القوى العاملة بين الذكور والإناث ما زالت كبيرة حيث بلغت 71.4% للذكور مقابل 18.9% للإناث.</w:t>
      </w:r>
    </w:p>
    <w:p w:rsidR="00D05109" w:rsidRPr="00D05109" w:rsidRDefault="00D05109" w:rsidP="00B87207">
      <w:pPr>
        <w:spacing w:after="0" w:line="240" w:lineRule="auto"/>
        <w:jc w:val="lowKashida"/>
        <w:rPr>
          <w:rFonts w:ascii="Times New Roman" w:eastAsia="Times New Roman" w:hAnsi="Times New Roman" w:cs="Simplified Arabic"/>
          <w:b/>
          <w:bCs/>
          <w:noProof/>
          <w:color w:val="000000" w:themeColor="text1"/>
          <w:sz w:val="24"/>
          <w:szCs w:val="24"/>
          <w:rtl/>
        </w:rPr>
      </w:pPr>
      <w:r w:rsidRPr="00D05109">
        <w:rPr>
          <w:rFonts w:ascii="Times New Roman" w:eastAsia="Times New Roman" w:hAnsi="Times New Roman" w:cs="Simplified Arabic" w:hint="cs"/>
          <w:b/>
          <w:bCs/>
          <w:noProof/>
          <w:color w:val="000000" w:themeColor="text1"/>
          <w:sz w:val="24"/>
          <w:szCs w:val="24"/>
          <w:rtl/>
        </w:rPr>
        <w:t>25.7% معدل البطالة من بين المشاركين في القوى العاملة</w:t>
      </w:r>
    </w:p>
    <w:p w:rsidR="00D05109" w:rsidRPr="00D05109" w:rsidRDefault="00D05109" w:rsidP="00B87207">
      <w:pPr>
        <w:spacing w:after="0" w:line="240" w:lineRule="auto"/>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بلغ عدد العاطلين عن العمل حسب تعريف منظمة العمل الدولية 346,000 شخصاً، بواقع 202,900 في قطاع غزة 143,100 في الضفة الغربية.</w:t>
      </w:r>
    </w:p>
    <w:p w:rsidR="00D05109" w:rsidRPr="00D05109" w:rsidRDefault="00D05109" w:rsidP="00B87207">
      <w:pPr>
        <w:spacing w:after="0" w:line="240" w:lineRule="auto"/>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ما يزال التفاوت كبيراً في معدل البطالة بين الضفة الغربية وقطاع غزة، حيث بلغ في قطاع غزة 40.6%، مقابل 16.9% في الضفة الغربية، أما على مستوى الجنس فقد بلغ 21.0% للذكور مقابل 43.9% للإناث.</w:t>
      </w:r>
    </w:p>
    <w:p w:rsidR="00D05109" w:rsidRPr="00D05109" w:rsidRDefault="00D05109" w:rsidP="00B87207">
      <w:pPr>
        <w:spacing w:line="240" w:lineRule="auto"/>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سُجلت أعلى معدلات بطالة للفئة العمرية 20- 24 سنة حيث بلغت 41.6% في الربع الرابع 2016. أما على مستوى السنوات الدراسية، فقد سجلت الإناث اللواتي أنهين 13 سنة دراسية فأكثر أعلى معدلات بطالة حيث بلغت 49.1% من إجمالي الإناث المشاركات في القوى العاملة لهذه الفئة.</w:t>
      </w:r>
    </w:p>
    <w:p w:rsidR="00D05109" w:rsidRPr="00D05109" w:rsidRDefault="00D05109" w:rsidP="00B87207">
      <w:pPr>
        <w:spacing w:after="0"/>
        <w:jc w:val="lowKashida"/>
        <w:rPr>
          <w:rFonts w:ascii="Times New Roman" w:eastAsia="Times New Roman" w:hAnsi="Times New Roman" w:cs="Simplified Arabic"/>
          <w:b/>
          <w:bCs/>
          <w:noProof/>
          <w:color w:val="000000" w:themeColor="text1"/>
          <w:sz w:val="24"/>
          <w:szCs w:val="24"/>
          <w:rtl/>
        </w:rPr>
      </w:pPr>
      <w:r w:rsidRPr="00D05109">
        <w:rPr>
          <w:rFonts w:ascii="Times New Roman" w:eastAsia="Times New Roman" w:hAnsi="Times New Roman" w:cs="Simplified Arabic" w:hint="cs"/>
          <w:b/>
          <w:bCs/>
          <w:noProof/>
          <w:color w:val="000000" w:themeColor="text1"/>
          <w:sz w:val="24"/>
          <w:szCs w:val="24"/>
          <w:rtl/>
        </w:rPr>
        <w:t>ارتفع عدد العاملين في السوق المحلي ما بين الربع الثالث والربع الرابع لعام 2016</w:t>
      </w:r>
    </w:p>
    <w:p w:rsidR="00D05109" w:rsidRPr="00D05109" w:rsidRDefault="00D05109" w:rsidP="00D50BEB">
      <w:pPr>
        <w:spacing w:after="0" w:line="240" w:lineRule="auto"/>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ارتفع عدد العاملين في السوق المحلي من 857,900 عاملاً في الربع الثالث 2016 ليصبح 869,700 عاملاً في الربع الرابع 2016، اذ ارتفع العدد في الضفة الغربية بمقدار 1,900 عاملاً، وارتفع في قطاع غزة بمقدار 9,900 عاملاً.</w:t>
      </w:r>
    </w:p>
    <w:p w:rsidR="00D05109" w:rsidRDefault="00D05109" w:rsidP="00D50BEB">
      <w:pPr>
        <w:spacing w:after="0" w:line="240" w:lineRule="auto"/>
        <w:jc w:val="lowKashida"/>
        <w:rPr>
          <w:rFonts w:ascii="Times New Roman" w:eastAsia="Times New Roman" w:hAnsi="Times New Roman" w:cs="Simplified Arabic" w:hint="cs"/>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يعتبر قطاع الخدمات الأكثر استيعاباً للعاملين في السوق المحلي حيث بلغت نسبة العاملين فيه من بين العاملين في الضفة الغربية 34.4% مقابل 51.8% في قطاع غزة، وهناك 21.4% من العاملين يعملون في القطاع العام، بواقع 35.0% في قطاع غزة، و15.6% في الضفة الغربية.</w:t>
      </w:r>
    </w:p>
    <w:p w:rsidR="00B87207" w:rsidRPr="00D05109" w:rsidRDefault="00B87207" w:rsidP="00D50BEB">
      <w:pPr>
        <w:spacing w:after="0" w:line="240" w:lineRule="auto"/>
        <w:jc w:val="lowKashida"/>
        <w:rPr>
          <w:rFonts w:ascii="Times New Roman" w:eastAsia="Times New Roman" w:hAnsi="Times New Roman" w:cs="Simplified Arabic"/>
          <w:noProof/>
          <w:color w:val="000000" w:themeColor="text1"/>
          <w:sz w:val="24"/>
          <w:szCs w:val="24"/>
          <w:rtl/>
        </w:rPr>
      </w:pPr>
    </w:p>
    <w:p w:rsidR="00D05109" w:rsidRPr="00D05109" w:rsidRDefault="00D05109" w:rsidP="00D50BEB">
      <w:pPr>
        <w:spacing w:after="0" w:line="240" w:lineRule="auto"/>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 xml:space="preserve">بلغ معدل الأجر اليومي للمستخدمين بأجر 97.6 شيقلاً في الضفة الغربية، مقابل 63.8 شيقلاً في قطاع غزة. </w:t>
      </w:r>
    </w:p>
    <w:p w:rsidR="00D05109" w:rsidRDefault="00D05109" w:rsidP="00D50BEB">
      <w:pPr>
        <w:spacing w:after="0" w:line="240" w:lineRule="auto"/>
        <w:jc w:val="lowKashida"/>
        <w:rPr>
          <w:rFonts w:ascii="Times New Roman" w:eastAsia="Times New Roman" w:hAnsi="Times New Roman" w:cs="Simplified Arabic" w:hint="cs"/>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 xml:space="preserve">بلغ معدل ساعات العمل الأسبوعية للمستخدمين بأجر في الضفة الغربية 44.2 ساعة أسبوعيا في الربع الرابع 2016 مقابل 44.5 في الربع الثالث 2016، كما بلغ معدل ايام العمل الشهرية 22.6 يوم عمل في الربع الرابع 2016 مقابل 22.9 يوم عمل في الربع الثالث 2016، وفي قطاع غزة بلغت ساعات العمل الأسبوعية للمستخدمين بأجر 38.4 ساعة عمل و38.8 ساعة عمل أسبوعيا خلال الربع الرابع 2016 والربع الثالث 2016 على التوالي، وبلغ معدل أيام العمل الشهرية 22.7 يوم عمل في الربع الرابع 2016 و22.8 يوم عمل في الربع الثالث 2016. </w:t>
      </w:r>
    </w:p>
    <w:p w:rsidR="00B87207" w:rsidRDefault="00B87207" w:rsidP="00B87207">
      <w:pPr>
        <w:spacing w:after="0" w:line="240" w:lineRule="auto"/>
        <w:jc w:val="lowKashida"/>
        <w:rPr>
          <w:rFonts w:ascii="Times New Roman" w:eastAsia="Times New Roman" w:hAnsi="Times New Roman" w:cs="Simplified Arabic"/>
          <w:noProof/>
          <w:color w:val="000000" w:themeColor="text1"/>
          <w:sz w:val="24"/>
          <w:szCs w:val="24"/>
          <w:rtl/>
        </w:rPr>
      </w:pPr>
    </w:p>
    <w:p w:rsidR="00D05109" w:rsidRPr="00D05109" w:rsidRDefault="00D05109" w:rsidP="00B87207">
      <w:pPr>
        <w:spacing w:after="0"/>
        <w:jc w:val="lowKashida"/>
        <w:rPr>
          <w:color w:val="000000" w:themeColor="text1"/>
          <w:sz w:val="24"/>
          <w:szCs w:val="24"/>
          <w:rtl/>
        </w:rPr>
      </w:pPr>
      <w:r w:rsidRPr="00D05109">
        <w:rPr>
          <w:rFonts w:cs="Simplified Arabic" w:hint="cs"/>
          <w:b/>
          <w:bCs/>
          <w:color w:val="000000" w:themeColor="text1"/>
          <w:sz w:val="24"/>
          <w:szCs w:val="24"/>
          <w:rtl/>
        </w:rPr>
        <w:t>128,800 عاملاً يعملون في إسرائيل والمستوطنات</w:t>
      </w:r>
    </w:p>
    <w:p w:rsidR="00D05109" w:rsidRPr="00DB2C19" w:rsidRDefault="00D05109" w:rsidP="00D05109">
      <w:pPr>
        <w:pStyle w:val="BodyText"/>
        <w:rPr>
          <w:rFonts w:cs="Simplified Arabic"/>
          <w:color w:val="000000" w:themeColor="text1"/>
          <w:sz w:val="24"/>
          <w:rtl/>
          <w:lang w:eastAsia="en-US"/>
        </w:rPr>
      </w:pPr>
      <w:r>
        <w:rPr>
          <w:rFonts w:cs="Simplified Arabic" w:hint="cs"/>
          <w:color w:val="000000" w:themeColor="text1"/>
          <w:sz w:val="24"/>
          <w:rtl/>
          <w:lang w:eastAsia="en-US"/>
        </w:rPr>
        <w:t>بلغ</w:t>
      </w:r>
      <w:r w:rsidRPr="00DB2C19">
        <w:rPr>
          <w:rFonts w:cs="Simplified Arabic" w:hint="cs"/>
          <w:color w:val="000000" w:themeColor="text1"/>
          <w:sz w:val="24"/>
          <w:rtl/>
          <w:lang w:eastAsia="en-US"/>
        </w:rPr>
        <w:t xml:space="preserve"> عدد العاملين في اسرائيل والمستوطنات</w:t>
      </w:r>
      <w:r>
        <w:rPr>
          <w:rFonts w:cs="Simplified Arabic" w:hint="cs"/>
          <w:color w:val="000000" w:themeColor="text1"/>
          <w:sz w:val="24"/>
          <w:rtl/>
          <w:lang w:eastAsia="en-US"/>
        </w:rPr>
        <w:t xml:space="preserve"> 128,800 عاملاً في الربع الرابع 2016 مقابل</w:t>
      </w:r>
      <w:r w:rsidRPr="00DB2C19">
        <w:rPr>
          <w:rFonts w:cs="Simplified Arabic" w:hint="cs"/>
          <w:color w:val="000000" w:themeColor="text1"/>
          <w:sz w:val="24"/>
          <w:rtl/>
          <w:lang w:eastAsia="en-US"/>
        </w:rPr>
        <w:t xml:space="preserve"> </w:t>
      </w:r>
      <w:r>
        <w:rPr>
          <w:rFonts w:cs="Simplified Arabic" w:hint="cs"/>
          <w:color w:val="000000" w:themeColor="text1"/>
          <w:sz w:val="24"/>
          <w:rtl/>
          <w:lang w:eastAsia="en-US"/>
        </w:rPr>
        <w:t>111,800</w:t>
      </w:r>
      <w:r w:rsidRPr="00DB2C19">
        <w:rPr>
          <w:rFonts w:cs="Simplified Arabic" w:hint="cs"/>
          <w:color w:val="000000" w:themeColor="text1"/>
          <w:sz w:val="24"/>
          <w:rtl/>
          <w:lang w:eastAsia="en-US"/>
        </w:rPr>
        <w:t xml:space="preserve"> عامل</w:t>
      </w:r>
      <w:r>
        <w:rPr>
          <w:rFonts w:cs="Simplified Arabic" w:hint="cs"/>
          <w:color w:val="000000" w:themeColor="text1"/>
          <w:sz w:val="24"/>
          <w:rtl/>
          <w:lang w:eastAsia="en-US"/>
        </w:rPr>
        <w:t>اً</w:t>
      </w:r>
      <w:r w:rsidRPr="00DB2C19">
        <w:rPr>
          <w:rFonts w:cs="Simplified Arabic" w:hint="cs"/>
          <w:color w:val="000000" w:themeColor="text1"/>
          <w:sz w:val="24"/>
          <w:rtl/>
          <w:lang w:eastAsia="en-US"/>
        </w:rPr>
        <w:t xml:space="preserve"> في الربع </w:t>
      </w:r>
      <w:r>
        <w:rPr>
          <w:rFonts w:cs="Simplified Arabic" w:hint="cs"/>
          <w:color w:val="000000" w:themeColor="text1"/>
          <w:sz w:val="24"/>
          <w:rtl/>
          <w:lang w:eastAsia="en-US"/>
        </w:rPr>
        <w:t xml:space="preserve">الثالث 2016، </w:t>
      </w:r>
      <w:r w:rsidRPr="00DB2C19">
        <w:rPr>
          <w:rFonts w:cs="Simplified Arabic" w:hint="cs"/>
          <w:color w:val="000000" w:themeColor="text1"/>
          <w:sz w:val="24"/>
          <w:rtl/>
          <w:lang w:eastAsia="en-US"/>
        </w:rPr>
        <w:t xml:space="preserve">هذا وتوزع عدد العاملين في اسرائيل والمستوطنات حسب حيازتهم للتصريح في الربع </w:t>
      </w:r>
      <w:r>
        <w:rPr>
          <w:rFonts w:cs="Simplified Arabic" w:hint="cs"/>
          <w:color w:val="000000" w:themeColor="text1"/>
          <w:sz w:val="24"/>
          <w:rtl/>
          <w:lang w:eastAsia="en-US"/>
        </w:rPr>
        <w:t>الرابع 2016</w:t>
      </w:r>
      <w:r w:rsidRPr="00DB2C19">
        <w:rPr>
          <w:rFonts w:cs="Simplified Arabic" w:hint="cs"/>
          <w:color w:val="000000" w:themeColor="text1"/>
          <w:sz w:val="24"/>
          <w:rtl/>
          <w:lang w:eastAsia="en-US"/>
        </w:rPr>
        <w:t xml:space="preserve"> بواقع </w:t>
      </w:r>
      <w:r>
        <w:rPr>
          <w:rFonts w:cs="Simplified Arabic" w:hint="cs"/>
          <w:color w:val="000000" w:themeColor="text1"/>
          <w:sz w:val="24"/>
          <w:rtl/>
          <w:lang w:eastAsia="en-US"/>
        </w:rPr>
        <w:t>67,000</w:t>
      </w:r>
      <w:r w:rsidRPr="00DB2C19">
        <w:rPr>
          <w:rFonts w:cs="Simplified Arabic" w:hint="cs"/>
          <w:color w:val="000000" w:themeColor="text1"/>
          <w:sz w:val="24"/>
          <w:rtl/>
          <w:lang w:eastAsia="en-US"/>
        </w:rPr>
        <w:t xml:space="preserve"> عامل</w:t>
      </w:r>
      <w:r>
        <w:rPr>
          <w:rFonts w:cs="Simplified Arabic" w:hint="cs"/>
          <w:color w:val="000000" w:themeColor="text1"/>
          <w:sz w:val="24"/>
          <w:rtl/>
          <w:lang w:eastAsia="en-US"/>
        </w:rPr>
        <w:t>اً</w:t>
      </w:r>
      <w:r w:rsidRPr="00DB2C19">
        <w:rPr>
          <w:rFonts w:cs="Simplified Arabic" w:hint="cs"/>
          <w:color w:val="000000" w:themeColor="text1"/>
          <w:sz w:val="24"/>
          <w:rtl/>
          <w:lang w:eastAsia="en-US"/>
        </w:rPr>
        <w:t xml:space="preserve"> لديهم تصاريح عمل، </w:t>
      </w:r>
      <w:r>
        <w:rPr>
          <w:rFonts w:cs="Simplified Arabic" w:hint="cs"/>
          <w:color w:val="000000" w:themeColor="text1"/>
          <w:sz w:val="24"/>
          <w:rtl/>
          <w:lang w:eastAsia="en-US"/>
        </w:rPr>
        <w:t>و46,400</w:t>
      </w:r>
      <w:r w:rsidRPr="00DB2C19">
        <w:rPr>
          <w:rFonts w:cs="Simplified Arabic" w:hint="cs"/>
          <w:color w:val="000000" w:themeColor="text1"/>
          <w:sz w:val="24"/>
          <w:rtl/>
          <w:lang w:eastAsia="en-US"/>
        </w:rPr>
        <w:t xml:space="preserve"> عامل</w:t>
      </w:r>
      <w:r>
        <w:rPr>
          <w:rFonts w:cs="Simplified Arabic" w:hint="cs"/>
          <w:color w:val="000000" w:themeColor="text1"/>
          <w:sz w:val="24"/>
          <w:rtl/>
          <w:lang w:eastAsia="en-US"/>
        </w:rPr>
        <w:t>اً</w:t>
      </w:r>
      <w:r w:rsidRPr="00DB2C19">
        <w:rPr>
          <w:rFonts w:cs="Simplified Arabic" w:hint="cs"/>
          <w:color w:val="000000" w:themeColor="text1"/>
          <w:sz w:val="24"/>
          <w:rtl/>
          <w:lang w:eastAsia="en-US"/>
        </w:rPr>
        <w:t xml:space="preserve"> بدون تصاريح عمل، </w:t>
      </w:r>
      <w:r>
        <w:rPr>
          <w:rFonts w:cs="Simplified Arabic" w:hint="cs"/>
          <w:color w:val="000000" w:themeColor="text1"/>
          <w:sz w:val="24"/>
          <w:rtl/>
          <w:lang w:eastAsia="en-US"/>
        </w:rPr>
        <w:t>و15,400</w:t>
      </w:r>
      <w:r w:rsidRPr="00DB2C19">
        <w:rPr>
          <w:rFonts w:cs="Simplified Arabic" w:hint="cs"/>
          <w:color w:val="000000" w:themeColor="text1"/>
          <w:sz w:val="24"/>
          <w:rtl/>
          <w:lang w:eastAsia="en-US"/>
        </w:rPr>
        <w:t xml:space="preserve"> عامل</w:t>
      </w:r>
      <w:r>
        <w:rPr>
          <w:rFonts w:cs="Simplified Arabic" w:hint="cs"/>
          <w:color w:val="000000" w:themeColor="text1"/>
          <w:sz w:val="24"/>
          <w:rtl/>
          <w:lang w:eastAsia="en-US"/>
        </w:rPr>
        <w:t>اً</w:t>
      </w:r>
      <w:r w:rsidRPr="00DB2C19">
        <w:rPr>
          <w:rFonts w:cs="Simplified Arabic" w:hint="cs"/>
          <w:color w:val="000000" w:themeColor="text1"/>
          <w:sz w:val="24"/>
          <w:rtl/>
          <w:lang w:eastAsia="en-US"/>
        </w:rPr>
        <w:t xml:space="preserve"> يحملون وثيقة اسرائيلية أو جواز سفر أجنبي.</w:t>
      </w:r>
    </w:p>
    <w:p w:rsidR="00D05109" w:rsidRPr="00023BC2" w:rsidRDefault="00D05109" w:rsidP="00D05109">
      <w:pPr>
        <w:pStyle w:val="BodyText"/>
        <w:jc w:val="lowKashida"/>
        <w:rPr>
          <w:rFonts w:cs="Simplified Arabic"/>
          <w:noProof w:val="0"/>
          <w:sz w:val="6"/>
          <w:szCs w:val="6"/>
          <w:rtl/>
        </w:rPr>
      </w:pPr>
    </w:p>
    <w:p w:rsidR="00D05109" w:rsidRPr="00A766D0" w:rsidRDefault="00D05109" w:rsidP="00D05109">
      <w:pPr>
        <w:spacing w:line="240" w:lineRule="auto"/>
        <w:jc w:val="both"/>
        <w:rPr>
          <w:rFonts w:cs="Simplified Arabic"/>
          <w:color w:val="000000" w:themeColor="text1"/>
          <w:rtl/>
        </w:rPr>
      </w:pPr>
      <w:r>
        <w:rPr>
          <w:rFonts w:cs="Simplified Arabic" w:hint="cs"/>
          <w:color w:val="000000" w:themeColor="text1"/>
          <w:rtl/>
        </w:rPr>
        <w:t>في سياق متصل، ارتفع</w:t>
      </w:r>
      <w:r w:rsidRPr="00A739EF">
        <w:rPr>
          <w:rFonts w:cs="Simplified Arabic" w:hint="cs"/>
          <w:color w:val="000000" w:themeColor="text1"/>
          <w:rtl/>
        </w:rPr>
        <w:t xml:space="preserve"> عدد</w:t>
      </w:r>
      <w:r w:rsidRPr="00554791">
        <w:rPr>
          <w:rFonts w:cs="Simplified Arabic" w:hint="cs"/>
          <w:color w:val="FF0000"/>
          <w:rtl/>
        </w:rPr>
        <w:t xml:space="preserve"> </w:t>
      </w:r>
      <w:r w:rsidRPr="00A739EF">
        <w:rPr>
          <w:rFonts w:cs="Simplified Arabic" w:hint="cs"/>
          <w:color w:val="000000" w:themeColor="text1"/>
          <w:rtl/>
        </w:rPr>
        <w:t>العاملين</w:t>
      </w:r>
      <w:r w:rsidRPr="00DB2C19">
        <w:rPr>
          <w:rFonts w:cs="Simplified Arabic" w:hint="cs"/>
          <w:color w:val="000000" w:themeColor="text1"/>
          <w:rtl/>
        </w:rPr>
        <w:t xml:space="preserve"> في المستوطنات الإسرائيلية </w:t>
      </w:r>
      <w:r>
        <w:rPr>
          <w:rFonts w:cs="Simplified Arabic" w:hint="cs"/>
          <w:color w:val="000000" w:themeColor="text1"/>
          <w:rtl/>
        </w:rPr>
        <w:t>ليصل إلى</w:t>
      </w:r>
      <w:r w:rsidRPr="00DB2C19">
        <w:rPr>
          <w:rFonts w:cs="Simplified Arabic" w:hint="cs"/>
          <w:color w:val="000000" w:themeColor="text1"/>
          <w:rtl/>
        </w:rPr>
        <w:t xml:space="preserve"> </w:t>
      </w:r>
      <w:r>
        <w:rPr>
          <w:rFonts w:cs="Simplified Arabic" w:hint="cs"/>
          <w:color w:val="000000" w:themeColor="text1"/>
          <w:rtl/>
        </w:rPr>
        <w:t>24,200</w:t>
      </w:r>
      <w:r w:rsidRPr="00DB2C19">
        <w:rPr>
          <w:rFonts w:cs="Simplified Arabic" w:hint="cs"/>
          <w:color w:val="000000" w:themeColor="text1"/>
          <w:rtl/>
        </w:rPr>
        <w:t xml:space="preserve"> عامل</w:t>
      </w:r>
      <w:r>
        <w:rPr>
          <w:rFonts w:cs="Simplified Arabic" w:hint="cs"/>
          <w:color w:val="000000" w:themeColor="text1"/>
          <w:rtl/>
        </w:rPr>
        <w:t>اً</w:t>
      </w:r>
      <w:r w:rsidRPr="00DB2C19">
        <w:rPr>
          <w:rFonts w:cs="Simplified Arabic" w:hint="cs"/>
          <w:color w:val="000000" w:themeColor="text1"/>
          <w:rtl/>
        </w:rPr>
        <w:t xml:space="preserve"> في الربع </w:t>
      </w:r>
      <w:r>
        <w:rPr>
          <w:rFonts w:cs="Simplified Arabic" w:hint="cs"/>
          <w:color w:val="000000" w:themeColor="text1"/>
          <w:rtl/>
        </w:rPr>
        <w:t>الرابع 2016</w:t>
      </w:r>
      <w:r w:rsidRPr="00DB2C19">
        <w:rPr>
          <w:rFonts w:cs="Simplified Arabic" w:hint="cs"/>
          <w:color w:val="000000" w:themeColor="text1"/>
          <w:rtl/>
        </w:rPr>
        <w:t xml:space="preserve"> </w:t>
      </w:r>
      <w:r>
        <w:rPr>
          <w:rFonts w:cs="Simplified Arabic" w:hint="cs"/>
          <w:color w:val="000000" w:themeColor="text1"/>
          <w:rtl/>
        </w:rPr>
        <w:t xml:space="preserve">مقارنة بـ 18,100 </w:t>
      </w:r>
      <w:r w:rsidRPr="00DB2C19">
        <w:rPr>
          <w:rFonts w:cs="Simplified Arabic" w:hint="cs"/>
          <w:color w:val="000000" w:themeColor="text1"/>
          <w:rtl/>
        </w:rPr>
        <w:t>عامل</w:t>
      </w:r>
      <w:r>
        <w:rPr>
          <w:rFonts w:cs="Simplified Arabic" w:hint="cs"/>
          <w:color w:val="000000" w:themeColor="text1"/>
          <w:rtl/>
        </w:rPr>
        <w:t>اً</w:t>
      </w:r>
      <w:r w:rsidRPr="00DB2C19">
        <w:rPr>
          <w:rFonts w:cs="Simplified Arabic" w:hint="cs"/>
          <w:color w:val="000000" w:themeColor="text1"/>
          <w:rtl/>
        </w:rPr>
        <w:t xml:space="preserve"> في الربع </w:t>
      </w:r>
      <w:r>
        <w:rPr>
          <w:rFonts w:cs="Simplified Arabic" w:hint="cs"/>
          <w:color w:val="000000" w:themeColor="text1"/>
          <w:rtl/>
        </w:rPr>
        <w:t>الثالث 2016</w:t>
      </w:r>
      <w:r w:rsidRPr="00DB2C19">
        <w:rPr>
          <w:rFonts w:cs="Simplified Arabic" w:hint="cs"/>
          <w:color w:val="000000" w:themeColor="text1"/>
          <w:rtl/>
        </w:rPr>
        <w:t>.</w:t>
      </w:r>
    </w:p>
    <w:p w:rsidR="00D05109" w:rsidRPr="00023BC2" w:rsidRDefault="00D05109" w:rsidP="00D05109">
      <w:pPr>
        <w:pStyle w:val="BodyText"/>
        <w:rPr>
          <w:rFonts w:cs="Simplified Arabic"/>
          <w:noProof w:val="0"/>
          <w:sz w:val="8"/>
          <w:szCs w:val="8"/>
          <w:rtl/>
        </w:rPr>
      </w:pPr>
    </w:p>
    <w:p w:rsidR="00D05109" w:rsidRPr="00D05109" w:rsidRDefault="00D05109" w:rsidP="00D05109">
      <w:pPr>
        <w:spacing w:line="240" w:lineRule="auto"/>
        <w:jc w:val="both"/>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lastRenderedPageBreak/>
        <w:t>هذا وسجل قطاع البناء والتشييد أعلى نسبة تشغيل في إسرائيل والمستوطنات والتي تشكل 63.2% من اجمالي العاملين الفلسطينيي</w:t>
      </w:r>
      <w:r w:rsidRPr="00D05109">
        <w:rPr>
          <w:rFonts w:ascii="Times New Roman" w:eastAsia="Times New Roman" w:hAnsi="Times New Roman" w:cs="Simplified Arabic" w:hint="eastAsia"/>
          <w:noProof/>
          <w:color w:val="000000" w:themeColor="text1"/>
          <w:sz w:val="24"/>
          <w:szCs w:val="24"/>
          <w:rtl/>
        </w:rPr>
        <w:t>ن</w:t>
      </w:r>
      <w:r w:rsidRPr="00D05109">
        <w:rPr>
          <w:rFonts w:ascii="Times New Roman" w:eastAsia="Times New Roman" w:hAnsi="Times New Roman" w:cs="Simplified Arabic" w:hint="cs"/>
          <w:noProof/>
          <w:color w:val="000000" w:themeColor="text1"/>
          <w:sz w:val="24"/>
          <w:szCs w:val="24"/>
          <w:rtl/>
        </w:rPr>
        <w:t xml:space="preserve"> في إسرائيل والمستوطنات.</w:t>
      </w:r>
    </w:p>
    <w:p w:rsidR="00D05109" w:rsidRPr="00D05109" w:rsidRDefault="00D05109" w:rsidP="00D05109">
      <w:pPr>
        <w:spacing w:line="240" w:lineRule="auto"/>
        <w:ind w:left="-1"/>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بلغ معدل الأجر اليومي للعاملين في إسرائيل والمستوطنات 215.7 شيقلاً في الربع الرابع 2016 مقارنة بـ 222.3 شيقلاً في الربع الثالث 2016، بينما بلغ معدل ساعات العمل للعاملين في إسرائيل والمستوطنات 38.9 ساعة عمل اسبوعيا في الربع الرابع 2016 مقارنة بـ 40.9 ساعة اسبوعيا في الربع الثالث 2016، وبلغ معدل أيام العمل الشهرية 19.0 يوم عمل شهرياً في الربع الرابع 2016 مقارنة بـ 19.7 يوم عمل شهرياً في الربع الثالث 2016.</w:t>
      </w:r>
    </w:p>
    <w:p w:rsidR="00D05109" w:rsidRPr="00D05109" w:rsidRDefault="00D05109" w:rsidP="00B87207">
      <w:pPr>
        <w:tabs>
          <w:tab w:val="num" w:pos="720"/>
        </w:tabs>
        <w:spacing w:after="0"/>
        <w:ind w:left="-1"/>
        <w:jc w:val="lowKashida"/>
        <w:rPr>
          <w:rFonts w:ascii="Times New Roman" w:eastAsia="Times New Roman" w:hAnsi="Times New Roman" w:cs="Simplified Arabic"/>
          <w:b/>
          <w:bCs/>
          <w:noProof/>
          <w:color w:val="000000" w:themeColor="text1"/>
          <w:sz w:val="24"/>
          <w:szCs w:val="24"/>
        </w:rPr>
      </w:pPr>
      <w:r w:rsidRPr="00D05109">
        <w:rPr>
          <w:rFonts w:ascii="Times New Roman" w:eastAsia="Times New Roman" w:hAnsi="Times New Roman" w:cs="Simplified Arabic" w:hint="cs"/>
          <w:b/>
          <w:bCs/>
          <w:noProof/>
          <w:color w:val="000000" w:themeColor="text1"/>
          <w:sz w:val="24"/>
          <w:szCs w:val="24"/>
          <w:rtl/>
        </w:rPr>
        <w:t xml:space="preserve">العاملون حسب الحالة العملية </w:t>
      </w:r>
    </w:p>
    <w:p w:rsidR="00D05109" w:rsidRPr="00D05109" w:rsidRDefault="00D05109" w:rsidP="00B87207">
      <w:pPr>
        <w:spacing w:after="0" w:line="240" w:lineRule="auto"/>
        <w:ind w:left="-1"/>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71.1% من العاملين هم من المستخدمين بأجر بواقع 68.0% في الضفة الغربية و78.6% في قطاع غزة.</w:t>
      </w:r>
    </w:p>
    <w:p w:rsidR="00D05109" w:rsidRPr="00D05109" w:rsidRDefault="00D05109" w:rsidP="00B87207">
      <w:pPr>
        <w:spacing w:after="0" w:line="240" w:lineRule="auto"/>
        <w:ind w:left="-1"/>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و17.9% من العاملين يعملون لحسابهم الخاص بواقع 19.2% في الضفة الغربية و14.8% في قطاع غزة.</w:t>
      </w:r>
    </w:p>
    <w:p w:rsidR="00D05109" w:rsidRPr="00D05109" w:rsidRDefault="00D05109" w:rsidP="00B87207">
      <w:pPr>
        <w:spacing w:after="0" w:line="240" w:lineRule="auto"/>
        <w:ind w:left="-1"/>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وبلغت نسبة العاملين الذين يعملون كأعضاء أسرة غير مدفوعي الأجر 4.4% بواقع 5.0% في الضفة الغربية و2.9% في قطاع غزة.</w:t>
      </w:r>
    </w:p>
    <w:p w:rsidR="00D05109" w:rsidRPr="00D05109" w:rsidRDefault="00D05109" w:rsidP="00B87207">
      <w:pPr>
        <w:spacing w:after="0" w:line="240" w:lineRule="auto"/>
        <w:ind w:left="-1"/>
        <w:jc w:val="lowKashida"/>
        <w:rPr>
          <w:rFonts w:ascii="Times New Roman" w:eastAsia="Times New Roman" w:hAnsi="Times New Roman" w:cs="Simplified Arabic"/>
          <w:noProof/>
          <w:color w:val="000000" w:themeColor="text1"/>
          <w:sz w:val="24"/>
          <w:szCs w:val="24"/>
          <w:rtl/>
        </w:rPr>
      </w:pPr>
      <w:r w:rsidRPr="00D05109">
        <w:rPr>
          <w:rFonts w:ascii="Times New Roman" w:eastAsia="Times New Roman" w:hAnsi="Times New Roman" w:cs="Simplified Arabic" w:hint="cs"/>
          <w:noProof/>
          <w:color w:val="000000" w:themeColor="text1"/>
          <w:sz w:val="24"/>
          <w:szCs w:val="24"/>
          <w:rtl/>
        </w:rPr>
        <w:t>فيما بلغت نسبة العاملين الذين يعملون كأرباب عمل 6.6%، بواقع 7.8% في الضفة الغربية و3.7% في قطاع غزة.</w:t>
      </w:r>
    </w:p>
    <w:p w:rsidR="00D05109" w:rsidRPr="00FD6F0D" w:rsidRDefault="002D44CB" w:rsidP="00B87207">
      <w:pPr>
        <w:spacing w:after="0"/>
        <w:ind w:left="-285" w:right="142"/>
        <w:jc w:val="center"/>
        <w:rPr>
          <w:rFonts w:cs="Simplified Arabic"/>
          <w:b/>
          <w:bCs/>
          <w:rtl/>
        </w:rPr>
      </w:pPr>
      <w:r>
        <w:rPr>
          <w:noProof/>
          <w:rtl/>
        </w:rPr>
        <w:drawing>
          <wp:anchor distT="0" distB="2667" distL="114300" distR="114300" simplePos="0" relativeHeight="251660288" behindDoc="0" locked="0" layoutInCell="1" allowOverlap="1">
            <wp:simplePos x="0" y="0"/>
            <wp:positionH relativeFrom="column">
              <wp:posOffset>1235710</wp:posOffset>
            </wp:positionH>
            <wp:positionV relativeFrom="paragraph">
              <wp:posOffset>441325</wp:posOffset>
            </wp:positionV>
            <wp:extent cx="2919730" cy="2188210"/>
            <wp:effectExtent l="0" t="0" r="0" b="635"/>
            <wp:wrapSquare wrapText="bothSides"/>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D05109" w:rsidRPr="00FD6F0D">
        <w:rPr>
          <w:rFonts w:cs="Simplified Arabic" w:hint="cs"/>
          <w:b/>
          <w:bCs/>
          <w:rtl/>
        </w:rPr>
        <w:t xml:space="preserve">التوزيع النسبي للعاملين حسب الحالة العملية، الربع </w:t>
      </w:r>
      <w:r w:rsidR="00D05109">
        <w:rPr>
          <w:rFonts w:cs="Simplified Arabic" w:hint="cs"/>
          <w:b/>
          <w:bCs/>
          <w:rtl/>
        </w:rPr>
        <w:t>الرابع 2016</w:t>
      </w:r>
    </w:p>
    <w:p w:rsidR="00D05109" w:rsidRDefault="00D05109" w:rsidP="00D05109">
      <w:pPr>
        <w:jc w:val="both"/>
        <w:rPr>
          <w:rFonts w:ascii="Times New Roman" w:eastAsia="Times New Roman" w:hAnsi="Times New Roman" w:cs="Simplified Arabic"/>
          <w:noProof/>
          <w:color w:val="000000" w:themeColor="text1"/>
          <w:sz w:val="24"/>
          <w:szCs w:val="24"/>
        </w:rPr>
      </w:pPr>
    </w:p>
    <w:p w:rsidR="00D05109" w:rsidRPr="00D05109" w:rsidRDefault="00D05109" w:rsidP="00D05109">
      <w:pPr>
        <w:rPr>
          <w:rFonts w:ascii="Times New Roman" w:eastAsia="Times New Roman" w:hAnsi="Times New Roman" w:cs="Simplified Arabic"/>
          <w:sz w:val="24"/>
          <w:szCs w:val="24"/>
        </w:rPr>
      </w:pPr>
    </w:p>
    <w:p w:rsidR="00D05109" w:rsidRPr="00D05109" w:rsidRDefault="00D05109" w:rsidP="00D05109">
      <w:pPr>
        <w:rPr>
          <w:rFonts w:ascii="Times New Roman" w:eastAsia="Times New Roman" w:hAnsi="Times New Roman" w:cs="Simplified Arabic"/>
          <w:sz w:val="24"/>
          <w:szCs w:val="24"/>
        </w:rPr>
      </w:pPr>
    </w:p>
    <w:p w:rsidR="00D05109" w:rsidRPr="00D05109" w:rsidRDefault="00D05109" w:rsidP="00D05109">
      <w:pPr>
        <w:rPr>
          <w:rFonts w:ascii="Times New Roman" w:eastAsia="Times New Roman" w:hAnsi="Times New Roman" w:cs="Simplified Arabic"/>
          <w:sz w:val="24"/>
          <w:szCs w:val="24"/>
        </w:rPr>
      </w:pPr>
    </w:p>
    <w:p w:rsidR="00D05109" w:rsidRPr="00D05109" w:rsidRDefault="00D05109" w:rsidP="00D05109">
      <w:pPr>
        <w:rPr>
          <w:rFonts w:ascii="Times New Roman" w:eastAsia="Times New Roman" w:hAnsi="Times New Roman" w:cs="Simplified Arabic"/>
          <w:sz w:val="24"/>
          <w:szCs w:val="24"/>
        </w:rPr>
      </w:pPr>
    </w:p>
    <w:p w:rsidR="00B87207" w:rsidRDefault="00D05109" w:rsidP="00D05109">
      <w:pPr>
        <w:ind w:left="-143" w:right="-426" w:firstLine="142"/>
        <w:rPr>
          <w:rFonts w:ascii="Simplified Arabic" w:hAnsi="Simplified Arabic" w:cs="Simplified Arabic" w:hint="cs"/>
          <w:b/>
          <w:bCs/>
          <w:color w:val="000000" w:themeColor="text1"/>
          <w:sz w:val="24"/>
          <w:szCs w:val="24"/>
          <w:rtl/>
        </w:rPr>
      </w:pPr>
      <w:r>
        <w:rPr>
          <w:rFonts w:ascii="Times New Roman" w:eastAsia="Times New Roman" w:hAnsi="Times New Roman" w:cs="Simplified Arabic"/>
          <w:sz w:val="24"/>
          <w:szCs w:val="24"/>
          <w:rtl/>
        </w:rPr>
        <w:tab/>
      </w:r>
    </w:p>
    <w:p w:rsidR="00B87207" w:rsidRDefault="00B87207" w:rsidP="00D05109">
      <w:pPr>
        <w:ind w:left="-143" w:right="-426" w:firstLine="142"/>
        <w:rPr>
          <w:rFonts w:ascii="Simplified Arabic" w:hAnsi="Simplified Arabic" w:cs="Simplified Arabic" w:hint="cs"/>
          <w:b/>
          <w:bCs/>
          <w:color w:val="000000" w:themeColor="text1"/>
          <w:sz w:val="24"/>
          <w:szCs w:val="24"/>
          <w:rtl/>
        </w:rPr>
      </w:pPr>
    </w:p>
    <w:p w:rsidR="00D05109" w:rsidRPr="00D05109" w:rsidRDefault="00D05109" w:rsidP="00D05109">
      <w:pPr>
        <w:ind w:left="-143" w:right="-426" w:firstLine="142"/>
        <w:rPr>
          <w:rFonts w:ascii="Simplified Arabic" w:hAnsi="Simplified Arabic" w:cs="Simplified Arabic"/>
          <w:b/>
          <w:bCs/>
          <w:color w:val="000000" w:themeColor="text1"/>
          <w:sz w:val="24"/>
          <w:szCs w:val="24"/>
          <w:rtl/>
        </w:rPr>
      </w:pPr>
      <w:r w:rsidRPr="00D05109">
        <w:rPr>
          <w:rFonts w:ascii="Simplified Arabic" w:hAnsi="Simplified Arabic" w:cs="Simplified Arabic"/>
          <w:b/>
          <w:bCs/>
          <w:color w:val="000000" w:themeColor="text1"/>
          <w:sz w:val="24"/>
          <w:szCs w:val="24"/>
          <w:rtl/>
        </w:rPr>
        <w:t>حقوق وامتيازات المستخدمين بأجر في القطاع الخاص</w:t>
      </w:r>
    </w:p>
    <w:p w:rsidR="00D05109" w:rsidRPr="00D05109" w:rsidRDefault="00D05109" w:rsidP="00D05109">
      <w:pPr>
        <w:spacing w:line="240" w:lineRule="auto"/>
        <w:jc w:val="lowKashida"/>
        <w:rPr>
          <w:rFonts w:ascii="Simplified Arabic" w:hAnsi="Simplified Arabic" w:cs="Simplified Arabic"/>
          <w:color w:val="000000" w:themeColor="text1"/>
          <w:sz w:val="24"/>
          <w:szCs w:val="24"/>
          <w:rtl/>
        </w:rPr>
      </w:pPr>
      <w:r w:rsidRPr="00D05109">
        <w:rPr>
          <w:rFonts w:ascii="Simplified Arabic" w:hAnsi="Simplified Arabic" w:cs="Simplified Arabic"/>
          <w:color w:val="000000" w:themeColor="text1"/>
          <w:sz w:val="24"/>
          <w:szCs w:val="24"/>
          <w:rtl/>
        </w:rPr>
        <w:t>25.8% من المستخدمين بأجر لديهم عقود عمل (منهم 9.2% لديهم عقود محددة المدة و16.6% عقود غير محددة المدة)، مقابل 50.2% لا يوجد لديهم عقود عمل، و24.0% يعملون بموجب اتفاق شفوي.</w:t>
      </w:r>
    </w:p>
    <w:p w:rsidR="00D05109" w:rsidRPr="00D05109" w:rsidRDefault="00D05109" w:rsidP="00D05109">
      <w:pPr>
        <w:spacing w:line="240" w:lineRule="auto"/>
        <w:jc w:val="lowKashida"/>
        <w:rPr>
          <w:rFonts w:ascii="Simplified Arabic" w:hAnsi="Simplified Arabic" w:cs="Simplified Arabic"/>
          <w:color w:val="000000" w:themeColor="text1"/>
          <w:sz w:val="24"/>
          <w:szCs w:val="24"/>
          <w:rtl/>
        </w:rPr>
      </w:pPr>
      <w:r w:rsidRPr="00D05109">
        <w:rPr>
          <w:rFonts w:ascii="Simplified Arabic" w:hAnsi="Simplified Arabic" w:cs="Simplified Arabic"/>
          <w:color w:val="000000" w:themeColor="text1"/>
          <w:sz w:val="24"/>
          <w:szCs w:val="24"/>
          <w:rtl/>
        </w:rPr>
        <w:t>22.8% من المستخدمين بأجر يحصلون على مكافأة نهاية الخدمة أو التقاعد، و23.0% يحصلون على إجازات سنوية مدفوعة الأجر، و23.0% يحصلون على إجازات مرضية مدفوعة الأجر، فيما تحصل 39.2% من النساء المستخدمات بأجر على إجازة أمومة مدفوعة الأجر.</w:t>
      </w:r>
    </w:p>
    <w:p w:rsidR="00D05109" w:rsidRDefault="00D05109" w:rsidP="00D05109">
      <w:pPr>
        <w:spacing w:line="240" w:lineRule="auto"/>
        <w:jc w:val="lowKashida"/>
        <w:rPr>
          <w:rFonts w:ascii="Simplified Arabic" w:hAnsi="Simplified Arabic" w:cs="Simplified Arabic" w:hint="cs"/>
          <w:color w:val="000000" w:themeColor="text1"/>
          <w:sz w:val="24"/>
          <w:szCs w:val="24"/>
          <w:rtl/>
        </w:rPr>
      </w:pPr>
      <w:r w:rsidRPr="00D05109">
        <w:rPr>
          <w:rFonts w:ascii="Simplified Arabic" w:hAnsi="Simplified Arabic" w:cs="Simplified Arabic"/>
          <w:color w:val="000000" w:themeColor="text1"/>
          <w:sz w:val="24"/>
          <w:szCs w:val="24"/>
          <w:rtl/>
        </w:rPr>
        <w:t>بلغت نسبة العاملين الذين ينتسبون لنقابات عمالية/ مهنية 18.5% بواقع 12.4% في الضفة الغربية و32.8% في قطاع غزة.</w:t>
      </w:r>
    </w:p>
    <w:p w:rsidR="00B87207" w:rsidRPr="00D05109" w:rsidRDefault="00B87207" w:rsidP="00D05109">
      <w:pPr>
        <w:spacing w:line="240" w:lineRule="auto"/>
        <w:jc w:val="lowKashida"/>
        <w:rPr>
          <w:rFonts w:ascii="Simplified Arabic" w:hAnsi="Simplified Arabic" w:cs="Simplified Arabic"/>
          <w:color w:val="000000" w:themeColor="text1"/>
          <w:sz w:val="24"/>
          <w:szCs w:val="24"/>
          <w:rtl/>
        </w:rPr>
      </w:pPr>
    </w:p>
    <w:p w:rsidR="00D05109" w:rsidRPr="00D05109" w:rsidRDefault="00D05109" w:rsidP="00D05109">
      <w:pPr>
        <w:pStyle w:val="BodyText"/>
        <w:ind w:left="-58"/>
        <w:jc w:val="lowKashida"/>
        <w:rPr>
          <w:rFonts w:ascii="Simplified Arabic" w:hAnsi="Simplified Arabic" w:cs="Simplified Arabic"/>
          <w:b/>
          <w:bCs/>
          <w:color w:val="000000" w:themeColor="text1"/>
          <w:sz w:val="24"/>
          <w:rtl/>
          <w:lang w:eastAsia="en-US"/>
        </w:rPr>
      </w:pPr>
      <w:r w:rsidRPr="00D05109">
        <w:rPr>
          <w:rFonts w:ascii="Simplified Arabic" w:hAnsi="Simplified Arabic" w:cs="Simplified Arabic"/>
          <w:b/>
          <w:bCs/>
          <w:color w:val="000000" w:themeColor="text1"/>
          <w:sz w:val="24"/>
          <w:rtl/>
          <w:lang w:eastAsia="en-US"/>
        </w:rPr>
        <w:t>38.1% من المستخدمين بأجر في القطاع الخاص يتقاضون أجراً شهرياً أقل من الحد الأدنى للأجر (1,450 شيقلاً) في فلسطين</w:t>
      </w:r>
    </w:p>
    <w:p w:rsidR="00D05109" w:rsidRPr="00D05109" w:rsidRDefault="00D05109" w:rsidP="00D05109">
      <w:pPr>
        <w:spacing w:line="240" w:lineRule="auto"/>
        <w:ind w:left="-58"/>
        <w:jc w:val="lowKashida"/>
        <w:rPr>
          <w:rFonts w:ascii="Simplified Arabic" w:hAnsi="Simplified Arabic" w:cs="Simplified Arabic"/>
          <w:color w:val="000000" w:themeColor="text1"/>
          <w:sz w:val="24"/>
          <w:szCs w:val="24"/>
          <w:rtl/>
        </w:rPr>
      </w:pPr>
      <w:r w:rsidRPr="00D05109">
        <w:rPr>
          <w:rFonts w:ascii="Simplified Arabic" w:hAnsi="Simplified Arabic" w:cs="Simplified Arabic"/>
          <w:color w:val="000000" w:themeColor="text1"/>
          <w:sz w:val="24"/>
          <w:szCs w:val="24"/>
          <w:rtl/>
        </w:rPr>
        <w:t>19.4% من المستخدمين بأجر في القطاع الخاص من الضفة الغربية (44,500) يتقاضون أجراً شهرياً أقل من الحد الأدنى للأجر وبمعدل أجر شهري قدره</w:t>
      </w:r>
      <w:r w:rsidRPr="00D05109">
        <w:rPr>
          <w:rFonts w:ascii="Simplified Arabic" w:hAnsi="Simplified Arabic" w:cs="Simplified Arabic"/>
          <w:color w:val="000000" w:themeColor="text1"/>
          <w:sz w:val="24"/>
          <w:szCs w:val="24"/>
        </w:rPr>
        <w:t xml:space="preserve"> </w:t>
      </w:r>
      <w:r w:rsidRPr="00D05109">
        <w:rPr>
          <w:rFonts w:ascii="Simplified Arabic" w:hAnsi="Simplified Arabic" w:cs="Simplified Arabic"/>
          <w:color w:val="000000" w:themeColor="text1"/>
          <w:sz w:val="24"/>
          <w:szCs w:val="24"/>
          <w:rtl/>
        </w:rPr>
        <w:t>1,030 شيقلاً.</w:t>
      </w:r>
    </w:p>
    <w:p w:rsidR="00D05109" w:rsidRPr="00D05109" w:rsidRDefault="00D05109" w:rsidP="00D05109">
      <w:pPr>
        <w:spacing w:line="240" w:lineRule="auto"/>
        <w:ind w:left="-58"/>
        <w:jc w:val="lowKashida"/>
        <w:rPr>
          <w:rFonts w:ascii="Simplified Arabic" w:hAnsi="Simplified Arabic" w:cs="Simplified Arabic"/>
          <w:color w:val="000000" w:themeColor="text1"/>
          <w:sz w:val="24"/>
          <w:szCs w:val="24"/>
          <w:rtl/>
        </w:rPr>
      </w:pPr>
      <w:r w:rsidRPr="00D05109">
        <w:rPr>
          <w:rFonts w:ascii="Simplified Arabic" w:hAnsi="Simplified Arabic" w:cs="Simplified Arabic"/>
          <w:color w:val="000000" w:themeColor="text1"/>
          <w:sz w:val="24"/>
          <w:szCs w:val="24"/>
          <w:rtl/>
        </w:rPr>
        <w:lastRenderedPageBreak/>
        <w:t>أما في قطاع غزة فقد بلغت نسبة المستخدمين بأجر في القطاع الخاص</w:t>
      </w:r>
      <w:r w:rsidRPr="00D05109">
        <w:rPr>
          <w:rFonts w:ascii="Simplified Arabic" w:hAnsi="Simplified Arabic" w:cs="Simplified Arabic"/>
          <w:color w:val="000000" w:themeColor="text1"/>
          <w:sz w:val="24"/>
          <w:szCs w:val="24"/>
        </w:rPr>
        <w:t xml:space="preserve"> </w:t>
      </w:r>
      <w:r w:rsidRPr="00D05109">
        <w:rPr>
          <w:rFonts w:ascii="Simplified Arabic" w:hAnsi="Simplified Arabic" w:cs="Simplified Arabic"/>
          <w:color w:val="000000" w:themeColor="text1"/>
          <w:sz w:val="24"/>
          <w:szCs w:val="24"/>
          <w:rtl/>
        </w:rPr>
        <w:t>الذين يتقاضون أجراً شهرياً أقل من الحد الأدنى للأجر 75.4% (89,600)، وبمعدل أجر شهري قدره 768 شيقلاً.</w:t>
      </w:r>
    </w:p>
    <w:p w:rsidR="00D05109" w:rsidRPr="00D05109" w:rsidRDefault="00D05109" w:rsidP="00D05109">
      <w:pPr>
        <w:tabs>
          <w:tab w:val="num" w:pos="720"/>
        </w:tabs>
        <w:spacing w:line="240" w:lineRule="auto"/>
        <w:ind w:left="-1"/>
        <w:jc w:val="lowKashida"/>
        <w:rPr>
          <w:rFonts w:ascii="Simplified Arabic" w:hAnsi="Simplified Arabic" w:cs="Simplified Arabic"/>
          <w:b/>
          <w:bCs/>
          <w:color w:val="000000" w:themeColor="text1"/>
          <w:sz w:val="24"/>
          <w:szCs w:val="24"/>
          <w:rtl/>
        </w:rPr>
      </w:pPr>
      <w:r w:rsidRPr="00D05109">
        <w:rPr>
          <w:rFonts w:ascii="Simplified Arabic" w:hAnsi="Simplified Arabic" w:cs="Simplified Arabic"/>
          <w:b/>
          <w:bCs/>
          <w:color w:val="000000" w:themeColor="text1"/>
          <w:sz w:val="24"/>
          <w:szCs w:val="24"/>
          <w:rtl/>
        </w:rPr>
        <w:t xml:space="preserve">عمالة الأطفال </w:t>
      </w:r>
    </w:p>
    <w:p w:rsidR="00D05109" w:rsidRDefault="00D05109" w:rsidP="00D05109">
      <w:pPr>
        <w:spacing w:line="240" w:lineRule="auto"/>
        <w:jc w:val="lowKashida"/>
        <w:rPr>
          <w:rFonts w:ascii="Simplified Arabic" w:hAnsi="Simplified Arabic" w:cs="Simplified Arabic"/>
          <w:color w:val="000000" w:themeColor="text1"/>
          <w:sz w:val="24"/>
          <w:szCs w:val="24"/>
          <w:rtl/>
        </w:rPr>
      </w:pPr>
      <w:r w:rsidRPr="00D05109">
        <w:rPr>
          <w:rFonts w:ascii="Simplified Arabic" w:hAnsi="Simplified Arabic" w:cs="Simplified Arabic"/>
          <w:color w:val="000000" w:themeColor="text1"/>
          <w:sz w:val="24"/>
          <w:szCs w:val="24"/>
          <w:rtl/>
        </w:rPr>
        <w:t>3.3% من الأطفال 10-17 سنة عاملين، بواقع 4.5% في الضفة الغربية و1.6% في قطاع غزة.</w:t>
      </w:r>
    </w:p>
    <w:p w:rsidR="00D05109" w:rsidRPr="00D05109" w:rsidRDefault="00D05109" w:rsidP="00D05109">
      <w:pPr>
        <w:spacing w:line="240" w:lineRule="auto"/>
        <w:jc w:val="lowKashida"/>
        <w:rPr>
          <w:rFonts w:ascii="Simplified Arabic" w:hAnsi="Simplified Arabic" w:cs="Simplified Arabic"/>
          <w:color w:val="000000" w:themeColor="text1"/>
          <w:sz w:val="24"/>
          <w:szCs w:val="24"/>
        </w:rPr>
      </w:pPr>
    </w:p>
    <w:sectPr w:rsidR="00D05109" w:rsidRPr="00D05109" w:rsidSect="00B87207">
      <w:footerReference w:type="default" r:id="rId8"/>
      <w:pgSz w:w="11906" w:h="16838"/>
      <w:pgMar w:top="1440" w:right="1134" w:bottom="1440"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207" w:rsidRDefault="00B87207" w:rsidP="00B87207">
      <w:pPr>
        <w:spacing w:after="0" w:line="240" w:lineRule="auto"/>
      </w:pPr>
      <w:r>
        <w:separator/>
      </w:r>
    </w:p>
  </w:endnote>
  <w:endnote w:type="continuationSeparator" w:id="0">
    <w:p w:rsidR="00B87207" w:rsidRDefault="00B87207" w:rsidP="00B87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07" w:rsidRDefault="00B87207">
    <w:pPr>
      <w:pStyle w:val="Footer"/>
    </w:pPr>
    <w:fldSimple w:instr=" PAGE   \* MERGEFORMAT ">
      <w:r w:rsidR="002D44CB">
        <w:rPr>
          <w:noProof/>
          <w:rtl/>
        </w:rPr>
        <w:t>2</w:t>
      </w:r>
    </w:fldSimple>
  </w:p>
  <w:p w:rsidR="00B87207" w:rsidRDefault="00B872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207" w:rsidRDefault="00B87207" w:rsidP="00B87207">
      <w:pPr>
        <w:spacing w:after="0" w:line="240" w:lineRule="auto"/>
      </w:pPr>
      <w:r>
        <w:separator/>
      </w:r>
    </w:p>
  </w:footnote>
  <w:footnote w:type="continuationSeparator" w:id="0">
    <w:p w:rsidR="00B87207" w:rsidRDefault="00B87207" w:rsidP="00B872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05109"/>
    <w:rsid w:val="002C2C18"/>
    <w:rsid w:val="002D44CB"/>
    <w:rsid w:val="004B46FF"/>
    <w:rsid w:val="007869C9"/>
    <w:rsid w:val="00AB2649"/>
    <w:rsid w:val="00B87207"/>
    <w:rsid w:val="00D05109"/>
    <w:rsid w:val="00D50B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F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5109"/>
    <w:pPr>
      <w:autoSpaceDE w:val="0"/>
      <w:autoSpaceDN w:val="0"/>
      <w:spacing w:after="0" w:line="240" w:lineRule="auto"/>
      <w:jc w:val="both"/>
    </w:pPr>
    <w:rPr>
      <w:rFonts w:ascii="Times New Roman" w:eastAsia="Times New Roman" w:hAnsi="Times New Roman" w:cs="Traditional Arabic"/>
      <w:noProof/>
      <w:sz w:val="20"/>
      <w:szCs w:val="24"/>
      <w:lang w:eastAsia="ar-SA"/>
    </w:rPr>
  </w:style>
  <w:style w:type="character" w:customStyle="1" w:styleId="BodyTextChar">
    <w:name w:val="Body Text Char"/>
    <w:basedOn w:val="DefaultParagraphFont"/>
    <w:link w:val="BodyText"/>
    <w:rsid w:val="00D05109"/>
    <w:rPr>
      <w:rFonts w:ascii="Times New Roman" w:eastAsia="Times New Roman" w:hAnsi="Times New Roman" w:cs="Traditional Arabic"/>
      <w:noProof/>
      <w:sz w:val="20"/>
      <w:szCs w:val="24"/>
      <w:lang w:eastAsia="ar-SA"/>
    </w:rPr>
  </w:style>
  <w:style w:type="character" w:styleId="Hyperlink">
    <w:name w:val="Hyperlink"/>
    <w:basedOn w:val="DefaultParagraphFont"/>
    <w:uiPriority w:val="99"/>
    <w:unhideWhenUsed/>
    <w:rsid w:val="00D05109"/>
    <w:rPr>
      <w:color w:val="0000FF"/>
      <w:u w:val="single"/>
    </w:rPr>
  </w:style>
  <w:style w:type="paragraph" w:styleId="Header">
    <w:name w:val="header"/>
    <w:basedOn w:val="Normal"/>
    <w:link w:val="HeaderChar"/>
    <w:uiPriority w:val="99"/>
    <w:semiHidden/>
    <w:unhideWhenUsed/>
    <w:rsid w:val="00B872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87207"/>
  </w:style>
  <w:style w:type="paragraph" w:styleId="Footer">
    <w:name w:val="footer"/>
    <w:basedOn w:val="Normal"/>
    <w:link w:val="FooterChar"/>
    <w:uiPriority w:val="99"/>
    <w:unhideWhenUsed/>
    <w:rsid w:val="00B872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7207"/>
  </w:style>
</w:styles>
</file>

<file path=word/webSettings.xml><?xml version="1.0" encoding="utf-8"?>
<w:webSettings xmlns:r="http://schemas.openxmlformats.org/officeDocument/2006/relationships" xmlns:w="http://schemas.openxmlformats.org/wordprocessingml/2006/main">
  <w:divs>
    <w:div w:id="244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view3D>
      <c:perspective val="0"/>
    </c:view3D>
    <c:plotArea>
      <c:layout>
        <c:manualLayout>
          <c:layoutTarget val="inner"/>
          <c:xMode val="edge"/>
          <c:yMode val="edge"/>
          <c:x val="1.9748565112297906E-2"/>
          <c:y val="0.3216027690861829"/>
          <c:w val="0.95604812710230502"/>
          <c:h val="0.60225286249699161"/>
        </c:manualLayout>
      </c:layout>
      <c:pie3DChart>
        <c:varyColors val="1"/>
        <c:ser>
          <c:idx val="0"/>
          <c:order val="0"/>
          <c:tx>
            <c:strRef>
              <c:f>Sheet1!$A$2</c:f>
              <c:strCache>
                <c:ptCount val="1"/>
              </c:strCache>
            </c:strRef>
          </c:tx>
          <c:explosion val="21"/>
          <c:dLbls>
            <c:showVal val="1"/>
            <c:showLeaderLines val="1"/>
          </c:dLbls>
          <c:cat>
            <c:strRef>
              <c:f>Sheet1!$B$1:$E$1</c:f>
              <c:strCache>
                <c:ptCount val="4"/>
                <c:pt idx="0">
                  <c:v>أرباب عمل</c:v>
                </c:pt>
                <c:pt idx="1">
                  <c:v>يعملون لحسابهم</c:v>
                </c:pt>
                <c:pt idx="2">
                  <c:v>مستخدمون بأجر</c:v>
                </c:pt>
                <c:pt idx="3">
                  <c:v>أعضاء أسرة غير مدفوعي الأجر</c:v>
                </c:pt>
              </c:strCache>
            </c:strRef>
          </c:cat>
          <c:val>
            <c:numRef>
              <c:f>Sheet1!$B$2:$E$2</c:f>
              <c:numCache>
                <c:formatCode>0.0</c:formatCode>
                <c:ptCount val="4"/>
                <c:pt idx="0">
                  <c:v>6.6</c:v>
                </c:pt>
                <c:pt idx="1">
                  <c:v>17.899999999999999</c:v>
                </c:pt>
                <c:pt idx="2">
                  <c:v>71.099999999999994</c:v>
                </c:pt>
                <c:pt idx="3">
                  <c:v>4.4000000000000004</c:v>
                </c:pt>
              </c:numCache>
            </c:numRef>
          </c:val>
        </c:ser>
      </c:pie3DChart>
      <c:spPr>
        <a:ln>
          <a:solidFill>
            <a:schemeClr val="tx1"/>
          </a:solidFill>
        </a:ln>
      </c:spPr>
    </c:plotArea>
    <c:legend>
      <c:legendPos val="r"/>
      <c:legendEntry>
        <c:idx val="1"/>
        <c:txPr>
          <a:bodyPr/>
          <a:lstStyle/>
          <a:p>
            <a:pPr rtl="0">
              <a:defRPr sz="905"/>
            </a:pPr>
            <a:endParaRPr lang="ar-SA"/>
          </a:p>
        </c:txPr>
      </c:legendEntry>
      <c:legendEntry>
        <c:idx val="3"/>
        <c:txPr>
          <a:bodyPr/>
          <a:lstStyle/>
          <a:p>
            <a:pPr rtl="1">
              <a:defRPr sz="905"/>
            </a:pPr>
            <a:endParaRPr lang="ar-SA"/>
          </a:p>
        </c:txPr>
      </c:legendEntry>
      <c:layout>
        <c:manualLayout>
          <c:xMode val="edge"/>
          <c:yMode val="edge"/>
          <c:wMode val="edge"/>
          <c:hMode val="edge"/>
          <c:x val="3.2271186440677981E-2"/>
          <c:y val="4.5774278215223105E-2"/>
          <c:w val="0.97871008496819278"/>
          <c:h val="0.25423411114706551"/>
        </c:manualLayout>
      </c:layout>
      <c:spPr>
        <a:noFill/>
        <a:ln>
          <a:solidFill>
            <a:schemeClr val="tx1"/>
          </a:solidFill>
        </a:ln>
      </c:spPr>
      <c:txPr>
        <a:bodyPr/>
        <a:lstStyle/>
        <a:p>
          <a:pPr>
            <a:defRPr sz="905"/>
          </a:pPr>
          <a:endParaRPr lang="ar-SA"/>
        </a:p>
      </c:txP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62D4-47CD-49E1-AC1C-89DFC6FD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4194</Characters>
  <Application>Microsoft Office Word</Application>
  <DocSecurity>0</DocSecurity>
  <Lines>34</Lines>
  <Paragraphs>9</Paragraphs>
  <ScaleCrop>false</ScaleCrop>
  <Company>Hewlett-Packard Company</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shakel</dc:creator>
  <cp:lastModifiedBy>loays</cp:lastModifiedBy>
  <cp:revision>2</cp:revision>
  <cp:lastPrinted>2017-02-12T10:27:00Z</cp:lastPrinted>
  <dcterms:created xsi:type="dcterms:W3CDTF">2017-02-12T10:28:00Z</dcterms:created>
  <dcterms:modified xsi:type="dcterms:W3CDTF">2017-02-12T10:28:00Z</dcterms:modified>
</cp:coreProperties>
</file>