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F" w:rsidRDefault="00880CEF" w:rsidP="00197130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880CEF" w:rsidRDefault="00880CEF" w:rsidP="00880CEF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880CEF" w:rsidRDefault="00880CEF" w:rsidP="00880CEF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D91D99" w:rsidRDefault="00D91D99" w:rsidP="00D91D99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D91D99" w:rsidRDefault="00D91D99" w:rsidP="00D91D99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D91D99" w:rsidRDefault="00D91D99" w:rsidP="00D91D99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880CEF" w:rsidRDefault="00880CEF" w:rsidP="00880CEF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D91D99" w:rsidRDefault="00D91D99" w:rsidP="00D91D99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D91D99" w:rsidRDefault="00D91D99" w:rsidP="00D91D99">
      <w:pPr>
        <w:bidi/>
        <w:jc w:val="center"/>
        <w:rPr>
          <w:rFonts w:ascii="Simplified Arabic" w:hAnsi="Simplified Arabic" w:cs="Simplified Arabic" w:hint="cs"/>
          <w:b/>
          <w:bCs/>
          <w:color w:val="auto"/>
          <w:sz w:val="4"/>
          <w:szCs w:val="4"/>
          <w:rtl/>
        </w:rPr>
      </w:pPr>
    </w:p>
    <w:p w:rsidR="00880CEF" w:rsidRPr="00880CEF" w:rsidRDefault="00880CEF" w:rsidP="00D91D99">
      <w:pPr>
        <w:bidi/>
        <w:jc w:val="center"/>
        <w:rPr>
          <w:b/>
          <w:bCs/>
          <w:color w:val="auto"/>
          <w:sz w:val="32"/>
          <w:szCs w:val="32"/>
        </w:rPr>
      </w:pPr>
      <w:r w:rsidRPr="00880CEF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الإحصاء الفلسطيني يعلن مؤشر</w:t>
      </w:r>
      <w:r w:rsidRPr="00880CEF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 xml:space="preserve"> </w:t>
      </w:r>
      <w:r w:rsidRPr="00880CEF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غلاء المعيشة في فلسطين لشهر </w:t>
      </w:r>
      <w:r w:rsidRPr="00880CEF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أيلول</w:t>
      </w:r>
      <w:r w:rsidRPr="00880CEF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، </w:t>
      </w:r>
      <w:r w:rsidRPr="00880CEF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09</w:t>
      </w:r>
      <w:r w:rsidRPr="00880CEF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/2017</w:t>
      </w:r>
    </w:p>
    <w:p w:rsidR="00EB5456" w:rsidRPr="00D91D99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EB5456" w:rsidRPr="00880CEF" w:rsidRDefault="00374B91" w:rsidP="00F45F2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>ارتفاع</w:t>
      </w:r>
      <w:r w:rsidR="00EB5456"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مؤشر غلاء المعيشة خلال شهر </w:t>
      </w:r>
      <w:r w:rsidR="00F45F27" w:rsidRPr="00880CE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="00EB5456"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B5456" w:rsidRPr="00197130" w:rsidRDefault="00EB5456" w:rsidP="00F45F2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فلسطين 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نسبته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 w:rsidR="00F45F2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65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بواقع 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1.39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في 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وبنسبة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28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في القدس </w:t>
      </w:r>
      <w:r w:rsidRPr="00197130">
        <w:rPr>
          <w:rFonts w:ascii="Simplified Arabic" w:hAnsi="Simplified Arabic" w:cs="Simplified Arabic"/>
          <w:sz w:val="24"/>
          <w:szCs w:val="24"/>
        </w:rPr>
        <w:t>J1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*،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وبنسبة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14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F45F27" w:rsidRPr="00F45F2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D91D99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EB5456" w:rsidRPr="00197130" w:rsidRDefault="00EB5456" w:rsidP="00344B5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السبب الرئيسي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الأسعار في فلسطين يرجع بشكل أساسي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بنسبة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18.17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بنسبة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8.74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84451">
        <w:rPr>
          <w:rFonts w:ascii="Simplified Arabic" w:hAnsi="Simplified Arabic" w:cs="Simplified Arabic" w:hint="cs"/>
          <w:sz w:val="24"/>
          <w:szCs w:val="24"/>
          <w:rtl/>
        </w:rPr>
        <w:t>6.48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proofErr w:type="spellStart"/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284451">
        <w:rPr>
          <w:rFonts w:ascii="Simplified Arabic" w:hAnsi="Simplified Arabic" w:cs="Simplified Arabic" w:hint="cs"/>
          <w:sz w:val="24"/>
          <w:szCs w:val="24"/>
          <w:rtl/>
        </w:rPr>
        <w:t>4.80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الغاز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4.16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بنسبة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0.67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8.22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البيض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4.07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الأسماك الطازجة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3.34</w:t>
      </w:r>
      <w:r w:rsidR="00216A88">
        <w:rPr>
          <w:rFonts w:ascii="Simplified Arabic" w:hAnsi="Simplified Arabic" w:cs="Simplified Arabic"/>
          <w:sz w:val="24"/>
          <w:szCs w:val="24"/>
          <w:rtl/>
        </w:rPr>
        <w:t>%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D91D99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EB5456" w:rsidRPr="00197130" w:rsidRDefault="00EB5456" w:rsidP="00F45F2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وعند مقارنة الأسعار خلال شهر 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مع شهر 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2016 تشير البيانات إلى انخفاض الرقم القياسي لأسعار المستهلك في فلسطين بمقدار 0.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14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بواقع 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0.83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 في حين سجل الرقم القياسي ارتفاعاً نسبته 1.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="00F45F27">
        <w:rPr>
          <w:rFonts w:ascii="Simplified Arabic" w:hAnsi="Simplified Arabic" w:cs="Simplified Arabic"/>
          <w:sz w:val="24"/>
          <w:szCs w:val="24"/>
          <w:rtl/>
        </w:rPr>
        <w:t>% في</w:t>
      </w:r>
      <w:r w:rsidR="0019713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sz w:val="24"/>
          <w:szCs w:val="24"/>
        </w:rPr>
        <w:t>J1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، وبنسبة 0.27%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في 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D91D99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EB5456" w:rsidRPr="00197130" w:rsidRDefault="00EB5456" w:rsidP="00555B1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وبمقارنة البيانات للأشهر </w:t>
      </w:r>
      <w:r w:rsidR="00555B1C">
        <w:rPr>
          <w:rFonts w:ascii="Simplified Arabic" w:hAnsi="Simplified Arabic" w:cs="Simplified Arabic" w:hint="cs"/>
          <w:sz w:val="24"/>
          <w:szCs w:val="24"/>
          <w:rtl/>
        </w:rPr>
        <w:t>التسعة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الأولى من العام 2017، سجلت أسعار المستهلك في فلسطين ارتفاعاً نسبته 0.</w:t>
      </w:r>
      <w:r w:rsidR="00555B1C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 مقارنة مع نفس الفترة من العام السابق، بواقع 2.</w:t>
      </w:r>
      <w:r w:rsidR="00555B1C">
        <w:rPr>
          <w:rFonts w:ascii="Simplified Arabic" w:hAnsi="Simplified Arabic" w:cs="Simplified Arabic" w:hint="cs"/>
          <w:sz w:val="24"/>
          <w:szCs w:val="24"/>
          <w:rtl/>
        </w:rPr>
        <w:t>47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في القدس </w:t>
      </w:r>
      <w:r w:rsidRPr="00197130">
        <w:rPr>
          <w:rFonts w:ascii="Simplified Arabic" w:hAnsi="Simplified Arabic" w:cs="Simplified Arabic"/>
          <w:sz w:val="24"/>
          <w:szCs w:val="24"/>
        </w:rPr>
        <w:t>*J1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 وبنسبة 0.</w:t>
      </w:r>
      <w:r w:rsidR="00555B1C">
        <w:rPr>
          <w:rFonts w:ascii="Simplified Arabic" w:hAnsi="Simplified Arabic" w:cs="Simplified Arabic" w:hint="cs"/>
          <w:sz w:val="24"/>
          <w:szCs w:val="24"/>
          <w:rtl/>
        </w:rPr>
        <w:t>14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 في الضفة الغربية**، في حين سجل الرقم القياسي انخفاضاً مقداره 0.</w:t>
      </w:r>
      <w:r w:rsidR="00555B1C">
        <w:rPr>
          <w:rFonts w:ascii="Simplified Arabic" w:hAnsi="Simplified Arabic" w:cs="Simplified Arabic" w:hint="cs"/>
          <w:sz w:val="24"/>
          <w:szCs w:val="24"/>
          <w:rtl/>
        </w:rPr>
        <w:t>27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 في قطاع غزة.</w:t>
      </w:r>
    </w:p>
    <w:p w:rsidR="00197130" w:rsidRPr="00D91D99" w:rsidRDefault="00197130" w:rsidP="001971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EB5456" w:rsidRPr="00880CEF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6F3D1E" w:rsidRPr="00197130" w:rsidRDefault="006F3D1E" w:rsidP="00216A8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ارتفاعاً نسبته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1.39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نتج هذا الارتفاع بصورة رئيسية عن ارتفاع أسعار الخضروات الطازجة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25.47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18.23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8.85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وأسعار الغاز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7.19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وأسعار السجائر المستوردة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5.50%،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4.64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0.83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 على الرغم من انخفاض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12.03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الزيوت النباتية بمقدار 4.33%،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الأسماك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3.32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اللحوم الطازجة بمقدار 2.72%،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2.36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D1E" w:rsidRPr="00D91D99" w:rsidRDefault="006F3D1E" w:rsidP="006F3D1E">
      <w:pPr>
        <w:bidi/>
        <w:spacing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880CEF" w:rsidRDefault="00BA70A6" w:rsidP="00D91D99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كما 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b/>
          <w:bCs/>
          <w:sz w:val="24"/>
          <w:szCs w:val="24"/>
        </w:rPr>
        <w:t>J1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* ارتفاعاً نسبته 0.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28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وذلك نتيجة لارتفاع أسعار الغاز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9.68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9.60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9.60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4.31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وأسعار اللحوم الطازجة بنسبة 2.48%،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على الرغم من انخفاض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4.85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الطحين بمقدار 1.81%،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السجائر بمقدار 1.67%،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1.31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0.92</w:t>
      </w:r>
      <w:r w:rsidR="009F77D0">
        <w:rPr>
          <w:rFonts w:ascii="Simplified Arabic" w:hAnsi="Simplified Arabic" w:cs="Simplified Arabic"/>
          <w:sz w:val="24"/>
          <w:szCs w:val="24"/>
          <w:rtl/>
        </w:rPr>
        <w:t>%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880CEF" w:rsidRDefault="00880CEF" w:rsidP="00880CEF">
      <w:pPr>
        <w:bidi/>
        <w:spacing w:line="240" w:lineRule="auto"/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880CEF" w:rsidRDefault="00880CEF" w:rsidP="00880CEF">
      <w:pPr>
        <w:bidi/>
        <w:spacing w:line="240" w:lineRule="auto"/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880CEF" w:rsidRDefault="00880CEF" w:rsidP="00880CEF">
      <w:pPr>
        <w:bidi/>
        <w:spacing w:line="240" w:lineRule="auto"/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880CEF" w:rsidRPr="00880CEF" w:rsidRDefault="00880CEF" w:rsidP="00880CEF">
      <w:pPr>
        <w:bidi/>
        <w:spacing w:line="240" w:lineRule="auto"/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D91D99" w:rsidRDefault="00D91D99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D91D99" w:rsidRDefault="00D91D99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D91D99" w:rsidRDefault="00D91D99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D91D99" w:rsidRDefault="00D91D99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D91D99" w:rsidRDefault="00D91D99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 w:hint="cs"/>
          <w:sz w:val="12"/>
          <w:szCs w:val="12"/>
          <w:rtl/>
        </w:rPr>
      </w:pPr>
    </w:p>
    <w:p w:rsidR="00D91D99" w:rsidRPr="00D91D99" w:rsidRDefault="00D91D99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 w:hint="cs"/>
          <w:sz w:val="12"/>
          <w:szCs w:val="12"/>
          <w:rtl/>
        </w:rPr>
      </w:pPr>
    </w:p>
    <w:p w:rsidR="00F21F96" w:rsidRDefault="00F21F96" w:rsidP="00D91D99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 نسبته 0.</w:t>
      </w:r>
      <w:r w:rsidR="009F77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14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وذلك نتيجة لارتفاع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بنسبة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14.89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%، وأسعار </w:t>
      </w:r>
      <w:proofErr w:type="spellStart"/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9F77D0">
        <w:rPr>
          <w:rFonts w:ascii="Simplified Arabic" w:hAnsi="Simplified Arabic" w:cs="Simplified Arabic" w:hint="cs"/>
          <w:sz w:val="24"/>
          <w:szCs w:val="24"/>
          <w:rtl/>
        </w:rPr>
        <w:t>5.23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3.49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%، وأسعار الغاز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1.89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البيض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1.17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بنسبة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0.83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%، على الرغم من انخفاض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11.64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الأسماك الطازجة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3.64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الطحين بمقدار 3.14%، و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1.06</w:t>
      </w:r>
      <w:r w:rsidR="009F77D0">
        <w:rPr>
          <w:rFonts w:ascii="Simplified Arabic" w:hAnsi="Simplified Arabic" w:cs="Simplified Arabic"/>
          <w:sz w:val="24"/>
          <w:szCs w:val="24"/>
          <w:rtl/>
        </w:rPr>
        <w:t>%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44B51" w:rsidRPr="00880CEF" w:rsidRDefault="00880CEF" w:rsidP="00D91D99">
      <w:pPr>
        <w:pBdr>
          <w:right w:val="nil"/>
        </w:pBdr>
        <w:tabs>
          <w:tab w:val="left" w:pos="1565"/>
        </w:tabs>
        <w:bidi/>
        <w:spacing w:line="240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/>
          <w:sz w:val="16"/>
          <w:szCs w:val="16"/>
          <w:rtl/>
        </w:rPr>
        <w:tab/>
      </w:r>
    </w:p>
    <w:p w:rsidR="00880CEF" w:rsidRDefault="00EB5456" w:rsidP="00D91D99">
      <w:pPr>
        <w:pBdr>
          <w:right w:val="nil"/>
        </w:pBd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</w:pPr>
      <w:r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الجدول أدناه يوضح نسب التغيّر الشهرية في أسعار المستهلك على مستوى المناطق الفل</w:t>
      </w:r>
      <w:r w:rsidR="006D14D3"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سطينية </w:t>
      </w:r>
    </w:p>
    <w:p w:rsidR="00EB5456" w:rsidRPr="00880CEF" w:rsidRDefault="006D14D3" w:rsidP="00D91D99">
      <w:pPr>
        <w:pBdr>
          <w:right w:val="nil"/>
        </w:pBd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خلال الفترة من</w:t>
      </w:r>
      <w:r w:rsidR="00EB5456"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كانون ثاني </w:t>
      </w:r>
      <w:proofErr w:type="spellStart"/>
      <w:r w:rsidR="00EB5456"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–</w:t>
      </w:r>
      <w:proofErr w:type="spellEnd"/>
      <w:r w:rsidR="00EB5456"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</w:t>
      </w:r>
      <w:r w:rsidR="009F77D0" w:rsidRPr="00880CEF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أيلول</w:t>
      </w:r>
      <w:r w:rsidR="00EB5456" w:rsidRPr="00880CEF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2017:</w:t>
      </w:r>
    </w:p>
    <w:tbl>
      <w:tblPr>
        <w:bidiVisual/>
        <w:tblW w:w="0" w:type="auto"/>
        <w:jc w:val="center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01"/>
        <w:gridCol w:w="990"/>
        <w:gridCol w:w="1167"/>
        <w:gridCol w:w="1101"/>
        <w:gridCol w:w="1087"/>
      </w:tblGrid>
      <w:tr w:rsidR="0034382A" w:rsidRPr="00880CEF" w:rsidTr="00880CEF">
        <w:trPr>
          <w:tblHeader/>
          <w:jc w:val="center"/>
        </w:trPr>
        <w:tc>
          <w:tcPr>
            <w:tcW w:w="1201" w:type="dxa"/>
            <w:vMerge w:val="restart"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4345" w:type="dxa"/>
            <w:gridSpan w:val="4"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 التغيّر الشهرية</w:t>
            </w:r>
          </w:p>
        </w:tc>
      </w:tr>
      <w:tr w:rsidR="0034382A" w:rsidRPr="00880CEF" w:rsidTr="00880CEF">
        <w:trPr>
          <w:tblHeader/>
          <w:jc w:val="center"/>
        </w:trPr>
        <w:tc>
          <w:tcPr>
            <w:tcW w:w="1201" w:type="dxa"/>
            <w:vMerge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فلسطين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الضفة الغربية**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قطاع غزة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القدس </w:t>
            </w:r>
            <w:r w:rsidRPr="00880CE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J1</w:t>
            </w:r>
            <w:r w:rsidRPr="00880CE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*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+ 0.14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+ 0.03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+ 0.38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+ 1.02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+ 0.62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+ 0.78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+ 0.40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+ 0.35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+ 1.08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+ 0.22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+ 2.33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- 0.70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- 0.50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- 1.01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+ 0.13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+ 0.61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- 0.84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- 0.50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- 1.62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- 0.17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- 0.96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- 0.90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- 1.61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- 0.29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990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- 0.15</w:t>
            </w:r>
          </w:p>
        </w:tc>
        <w:tc>
          <w:tcPr>
            <w:tcW w:w="116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+ 0.36</w:t>
            </w:r>
          </w:p>
        </w:tc>
        <w:tc>
          <w:tcPr>
            <w:tcW w:w="1101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- 0.58</w:t>
            </w:r>
          </w:p>
        </w:tc>
        <w:tc>
          <w:tcPr>
            <w:tcW w:w="1087" w:type="dxa"/>
            <w:vAlign w:val="center"/>
          </w:tcPr>
          <w:p w:rsidR="00EB5456" w:rsidRPr="00880CEF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- 0.13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6D14D3" w:rsidRPr="00880CEF" w:rsidRDefault="006D14D3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990" w:type="dxa"/>
            <w:vAlign w:val="center"/>
          </w:tcPr>
          <w:p w:rsidR="006D14D3" w:rsidRPr="00880CEF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+ 0.56</w:t>
            </w:r>
          </w:p>
        </w:tc>
        <w:tc>
          <w:tcPr>
            <w:tcW w:w="1167" w:type="dxa"/>
            <w:vAlign w:val="center"/>
          </w:tcPr>
          <w:p w:rsidR="006D14D3" w:rsidRPr="00880CEF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+ 0.57</w:t>
            </w:r>
          </w:p>
        </w:tc>
        <w:tc>
          <w:tcPr>
            <w:tcW w:w="1101" w:type="dxa"/>
            <w:vAlign w:val="center"/>
          </w:tcPr>
          <w:p w:rsidR="006D14D3" w:rsidRPr="00880CEF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+ 0.31</w:t>
            </w:r>
          </w:p>
        </w:tc>
        <w:tc>
          <w:tcPr>
            <w:tcW w:w="1087" w:type="dxa"/>
            <w:vAlign w:val="center"/>
          </w:tcPr>
          <w:p w:rsidR="006D14D3" w:rsidRPr="00880CEF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+ 0.47</w:t>
            </w:r>
          </w:p>
        </w:tc>
      </w:tr>
      <w:tr w:rsidR="0034382A" w:rsidRPr="00880CEF" w:rsidTr="00880CEF">
        <w:trPr>
          <w:jc w:val="center"/>
        </w:trPr>
        <w:tc>
          <w:tcPr>
            <w:tcW w:w="1201" w:type="dxa"/>
            <w:vAlign w:val="center"/>
          </w:tcPr>
          <w:p w:rsidR="009F77D0" w:rsidRPr="00880CEF" w:rsidRDefault="009F77D0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أيلول</w:t>
            </w:r>
          </w:p>
        </w:tc>
        <w:tc>
          <w:tcPr>
            <w:tcW w:w="990" w:type="dxa"/>
            <w:vAlign w:val="center"/>
          </w:tcPr>
          <w:p w:rsidR="009F77D0" w:rsidRPr="00880CEF" w:rsidRDefault="009F77D0" w:rsidP="009F77D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+ 0.65</w:t>
            </w:r>
          </w:p>
        </w:tc>
        <w:tc>
          <w:tcPr>
            <w:tcW w:w="1167" w:type="dxa"/>
            <w:vAlign w:val="center"/>
          </w:tcPr>
          <w:p w:rsidR="009F77D0" w:rsidRPr="00880CEF" w:rsidRDefault="009F77D0" w:rsidP="009F77D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+ 0.14</w:t>
            </w:r>
          </w:p>
        </w:tc>
        <w:tc>
          <w:tcPr>
            <w:tcW w:w="1101" w:type="dxa"/>
            <w:vAlign w:val="center"/>
          </w:tcPr>
          <w:p w:rsidR="009F77D0" w:rsidRPr="00880CEF" w:rsidRDefault="009F77D0" w:rsidP="0034382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4382A"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1.39</w:t>
            </w:r>
          </w:p>
        </w:tc>
        <w:tc>
          <w:tcPr>
            <w:tcW w:w="1087" w:type="dxa"/>
            <w:vAlign w:val="center"/>
          </w:tcPr>
          <w:p w:rsidR="009F77D0" w:rsidRPr="00880CEF" w:rsidRDefault="009F77D0" w:rsidP="0034382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4382A" w:rsidRPr="00880CE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0.28</w:t>
            </w:r>
          </w:p>
        </w:tc>
      </w:tr>
    </w:tbl>
    <w:p w:rsidR="00216A88" w:rsidRPr="00880CEF" w:rsidRDefault="00216A88" w:rsidP="00880CEF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0"/>
          <w:szCs w:val="10"/>
          <w:rtl/>
        </w:rPr>
      </w:pPr>
      <w:bookmarkStart w:id="0" w:name="OLE_LINK5"/>
      <w:bookmarkStart w:id="1" w:name="OLE_LINK6"/>
    </w:p>
    <w:p w:rsidR="00EB5456" w:rsidRPr="00880CEF" w:rsidRDefault="00EB5456" w:rsidP="00EA0E55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المستهلك في فلسطين خلال الأشهر </w:t>
      </w:r>
      <w:r w:rsidR="00EA0E55" w:rsidRPr="00880CE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r w:rsidR="00501806"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>-</w:t>
      </w: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EA0E55" w:rsidRPr="00880CE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197130" w:rsidRPr="00880CEF" w:rsidRDefault="00EB5456" w:rsidP="00880CE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880CEF">
        <w:rPr>
          <w:rFonts w:ascii="Simplified Arabic" w:hAnsi="Simplified Arabic" w:cs="Simplified Arabic"/>
          <w:b/>
          <w:bCs/>
          <w:sz w:val="25"/>
          <w:szCs w:val="25"/>
          <w:rtl/>
        </w:rPr>
        <w:t>(سنة الأساس 2010 = 100)</w:t>
      </w: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5376"/>
      </w:tblGrid>
      <w:tr w:rsidR="00197130" w:rsidTr="00C8412C">
        <w:trPr>
          <w:jc w:val="center"/>
        </w:trPr>
        <w:tc>
          <w:tcPr>
            <w:tcW w:w="4416" w:type="dxa"/>
          </w:tcPr>
          <w:p w:rsidR="00197130" w:rsidRDefault="00197130" w:rsidP="00197130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97130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276600" cy="227647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EB5456" w:rsidRPr="00D91D99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</w:rPr>
      </w:pPr>
      <w:r w:rsidRPr="00D91D99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ملاحظات:</w:t>
      </w:r>
    </w:p>
    <w:p w:rsidR="00EB5456" w:rsidRPr="00880CEF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880CEF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880CEF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880CEF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EB5456" w:rsidRPr="00880CEF" w:rsidRDefault="00EB5456" w:rsidP="00880CE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880CEF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880CEF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197130" w:rsidRPr="00880CEF" w:rsidRDefault="00197130" w:rsidP="0019713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  <w:r w:rsidRPr="00880CEF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ar-SA"/>
        </w:rPr>
        <w:t>تنويه:</w:t>
      </w:r>
    </w:p>
    <w:p w:rsidR="00EB5456" w:rsidRPr="00880CEF" w:rsidRDefault="00EB5456" w:rsidP="009F77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880CEF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sectPr w:rsidR="00EB5456" w:rsidRPr="00880CEF" w:rsidSect="00880CEF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1B" w:rsidRDefault="005F381B" w:rsidP="0089530C">
      <w:r>
        <w:separator/>
      </w:r>
    </w:p>
  </w:endnote>
  <w:endnote w:type="continuationSeparator" w:id="0">
    <w:p w:rsidR="005F381B" w:rsidRDefault="005F381B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A9" w:rsidRDefault="00045670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1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9A9" w:rsidRDefault="00045670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81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9A9" w:rsidRDefault="005819A9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A9" w:rsidRDefault="00045670" w:rsidP="00D91D99">
    <w:pPr>
      <w:pStyle w:val="Footer"/>
      <w:framePr w:wrap="none" w:vAnchor="text" w:hAnchor="page" w:x="5881" w:y="451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81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D99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5819A9" w:rsidRDefault="00D91D99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-390525</wp:posOffset>
          </wp:positionV>
          <wp:extent cx="7543800" cy="87630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34.75pt;margin-top:-33pt;width:107.9pt;height:27.7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5819A9" w:rsidRDefault="005819A9" w:rsidP="004D61A9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12/10/2017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1B" w:rsidRDefault="005F381B" w:rsidP="0089530C">
      <w:r>
        <w:separator/>
      </w:r>
    </w:p>
  </w:footnote>
  <w:footnote w:type="continuationSeparator" w:id="0">
    <w:p w:rsidR="005F381B" w:rsidRDefault="005F381B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A9" w:rsidRDefault="005819A9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-440690</wp:posOffset>
          </wp:positionV>
          <wp:extent cx="7581265" cy="1295400"/>
          <wp:effectExtent l="1905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5670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045670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5819A9" w:rsidRDefault="005819A9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409F9"/>
    <w:rsid w:val="00045670"/>
    <w:rsid w:val="00066B9A"/>
    <w:rsid w:val="000753B8"/>
    <w:rsid w:val="000B0833"/>
    <w:rsid w:val="000B171B"/>
    <w:rsid w:val="000F0A69"/>
    <w:rsid w:val="000F2B27"/>
    <w:rsid w:val="000F44DB"/>
    <w:rsid w:val="001070A1"/>
    <w:rsid w:val="001156C2"/>
    <w:rsid w:val="00133A6B"/>
    <w:rsid w:val="00164DF7"/>
    <w:rsid w:val="00180D60"/>
    <w:rsid w:val="00183FC3"/>
    <w:rsid w:val="00197130"/>
    <w:rsid w:val="001A538A"/>
    <w:rsid w:val="0020755C"/>
    <w:rsid w:val="00215983"/>
    <w:rsid w:val="00216A88"/>
    <w:rsid w:val="002662AF"/>
    <w:rsid w:val="00273925"/>
    <w:rsid w:val="00284451"/>
    <w:rsid w:val="002A334A"/>
    <w:rsid w:val="002B1856"/>
    <w:rsid w:val="002C2373"/>
    <w:rsid w:val="002D2E6B"/>
    <w:rsid w:val="003261C5"/>
    <w:rsid w:val="00332C2B"/>
    <w:rsid w:val="00336377"/>
    <w:rsid w:val="0034382A"/>
    <w:rsid w:val="00344B51"/>
    <w:rsid w:val="00346CBA"/>
    <w:rsid w:val="003567A3"/>
    <w:rsid w:val="003717C5"/>
    <w:rsid w:val="00373661"/>
    <w:rsid w:val="00374B91"/>
    <w:rsid w:val="003B68AD"/>
    <w:rsid w:val="003C749E"/>
    <w:rsid w:val="003D15F4"/>
    <w:rsid w:val="003E6EF8"/>
    <w:rsid w:val="00403249"/>
    <w:rsid w:val="0043166F"/>
    <w:rsid w:val="0043593A"/>
    <w:rsid w:val="0047198E"/>
    <w:rsid w:val="004878F9"/>
    <w:rsid w:val="004879CD"/>
    <w:rsid w:val="00491506"/>
    <w:rsid w:val="004A7EF8"/>
    <w:rsid w:val="004C5387"/>
    <w:rsid w:val="004D61A9"/>
    <w:rsid w:val="004E20E3"/>
    <w:rsid w:val="004F6543"/>
    <w:rsid w:val="00501806"/>
    <w:rsid w:val="00506AD9"/>
    <w:rsid w:val="00544D02"/>
    <w:rsid w:val="00555B1C"/>
    <w:rsid w:val="005819A9"/>
    <w:rsid w:val="005B7152"/>
    <w:rsid w:val="005F381B"/>
    <w:rsid w:val="00606C0A"/>
    <w:rsid w:val="006604BA"/>
    <w:rsid w:val="006A5C89"/>
    <w:rsid w:val="006B3767"/>
    <w:rsid w:val="006D14D3"/>
    <w:rsid w:val="006F3D1E"/>
    <w:rsid w:val="006F4D70"/>
    <w:rsid w:val="00703C98"/>
    <w:rsid w:val="00716017"/>
    <w:rsid w:val="00717991"/>
    <w:rsid w:val="007230D4"/>
    <w:rsid w:val="00731C12"/>
    <w:rsid w:val="0073710E"/>
    <w:rsid w:val="007441E1"/>
    <w:rsid w:val="00756231"/>
    <w:rsid w:val="007634AD"/>
    <w:rsid w:val="00787D17"/>
    <w:rsid w:val="00791F9B"/>
    <w:rsid w:val="007D3C37"/>
    <w:rsid w:val="007E4D45"/>
    <w:rsid w:val="007E5AC9"/>
    <w:rsid w:val="007F7D6B"/>
    <w:rsid w:val="00825D5E"/>
    <w:rsid w:val="00880CEF"/>
    <w:rsid w:val="00880E5E"/>
    <w:rsid w:val="008813B3"/>
    <w:rsid w:val="0089530C"/>
    <w:rsid w:val="008A456C"/>
    <w:rsid w:val="008D58E6"/>
    <w:rsid w:val="00927B97"/>
    <w:rsid w:val="0094463A"/>
    <w:rsid w:val="00947D6F"/>
    <w:rsid w:val="009709C5"/>
    <w:rsid w:val="00990944"/>
    <w:rsid w:val="00992EB1"/>
    <w:rsid w:val="009B2B6C"/>
    <w:rsid w:val="009B7F79"/>
    <w:rsid w:val="009C1A1C"/>
    <w:rsid w:val="009F77D0"/>
    <w:rsid w:val="00A006DA"/>
    <w:rsid w:val="00A06ACF"/>
    <w:rsid w:val="00A21B0D"/>
    <w:rsid w:val="00A50D03"/>
    <w:rsid w:val="00AA04B1"/>
    <w:rsid w:val="00AC5EC2"/>
    <w:rsid w:val="00AE6ED6"/>
    <w:rsid w:val="00B11935"/>
    <w:rsid w:val="00B35121"/>
    <w:rsid w:val="00B9409D"/>
    <w:rsid w:val="00BA70A6"/>
    <w:rsid w:val="00BC4AED"/>
    <w:rsid w:val="00C10666"/>
    <w:rsid w:val="00C3049D"/>
    <w:rsid w:val="00C6157A"/>
    <w:rsid w:val="00C73AB4"/>
    <w:rsid w:val="00C76741"/>
    <w:rsid w:val="00C82E36"/>
    <w:rsid w:val="00C8412C"/>
    <w:rsid w:val="00D03463"/>
    <w:rsid w:val="00D257CE"/>
    <w:rsid w:val="00D50CEE"/>
    <w:rsid w:val="00D84F6F"/>
    <w:rsid w:val="00D91D99"/>
    <w:rsid w:val="00DD710B"/>
    <w:rsid w:val="00DE34F8"/>
    <w:rsid w:val="00DF1948"/>
    <w:rsid w:val="00E316C4"/>
    <w:rsid w:val="00E76D45"/>
    <w:rsid w:val="00EA0E55"/>
    <w:rsid w:val="00EB5456"/>
    <w:rsid w:val="00ED290A"/>
    <w:rsid w:val="00EE0530"/>
    <w:rsid w:val="00F21F96"/>
    <w:rsid w:val="00F25427"/>
    <w:rsid w:val="00F45F27"/>
    <w:rsid w:val="00F56F30"/>
    <w:rsid w:val="00F670EB"/>
    <w:rsid w:val="00F9284D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75740532433473"/>
          <c:y val="5.5516897597102779E-2"/>
          <c:w val="0.77945744281964768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811773528308997E-2"/>
                  <c:y val="-4.3213743736578374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0"/>
                  <c:y val="-5.4721832498210485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sz="1000"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أيلول 2016</c:v>
                </c:pt>
                <c:pt idx="1">
                  <c:v>تشرين أول 2016</c:v>
                </c:pt>
                <c:pt idx="2">
                  <c:v>تشرين ثاني 2016</c:v>
                </c:pt>
                <c:pt idx="3">
                  <c:v>كانون أول 2016</c:v>
                </c:pt>
                <c:pt idx="4">
                  <c:v>كانون ثاني 2017</c:v>
                </c:pt>
                <c:pt idx="5">
                  <c:v>شباط 2017</c:v>
                </c:pt>
                <c:pt idx="6">
                  <c:v>آذار 2017</c:v>
                </c:pt>
                <c:pt idx="7">
                  <c:v>نيسان 2017</c:v>
                </c:pt>
                <c:pt idx="8">
                  <c:v>أيار 2017</c:v>
                </c:pt>
                <c:pt idx="9">
                  <c:v>حزيران 2017</c:v>
                </c:pt>
                <c:pt idx="10">
                  <c:v>تموز 2017</c:v>
                </c:pt>
                <c:pt idx="11">
                  <c:v>آب 2017</c:v>
                </c:pt>
                <c:pt idx="12">
                  <c:v>أيلول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111.31</c:v>
                </c:pt>
                <c:pt idx="1">
                  <c:v>110.3</c:v>
                </c:pt>
                <c:pt idx="2">
                  <c:v>110.21000000000002</c:v>
                </c:pt>
                <c:pt idx="3">
                  <c:v>110.52</c:v>
                </c:pt>
                <c:pt idx="4">
                  <c:v>110.66999999999999</c:v>
                </c:pt>
                <c:pt idx="5">
                  <c:v>111.35262359633445</c:v>
                </c:pt>
                <c:pt idx="6">
                  <c:v>112.55</c:v>
                </c:pt>
                <c:pt idx="7">
                  <c:v>111.98</c:v>
                </c:pt>
                <c:pt idx="8">
                  <c:v>111.04</c:v>
                </c:pt>
                <c:pt idx="9">
                  <c:v>109.98</c:v>
                </c:pt>
                <c:pt idx="10">
                  <c:v>109.82</c:v>
                </c:pt>
                <c:pt idx="11">
                  <c:v>110.43</c:v>
                </c:pt>
                <c:pt idx="12">
                  <c:v>111.14999999999999</c:v>
                </c:pt>
              </c:numCache>
            </c:numRef>
          </c:val>
        </c:ser>
        <c:marker val="1"/>
        <c:axId val="66766720"/>
        <c:axId val="66768256"/>
      </c:lineChart>
      <c:catAx>
        <c:axId val="66766720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66768256"/>
        <c:crosses val="autoZero"/>
        <c:auto val="1"/>
        <c:lblAlgn val="ctr"/>
        <c:lblOffset val="100"/>
        <c:tickLblSkip val="1"/>
        <c:tickMarkSkip val="1"/>
      </c:catAx>
      <c:valAx>
        <c:axId val="6676825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884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66766720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ACA0-E04F-4127-A979-E17025EA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2017-10-10T04:59:00Z</cp:lastPrinted>
  <dcterms:created xsi:type="dcterms:W3CDTF">2017-10-11T10:05:00Z</dcterms:created>
  <dcterms:modified xsi:type="dcterms:W3CDTF">2017-10-11T10:05:00Z</dcterms:modified>
</cp:coreProperties>
</file>