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D5" w:rsidRPr="00B86CD1" w:rsidRDefault="003C25D5" w:rsidP="003C25D5">
      <w:pPr>
        <w:rPr>
          <w:rtl/>
          <w:lang w:eastAsia="en-US"/>
        </w:rPr>
      </w:pPr>
    </w:p>
    <w:p w:rsidR="00D81801" w:rsidRPr="00C172B4" w:rsidRDefault="00D81801" w:rsidP="00D8180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C172B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التقديرات الأولية للحسابات القومية الربعية، للربع الأول، </w:t>
      </w:r>
      <w:r w:rsidRPr="00C172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2019</w:t>
      </w:r>
    </w:p>
    <w:p w:rsidR="00D81801" w:rsidRPr="00D81801" w:rsidRDefault="00D81801" w:rsidP="00D81801">
      <w:pPr>
        <w:pStyle w:val="BodyText"/>
        <w:jc w:val="center"/>
        <w:rPr>
          <w:rFonts w:hint="cs"/>
          <w:b/>
          <w:bCs/>
          <w:sz w:val="16"/>
          <w:szCs w:val="16"/>
          <w:rtl/>
        </w:rPr>
      </w:pPr>
    </w:p>
    <w:p w:rsidR="00D81801" w:rsidRDefault="003C25D5" w:rsidP="00D81801">
      <w:pPr>
        <w:pStyle w:val="BodyText"/>
        <w:jc w:val="center"/>
        <w:rPr>
          <w:rFonts w:ascii="Simplified Arabic" w:hAnsi="Simplified Arabic" w:hint="cs"/>
          <w:b/>
          <w:bCs/>
          <w:szCs w:val="28"/>
          <w:rtl/>
        </w:rPr>
      </w:pPr>
      <w:r w:rsidRPr="00D81801">
        <w:rPr>
          <w:rFonts w:ascii="Simplified Arabic" w:hAnsi="Simplified Arabic"/>
          <w:b/>
          <w:bCs/>
          <w:szCs w:val="28"/>
          <w:rtl/>
        </w:rPr>
        <w:t>إنخفاض الناتج المحلي الإجمالي بالأسعار الثابتة بنسبة 3% في الضفة الغربية و</w:t>
      </w:r>
      <w:r w:rsidRPr="00D81801">
        <w:rPr>
          <w:rFonts w:ascii="Simplified Arabic" w:hAnsi="Simplified Arabic"/>
          <w:b/>
          <w:bCs/>
          <w:szCs w:val="28"/>
        </w:rPr>
        <w:t>0.3</w:t>
      </w:r>
      <w:r w:rsidRPr="00D81801">
        <w:rPr>
          <w:rFonts w:ascii="Simplified Arabic" w:hAnsi="Simplified Arabic"/>
          <w:b/>
          <w:bCs/>
          <w:szCs w:val="28"/>
          <w:rtl/>
        </w:rPr>
        <w:t>% في قطاع غزة خلال</w:t>
      </w:r>
    </w:p>
    <w:p w:rsidR="003C25D5" w:rsidRPr="00D81801" w:rsidRDefault="003C25D5" w:rsidP="00D81801">
      <w:pPr>
        <w:pStyle w:val="BodyText"/>
        <w:jc w:val="center"/>
        <w:rPr>
          <w:rFonts w:ascii="Simplified Arabic" w:hAnsi="Simplified Arabic"/>
          <w:b/>
          <w:bCs/>
          <w:szCs w:val="28"/>
          <w:rtl/>
        </w:rPr>
      </w:pPr>
      <w:r w:rsidRPr="00D81801">
        <w:rPr>
          <w:rFonts w:ascii="Simplified Arabic" w:hAnsi="Simplified Arabic"/>
          <w:b/>
          <w:bCs/>
          <w:szCs w:val="28"/>
          <w:rtl/>
        </w:rPr>
        <w:t>الربع الأول 2019 مقارنة مع الربع الرابع 2018</w:t>
      </w:r>
    </w:p>
    <w:p w:rsidR="003C25D5" w:rsidRPr="00D81801" w:rsidRDefault="003C25D5" w:rsidP="00D81801">
      <w:pPr>
        <w:pStyle w:val="BodyText"/>
        <w:jc w:val="center"/>
        <w:rPr>
          <w:rFonts w:ascii="Simplified Arabic" w:hAnsi="Simplified Arabic"/>
          <w:sz w:val="16"/>
          <w:szCs w:val="16"/>
          <w:rtl/>
        </w:rPr>
      </w:pPr>
    </w:p>
    <w:p w:rsidR="003C25D5" w:rsidRDefault="003C25D5" w:rsidP="003C25D5">
      <w:pPr>
        <w:pStyle w:val="BodyText"/>
        <w:jc w:val="both"/>
        <w:rPr>
          <w:sz w:val="24"/>
          <w:szCs w:val="24"/>
          <w:rtl/>
        </w:rPr>
      </w:pPr>
      <w:r w:rsidRPr="00B86CD1">
        <w:rPr>
          <w:rFonts w:hint="cs"/>
          <w:sz w:val="24"/>
          <w:szCs w:val="24"/>
          <w:rtl/>
        </w:rPr>
        <w:t xml:space="preserve">أشارت التقديرات الأولية بالأسعار الثابتة إلى انخفاض الناتج المحلي الإجمالي لفلسطين* بنسبة </w:t>
      </w:r>
      <w:r>
        <w:rPr>
          <w:rFonts w:hint="cs"/>
          <w:sz w:val="24"/>
          <w:szCs w:val="24"/>
          <w:rtl/>
        </w:rPr>
        <w:t>2.5</w:t>
      </w:r>
      <w:r w:rsidRPr="00B86CD1">
        <w:rPr>
          <w:rFonts w:hint="cs"/>
          <w:sz w:val="24"/>
          <w:szCs w:val="24"/>
          <w:rtl/>
        </w:rPr>
        <w:t>% خلال الربع الأول من عام 2019 مقارنة مع الربع الرابع 2018 بالأسعار الثابتة</w:t>
      </w:r>
      <w:r>
        <w:rPr>
          <w:rFonts w:hint="cs"/>
          <w:sz w:val="24"/>
          <w:szCs w:val="24"/>
          <w:rtl/>
        </w:rPr>
        <w:t xml:space="preserve">، (تراجعت معظم الانشطة الاقتصادية وكان التراجع الأهم في أنشطة الزراعة والحراجة وصيد الأسماك، </w:t>
      </w:r>
      <w:r w:rsidRPr="007A0E11">
        <w:rPr>
          <w:sz w:val="24"/>
          <w:szCs w:val="24"/>
          <w:rtl/>
        </w:rPr>
        <w:t xml:space="preserve">التعدين </w:t>
      </w:r>
      <w:r>
        <w:rPr>
          <w:rFonts w:hint="cs"/>
          <w:sz w:val="24"/>
          <w:szCs w:val="24"/>
          <w:rtl/>
        </w:rPr>
        <w:t>و</w:t>
      </w:r>
      <w:r w:rsidRPr="007A0E11">
        <w:rPr>
          <w:sz w:val="24"/>
          <w:szCs w:val="24"/>
          <w:rtl/>
        </w:rPr>
        <w:t>الصناعة التحويلية والمياه والكهرباء</w:t>
      </w:r>
      <w:r>
        <w:rPr>
          <w:rFonts w:hint="cs"/>
          <w:sz w:val="24"/>
          <w:szCs w:val="24"/>
          <w:rtl/>
        </w:rPr>
        <w:t xml:space="preserve">، </w:t>
      </w:r>
      <w:r w:rsidRPr="009B5874">
        <w:rPr>
          <w:sz w:val="24"/>
          <w:szCs w:val="24"/>
          <w:rtl/>
        </w:rPr>
        <w:t>تجارة الجملة والتجزئة واصلاح المركبات والدراجات النارية</w:t>
      </w:r>
      <w:r>
        <w:rPr>
          <w:rFonts w:hint="cs"/>
          <w:sz w:val="24"/>
          <w:szCs w:val="24"/>
          <w:rtl/>
        </w:rPr>
        <w:t>، الإنشاءات).</w:t>
      </w:r>
      <w:r w:rsidRPr="00B86CD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</w:p>
    <w:p w:rsidR="003C25D5" w:rsidRPr="00D81801" w:rsidRDefault="003C25D5" w:rsidP="003C25D5">
      <w:pPr>
        <w:pStyle w:val="BodyText"/>
        <w:jc w:val="both"/>
        <w:rPr>
          <w:sz w:val="16"/>
          <w:szCs w:val="16"/>
          <w:rtl/>
        </w:rPr>
      </w:pPr>
    </w:p>
    <w:p w:rsidR="003C25D5" w:rsidRPr="00B86CD1" w:rsidRDefault="003C25D5" w:rsidP="003C25D5">
      <w:pPr>
        <w:pStyle w:val="BodyText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في المقابل ظهر ارتفاعاً في الناتج المحلي الاجمالي </w:t>
      </w:r>
      <w:r w:rsidRPr="00B86CD1">
        <w:rPr>
          <w:rFonts w:hint="cs"/>
          <w:sz w:val="24"/>
          <w:szCs w:val="24"/>
          <w:rtl/>
        </w:rPr>
        <w:t>خلال الربع الأول من عام 2019 بنسبة</w:t>
      </w:r>
      <w:r w:rsidRPr="00B86CD1">
        <w:rPr>
          <w:rFonts w:cs="Times New Roman" w:hint="cs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3.8</w:t>
      </w:r>
      <w:r w:rsidRPr="00B86CD1">
        <w:rPr>
          <w:rFonts w:cs="Times New Roman" w:hint="cs"/>
          <w:sz w:val="24"/>
          <w:szCs w:val="24"/>
          <w:rtl/>
        </w:rPr>
        <w:t>%</w:t>
      </w:r>
      <w:r w:rsidRPr="00B86CD1">
        <w:rPr>
          <w:rFonts w:hint="cs"/>
          <w:sz w:val="24"/>
          <w:szCs w:val="24"/>
          <w:rtl/>
        </w:rPr>
        <w:t xml:space="preserve"> بالمقارنة مع الربع ال</w:t>
      </w:r>
      <w:r>
        <w:rPr>
          <w:rFonts w:hint="cs"/>
          <w:sz w:val="24"/>
          <w:szCs w:val="24"/>
          <w:rtl/>
        </w:rPr>
        <w:t>مناظر</w:t>
      </w:r>
      <w:r w:rsidRPr="00B86CD1">
        <w:rPr>
          <w:rFonts w:hint="cs"/>
          <w:sz w:val="24"/>
          <w:szCs w:val="24"/>
          <w:rtl/>
        </w:rPr>
        <w:t xml:space="preserve"> 2018</w:t>
      </w:r>
      <w:r>
        <w:rPr>
          <w:rFonts w:hint="cs"/>
          <w:sz w:val="24"/>
          <w:szCs w:val="24"/>
          <w:rtl/>
        </w:rPr>
        <w:t xml:space="preserve"> والتي تستثني أثر الموسمية</w:t>
      </w:r>
      <w:r w:rsidRPr="00B86CD1">
        <w:rPr>
          <w:rFonts w:hint="cs"/>
          <w:sz w:val="24"/>
          <w:szCs w:val="24"/>
          <w:rtl/>
        </w:rPr>
        <w:t xml:space="preserve">، علماً أن سنة الأساس </w:t>
      </w:r>
      <w:r w:rsidRPr="00B86CD1">
        <w:rPr>
          <w:rFonts w:cs="Times New Roman" w:hint="cs"/>
          <w:sz w:val="24"/>
          <w:szCs w:val="24"/>
          <w:rtl/>
        </w:rPr>
        <w:t>2015</w:t>
      </w:r>
      <w:r w:rsidRPr="00B86CD1">
        <w:rPr>
          <w:rFonts w:hint="cs"/>
          <w:sz w:val="24"/>
          <w:szCs w:val="24"/>
          <w:rtl/>
        </w:rPr>
        <w:t>.  حيث بلغت قيمة الناتج المحلي الإجمالي خلال الربع الأول من العام 2019 بالأسعار الثابتة في الضفة الغربية</w:t>
      </w:r>
      <w:r w:rsidRPr="00B86CD1">
        <w:rPr>
          <w:rFonts w:hint="cs"/>
          <w:b/>
          <w:bCs/>
          <w:sz w:val="24"/>
          <w:szCs w:val="24"/>
          <w:rtl/>
        </w:rPr>
        <w:t>*</w:t>
      </w:r>
      <w:r w:rsidRPr="00B86CD1">
        <w:rPr>
          <w:rFonts w:hint="cs"/>
          <w:sz w:val="24"/>
          <w:szCs w:val="24"/>
          <w:rtl/>
        </w:rPr>
        <w:t xml:space="preserve"> 2,</w:t>
      </w:r>
      <w:r>
        <w:rPr>
          <w:rFonts w:hint="cs"/>
          <w:sz w:val="24"/>
          <w:szCs w:val="24"/>
          <w:rtl/>
        </w:rPr>
        <w:t>800</w:t>
      </w:r>
      <w:r w:rsidRPr="00B86CD1">
        <w:rPr>
          <w:rFonts w:hint="cs"/>
          <w:sz w:val="24"/>
          <w:szCs w:val="24"/>
          <w:rtl/>
        </w:rPr>
        <w:t xml:space="preserve"> مليون دولار أمريكي، وفي قطاع غزة 70</w:t>
      </w:r>
      <w:r>
        <w:rPr>
          <w:rFonts w:hint="cs"/>
          <w:sz w:val="24"/>
          <w:szCs w:val="24"/>
          <w:rtl/>
        </w:rPr>
        <w:t>5</w:t>
      </w:r>
      <w:r w:rsidRPr="00B86CD1">
        <w:rPr>
          <w:rFonts w:hint="cs"/>
          <w:sz w:val="24"/>
          <w:szCs w:val="24"/>
          <w:rtl/>
        </w:rPr>
        <w:t xml:space="preserve"> مليون دولار أمريكي. </w:t>
      </w:r>
    </w:p>
    <w:p w:rsidR="003C25D5" w:rsidRPr="00D81801" w:rsidRDefault="003C25D5" w:rsidP="003C25D5">
      <w:pPr>
        <w:pStyle w:val="BodyText"/>
        <w:jc w:val="both"/>
        <w:rPr>
          <w:sz w:val="16"/>
          <w:szCs w:val="16"/>
          <w:rtl/>
        </w:rPr>
      </w:pPr>
    </w:p>
    <w:p w:rsidR="003C25D5" w:rsidRPr="00D81801" w:rsidRDefault="003C25D5" w:rsidP="003C25D5">
      <w:pPr>
        <w:pStyle w:val="BodyText"/>
        <w:jc w:val="both"/>
        <w:rPr>
          <w:b/>
          <w:bCs/>
          <w:sz w:val="26"/>
          <w:szCs w:val="26"/>
          <w:rtl/>
        </w:rPr>
      </w:pPr>
      <w:r w:rsidRPr="00D81801">
        <w:rPr>
          <w:rFonts w:hint="cs"/>
          <w:b/>
          <w:bCs/>
          <w:sz w:val="26"/>
          <w:szCs w:val="26"/>
          <w:rtl/>
        </w:rPr>
        <w:t xml:space="preserve">انخفاض نصيب الفرد من الناتج المحلي الإجمالي </w:t>
      </w:r>
    </w:p>
    <w:p w:rsidR="003C25D5" w:rsidRPr="00B86CD1" w:rsidRDefault="003C25D5" w:rsidP="003C25D5">
      <w:pPr>
        <w:pStyle w:val="BodyText"/>
        <w:jc w:val="both"/>
        <w:rPr>
          <w:sz w:val="24"/>
          <w:szCs w:val="24"/>
          <w:rtl/>
        </w:rPr>
      </w:pPr>
      <w:r w:rsidRPr="00B86CD1">
        <w:rPr>
          <w:rFonts w:hint="cs"/>
          <w:sz w:val="24"/>
          <w:szCs w:val="24"/>
          <w:rtl/>
        </w:rPr>
        <w:t>بلغ نصيب الفرد من الناتج المحلي الإجمالي في فلسطين* بالأسعار الثابتة 7</w:t>
      </w:r>
      <w:r>
        <w:rPr>
          <w:rFonts w:hint="cs"/>
          <w:sz w:val="24"/>
          <w:szCs w:val="24"/>
          <w:rtl/>
        </w:rPr>
        <w:t>55</w:t>
      </w:r>
      <w:r w:rsidRPr="00B86CD1">
        <w:rPr>
          <w:rFonts w:hint="cs"/>
          <w:sz w:val="24"/>
          <w:szCs w:val="24"/>
          <w:rtl/>
        </w:rPr>
        <w:t xml:space="preserve"> دولار أمريكي خلال الربع الأول من العام 2019 مسجلاً انخفاضاً بنسبة </w:t>
      </w:r>
      <w:r>
        <w:rPr>
          <w:rFonts w:hint="cs"/>
          <w:sz w:val="24"/>
          <w:szCs w:val="24"/>
          <w:rtl/>
        </w:rPr>
        <w:t>3</w:t>
      </w:r>
      <w:r w:rsidRPr="00B86CD1">
        <w:rPr>
          <w:rFonts w:hint="cs"/>
          <w:sz w:val="24"/>
          <w:szCs w:val="24"/>
          <w:rtl/>
        </w:rPr>
        <w:t xml:space="preserve">% بالمقارنة مع الربع الرابع 2018، حيث بلغ نصيب الفرد من الناتج المحلي الإجمالي في الضفة الغربية بالأسعار الثابتة </w:t>
      </w:r>
      <w:r w:rsidRPr="00B86CD1">
        <w:rPr>
          <w:sz w:val="24"/>
          <w:szCs w:val="24"/>
        </w:rPr>
        <w:t>1,0</w:t>
      </w:r>
      <w:r>
        <w:rPr>
          <w:sz w:val="24"/>
          <w:szCs w:val="24"/>
        </w:rPr>
        <w:t>48</w:t>
      </w:r>
      <w:r w:rsidRPr="00B86CD1">
        <w:rPr>
          <w:rFonts w:hint="cs"/>
          <w:sz w:val="24"/>
          <w:szCs w:val="24"/>
          <w:rtl/>
        </w:rPr>
        <w:t xml:space="preserve"> دولار أمريكي خلال الربع الأول من عام 2019، بنسبة</w:t>
      </w:r>
      <w:r>
        <w:rPr>
          <w:rFonts w:hint="cs"/>
          <w:sz w:val="24"/>
          <w:szCs w:val="24"/>
          <w:rtl/>
        </w:rPr>
        <w:t xml:space="preserve"> تراجع بلغت</w:t>
      </w:r>
      <w:r w:rsidRPr="00B86CD1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3.4</w:t>
      </w:r>
      <w:r w:rsidRPr="00B86CD1">
        <w:rPr>
          <w:rFonts w:hint="cs"/>
          <w:sz w:val="24"/>
          <w:szCs w:val="24"/>
          <w:rtl/>
        </w:rPr>
        <w:t>% مقارنة مع الربع الرابع 2018، أما في قطاع غزة فقد بلغ نصيب الفرد من الناتج المحلي الإجمالي 35</w:t>
      </w:r>
      <w:r>
        <w:rPr>
          <w:rFonts w:hint="cs"/>
          <w:sz w:val="24"/>
          <w:szCs w:val="24"/>
          <w:rtl/>
        </w:rPr>
        <w:t>8</w:t>
      </w:r>
      <w:r w:rsidRPr="00B86CD1">
        <w:rPr>
          <w:rFonts w:hint="cs"/>
          <w:sz w:val="24"/>
          <w:szCs w:val="24"/>
          <w:rtl/>
        </w:rPr>
        <w:t xml:space="preserve"> دولار أمريكي خلال الربع الأول من عام 2019، </w:t>
      </w:r>
      <w:r>
        <w:rPr>
          <w:rFonts w:hint="cs"/>
          <w:sz w:val="24"/>
          <w:szCs w:val="24"/>
          <w:rtl/>
        </w:rPr>
        <w:t>مسجلاً</w:t>
      </w:r>
      <w:r w:rsidRPr="00B86CD1">
        <w:rPr>
          <w:rFonts w:hint="cs"/>
          <w:sz w:val="24"/>
          <w:szCs w:val="24"/>
          <w:rtl/>
        </w:rPr>
        <w:t xml:space="preserve"> انخفاضاً بنسبة 1% مقارنة مع الربع الرابع 2018.</w:t>
      </w:r>
    </w:p>
    <w:p w:rsidR="003C25D5" w:rsidRPr="00D81801" w:rsidRDefault="003C25D5" w:rsidP="003C25D5">
      <w:pPr>
        <w:pStyle w:val="BodyText"/>
        <w:jc w:val="both"/>
        <w:rPr>
          <w:sz w:val="16"/>
          <w:szCs w:val="16"/>
        </w:rPr>
      </w:pPr>
    </w:p>
    <w:p w:rsidR="003C25D5" w:rsidRPr="00D81801" w:rsidRDefault="003C25D5" w:rsidP="003C25D5">
      <w:pPr>
        <w:pStyle w:val="Heading3"/>
        <w:rPr>
          <w:sz w:val="26"/>
          <w:szCs w:val="26"/>
          <w:rtl/>
        </w:rPr>
      </w:pPr>
      <w:r w:rsidRPr="00D81801">
        <w:rPr>
          <w:rFonts w:hint="cs"/>
          <w:sz w:val="26"/>
          <w:szCs w:val="26"/>
          <w:rtl/>
        </w:rPr>
        <w:t>الاتجاه العام للناتج المحلي الإجمالي حسب الربع في فلسطين* بالأسعار الثابتة، 2015-2019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287"/>
      </w:tblGrid>
      <w:tr w:rsidR="003C25D5" w:rsidRPr="00B86CD1" w:rsidTr="00D81801">
        <w:trPr>
          <w:trHeight w:val="4871"/>
          <w:jc w:val="center"/>
        </w:trPr>
        <w:tc>
          <w:tcPr>
            <w:tcW w:w="9287" w:type="dxa"/>
          </w:tcPr>
          <w:p w:rsidR="003C25D5" w:rsidRPr="00B86CD1" w:rsidRDefault="003C25D5" w:rsidP="00E772EA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86CD1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482590" cy="2743200"/>
                  <wp:effectExtent l="19050" t="0" r="3810" b="0"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C25D5" w:rsidRPr="00B86CD1" w:rsidRDefault="003C25D5" w:rsidP="003C25D5">
      <w:pPr>
        <w:pStyle w:val="ListParagraph"/>
        <w:rPr>
          <w:sz w:val="16"/>
          <w:szCs w:val="16"/>
        </w:rPr>
      </w:pPr>
    </w:p>
    <w:p w:rsidR="00D81801" w:rsidRDefault="00D81801" w:rsidP="003C25D5">
      <w:pPr>
        <w:pStyle w:val="FootnoteText"/>
        <w:bidi/>
        <w:rPr>
          <w:rFonts w:ascii="Simplified Arabic" w:hAnsi="Simplified Arabic" w:hint="cs"/>
          <w:b/>
          <w:bCs/>
          <w:rtl/>
        </w:rPr>
      </w:pPr>
    </w:p>
    <w:p w:rsidR="00E92EB7" w:rsidRPr="003C25D5" w:rsidRDefault="003C25D5" w:rsidP="00D81801">
      <w:pPr>
        <w:pStyle w:val="FootnoteText"/>
        <w:bidi/>
        <w:rPr>
          <w:lang w:val="en-US" w:bidi="ar-SA"/>
        </w:rPr>
      </w:pPr>
      <w:r w:rsidRPr="00B86CD1">
        <w:rPr>
          <w:rStyle w:val="FootnoteReference"/>
          <w:rFonts w:ascii="Simplified Arabic" w:hAnsi="Simplified Arabic"/>
          <w:b/>
          <w:bCs/>
          <w:rtl/>
        </w:rPr>
        <w:t>*</w:t>
      </w:r>
      <w:r w:rsidRPr="00B86CD1">
        <w:rPr>
          <w:rFonts w:hint="cs"/>
          <w:rtl/>
          <w:lang w:val="en-US"/>
        </w:rPr>
        <w:t xml:space="preserve">البيانات لا تشمل </w:t>
      </w:r>
      <w:r w:rsidRPr="00B86CD1">
        <w:rPr>
          <w:rtl/>
        </w:rPr>
        <w:t>ذلك الجزء من محافظة القدس والذي ضم</w:t>
      </w:r>
      <w:r w:rsidRPr="00B86CD1">
        <w:rPr>
          <w:rFonts w:hint="cs"/>
          <w:rtl/>
        </w:rPr>
        <w:t>ه</w:t>
      </w:r>
      <w:r w:rsidRPr="00B86CD1">
        <w:rPr>
          <w:rtl/>
        </w:rPr>
        <w:t xml:space="preserve"> </w:t>
      </w:r>
      <w:r w:rsidRPr="00B86CD1">
        <w:rPr>
          <w:rFonts w:hint="cs"/>
          <w:rtl/>
        </w:rPr>
        <w:t>الاحتلال الإسرائيلي</w:t>
      </w:r>
      <w:r w:rsidRPr="00B86CD1">
        <w:rPr>
          <w:rtl/>
        </w:rPr>
        <w:t xml:space="preserve"> </w:t>
      </w:r>
      <w:r w:rsidRPr="00B86CD1">
        <w:rPr>
          <w:rFonts w:hint="cs"/>
          <w:rtl/>
        </w:rPr>
        <w:t xml:space="preserve">إليه </w:t>
      </w:r>
      <w:r w:rsidRPr="00B86CD1">
        <w:rPr>
          <w:rtl/>
        </w:rPr>
        <w:t>عنوة بعيد احتلاله للضفة الغربية عام 1967.</w:t>
      </w:r>
    </w:p>
    <w:sectPr w:rsidR="00E92EB7" w:rsidRPr="003C25D5" w:rsidSect="00D81801">
      <w:headerReference w:type="default" r:id="rId9"/>
      <w:footerReference w:type="default" r:id="rId10"/>
      <w:pgSz w:w="11907" w:h="16840" w:code="9"/>
      <w:pgMar w:top="720" w:right="720" w:bottom="720" w:left="720" w:header="709" w:footer="148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2A" w:rsidRDefault="0013702A" w:rsidP="003C7BB9">
      <w:r>
        <w:separator/>
      </w:r>
    </w:p>
  </w:endnote>
  <w:endnote w:type="continuationSeparator" w:id="0">
    <w:p w:rsidR="0013702A" w:rsidRDefault="0013702A" w:rsidP="003C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2A" w:rsidRDefault="0013702A" w:rsidP="003C7BB9">
      <w:r>
        <w:separator/>
      </w:r>
    </w:p>
  </w:footnote>
  <w:footnote w:type="continuationSeparator" w:id="0">
    <w:p w:rsidR="0013702A" w:rsidRDefault="0013702A" w:rsidP="003C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 w:rsidP="00BB2E3F">
    <w:pPr>
      <w:pStyle w:val="Header"/>
      <w:rPr>
        <w:sz w:val="16"/>
        <w:szCs w:val="16"/>
      </w:rPr>
    </w:pPr>
  </w:p>
  <w:p w:rsidR="002B3F6A" w:rsidRDefault="002B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076"/>
    <w:multiLevelType w:val="hybridMultilevel"/>
    <w:tmpl w:val="A4A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96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BB9"/>
    <w:rsid w:val="00000C34"/>
    <w:rsid w:val="00000DCE"/>
    <w:rsid w:val="00003EB0"/>
    <w:rsid w:val="00006CBA"/>
    <w:rsid w:val="00006D26"/>
    <w:rsid w:val="00007026"/>
    <w:rsid w:val="000105EB"/>
    <w:rsid w:val="00010DD8"/>
    <w:rsid w:val="000130BC"/>
    <w:rsid w:val="00017A0F"/>
    <w:rsid w:val="00017BAF"/>
    <w:rsid w:val="000246E6"/>
    <w:rsid w:val="00024E6F"/>
    <w:rsid w:val="0002559B"/>
    <w:rsid w:val="00025CC9"/>
    <w:rsid w:val="00027432"/>
    <w:rsid w:val="00030C66"/>
    <w:rsid w:val="000311B6"/>
    <w:rsid w:val="00037BD1"/>
    <w:rsid w:val="0004192D"/>
    <w:rsid w:val="00041BDB"/>
    <w:rsid w:val="0004453F"/>
    <w:rsid w:val="00044C90"/>
    <w:rsid w:val="000528ED"/>
    <w:rsid w:val="00054675"/>
    <w:rsid w:val="0006299D"/>
    <w:rsid w:val="00063D0C"/>
    <w:rsid w:val="00071933"/>
    <w:rsid w:val="00071EA0"/>
    <w:rsid w:val="000722C4"/>
    <w:rsid w:val="000735E0"/>
    <w:rsid w:val="000749A3"/>
    <w:rsid w:val="00074CB3"/>
    <w:rsid w:val="00074EEC"/>
    <w:rsid w:val="00076281"/>
    <w:rsid w:val="0008102C"/>
    <w:rsid w:val="00082991"/>
    <w:rsid w:val="00083447"/>
    <w:rsid w:val="00084916"/>
    <w:rsid w:val="0008557A"/>
    <w:rsid w:val="000855BE"/>
    <w:rsid w:val="00090C59"/>
    <w:rsid w:val="0009163A"/>
    <w:rsid w:val="00091B11"/>
    <w:rsid w:val="00092F0C"/>
    <w:rsid w:val="00093DDD"/>
    <w:rsid w:val="0009612C"/>
    <w:rsid w:val="000963AD"/>
    <w:rsid w:val="00097D21"/>
    <w:rsid w:val="000A04BE"/>
    <w:rsid w:val="000A0E49"/>
    <w:rsid w:val="000A0FC5"/>
    <w:rsid w:val="000A2DE5"/>
    <w:rsid w:val="000A3CD3"/>
    <w:rsid w:val="000A4E2C"/>
    <w:rsid w:val="000A59B8"/>
    <w:rsid w:val="000A5AA4"/>
    <w:rsid w:val="000B0463"/>
    <w:rsid w:val="000B3418"/>
    <w:rsid w:val="000C0D44"/>
    <w:rsid w:val="000C1CB7"/>
    <w:rsid w:val="000C24B0"/>
    <w:rsid w:val="000C2739"/>
    <w:rsid w:val="000C4031"/>
    <w:rsid w:val="000C4E9E"/>
    <w:rsid w:val="000D0FD5"/>
    <w:rsid w:val="000D19C0"/>
    <w:rsid w:val="000D2B49"/>
    <w:rsid w:val="000D42E8"/>
    <w:rsid w:val="000D5C04"/>
    <w:rsid w:val="000F042C"/>
    <w:rsid w:val="000F27CD"/>
    <w:rsid w:val="000F6D70"/>
    <w:rsid w:val="00102900"/>
    <w:rsid w:val="001115CA"/>
    <w:rsid w:val="00111699"/>
    <w:rsid w:val="001122EF"/>
    <w:rsid w:val="0011572D"/>
    <w:rsid w:val="001158DA"/>
    <w:rsid w:val="001179BE"/>
    <w:rsid w:val="00117DB3"/>
    <w:rsid w:val="0012325E"/>
    <w:rsid w:val="00125F5D"/>
    <w:rsid w:val="00127590"/>
    <w:rsid w:val="00127767"/>
    <w:rsid w:val="001302EC"/>
    <w:rsid w:val="001309A8"/>
    <w:rsid w:val="00131532"/>
    <w:rsid w:val="001338F5"/>
    <w:rsid w:val="0013702A"/>
    <w:rsid w:val="001377BD"/>
    <w:rsid w:val="001463C6"/>
    <w:rsid w:val="001466AE"/>
    <w:rsid w:val="00147B53"/>
    <w:rsid w:val="001518FC"/>
    <w:rsid w:val="001522F9"/>
    <w:rsid w:val="0015278B"/>
    <w:rsid w:val="00160512"/>
    <w:rsid w:val="00162291"/>
    <w:rsid w:val="0016418E"/>
    <w:rsid w:val="00167762"/>
    <w:rsid w:val="001721F4"/>
    <w:rsid w:val="00175AFB"/>
    <w:rsid w:val="00176391"/>
    <w:rsid w:val="001838C6"/>
    <w:rsid w:val="00186672"/>
    <w:rsid w:val="00193FF3"/>
    <w:rsid w:val="0019472B"/>
    <w:rsid w:val="00194BC7"/>
    <w:rsid w:val="0019658C"/>
    <w:rsid w:val="0019689A"/>
    <w:rsid w:val="0019727F"/>
    <w:rsid w:val="001A1527"/>
    <w:rsid w:val="001A2002"/>
    <w:rsid w:val="001A227B"/>
    <w:rsid w:val="001A3069"/>
    <w:rsid w:val="001A5E9D"/>
    <w:rsid w:val="001B024A"/>
    <w:rsid w:val="001B40A8"/>
    <w:rsid w:val="001B794A"/>
    <w:rsid w:val="001B7B60"/>
    <w:rsid w:val="001C0DFD"/>
    <w:rsid w:val="001C4747"/>
    <w:rsid w:val="001C50D9"/>
    <w:rsid w:val="001C5CD4"/>
    <w:rsid w:val="001C61E4"/>
    <w:rsid w:val="001C693A"/>
    <w:rsid w:val="001D274F"/>
    <w:rsid w:val="001D28C1"/>
    <w:rsid w:val="001D6B66"/>
    <w:rsid w:val="001E4489"/>
    <w:rsid w:val="001E647F"/>
    <w:rsid w:val="001E69BE"/>
    <w:rsid w:val="001E7E95"/>
    <w:rsid w:val="001F0DC4"/>
    <w:rsid w:val="001F128C"/>
    <w:rsid w:val="001F1555"/>
    <w:rsid w:val="001F1EDA"/>
    <w:rsid w:val="001F5DD5"/>
    <w:rsid w:val="0020117C"/>
    <w:rsid w:val="00202DCE"/>
    <w:rsid w:val="0020363E"/>
    <w:rsid w:val="00205791"/>
    <w:rsid w:val="002131D3"/>
    <w:rsid w:val="00213D96"/>
    <w:rsid w:val="00216A63"/>
    <w:rsid w:val="00220A00"/>
    <w:rsid w:val="002211F5"/>
    <w:rsid w:val="002216B1"/>
    <w:rsid w:val="00221952"/>
    <w:rsid w:val="00221A92"/>
    <w:rsid w:val="002247A2"/>
    <w:rsid w:val="002271A5"/>
    <w:rsid w:val="00230C87"/>
    <w:rsid w:val="00233801"/>
    <w:rsid w:val="00235150"/>
    <w:rsid w:val="002369B5"/>
    <w:rsid w:val="00236FCB"/>
    <w:rsid w:val="00241DDA"/>
    <w:rsid w:val="002421A1"/>
    <w:rsid w:val="00243724"/>
    <w:rsid w:val="0024550A"/>
    <w:rsid w:val="00246D3C"/>
    <w:rsid w:val="002479E6"/>
    <w:rsid w:val="00247CED"/>
    <w:rsid w:val="00250515"/>
    <w:rsid w:val="00250D31"/>
    <w:rsid w:val="00256BF6"/>
    <w:rsid w:val="00257298"/>
    <w:rsid w:val="00257518"/>
    <w:rsid w:val="0025752B"/>
    <w:rsid w:val="00257BE9"/>
    <w:rsid w:val="00260830"/>
    <w:rsid w:val="00261C63"/>
    <w:rsid w:val="00263052"/>
    <w:rsid w:val="00263E99"/>
    <w:rsid w:val="0026577A"/>
    <w:rsid w:val="00265ADE"/>
    <w:rsid w:val="002665C7"/>
    <w:rsid w:val="00266EE0"/>
    <w:rsid w:val="00267DC1"/>
    <w:rsid w:val="00270D99"/>
    <w:rsid w:val="00273686"/>
    <w:rsid w:val="002750EC"/>
    <w:rsid w:val="002773A6"/>
    <w:rsid w:val="00281F23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342B"/>
    <w:rsid w:val="00293CEF"/>
    <w:rsid w:val="002A2D2E"/>
    <w:rsid w:val="002A5F3F"/>
    <w:rsid w:val="002A6829"/>
    <w:rsid w:val="002B3F6A"/>
    <w:rsid w:val="002B5510"/>
    <w:rsid w:val="002C0866"/>
    <w:rsid w:val="002C0CC9"/>
    <w:rsid w:val="002C70F4"/>
    <w:rsid w:val="002D064B"/>
    <w:rsid w:val="002D3FDD"/>
    <w:rsid w:val="002D466A"/>
    <w:rsid w:val="002E0EFC"/>
    <w:rsid w:val="002E4D68"/>
    <w:rsid w:val="002E61B6"/>
    <w:rsid w:val="002F21CE"/>
    <w:rsid w:val="002F57C9"/>
    <w:rsid w:val="002F791C"/>
    <w:rsid w:val="0030197C"/>
    <w:rsid w:val="00305668"/>
    <w:rsid w:val="003059F3"/>
    <w:rsid w:val="0030754E"/>
    <w:rsid w:val="00311C00"/>
    <w:rsid w:val="00316699"/>
    <w:rsid w:val="00323619"/>
    <w:rsid w:val="00326C45"/>
    <w:rsid w:val="00327AD1"/>
    <w:rsid w:val="00331B8D"/>
    <w:rsid w:val="0033445C"/>
    <w:rsid w:val="00335657"/>
    <w:rsid w:val="00336FE0"/>
    <w:rsid w:val="003476D0"/>
    <w:rsid w:val="00347CC3"/>
    <w:rsid w:val="00347E1C"/>
    <w:rsid w:val="00351BB7"/>
    <w:rsid w:val="0035445C"/>
    <w:rsid w:val="003548BD"/>
    <w:rsid w:val="0035750F"/>
    <w:rsid w:val="0036142D"/>
    <w:rsid w:val="003615CD"/>
    <w:rsid w:val="00361737"/>
    <w:rsid w:val="0036338C"/>
    <w:rsid w:val="00365434"/>
    <w:rsid w:val="003659DA"/>
    <w:rsid w:val="00371E57"/>
    <w:rsid w:val="003723B7"/>
    <w:rsid w:val="003735FA"/>
    <w:rsid w:val="00374E0B"/>
    <w:rsid w:val="00375D1C"/>
    <w:rsid w:val="003771DA"/>
    <w:rsid w:val="0038010B"/>
    <w:rsid w:val="00380866"/>
    <w:rsid w:val="00380E99"/>
    <w:rsid w:val="00383101"/>
    <w:rsid w:val="00385A1E"/>
    <w:rsid w:val="00386689"/>
    <w:rsid w:val="00390139"/>
    <w:rsid w:val="003946B7"/>
    <w:rsid w:val="003946CC"/>
    <w:rsid w:val="00396765"/>
    <w:rsid w:val="003968F7"/>
    <w:rsid w:val="00397DFD"/>
    <w:rsid w:val="003A1A58"/>
    <w:rsid w:val="003A49D1"/>
    <w:rsid w:val="003A5C1E"/>
    <w:rsid w:val="003B13A2"/>
    <w:rsid w:val="003B2DE8"/>
    <w:rsid w:val="003B52CA"/>
    <w:rsid w:val="003B53A8"/>
    <w:rsid w:val="003B5484"/>
    <w:rsid w:val="003C14DB"/>
    <w:rsid w:val="003C25D5"/>
    <w:rsid w:val="003C2A56"/>
    <w:rsid w:val="003C3032"/>
    <w:rsid w:val="003C32D7"/>
    <w:rsid w:val="003C7BB9"/>
    <w:rsid w:val="003D66C0"/>
    <w:rsid w:val="003D6FB4"/>
    <w:rsid w:val="003F29D4"/>
    <w:rsid w:val="003F3889"/>
    <w:rsid w:val="00400E47"/>
    <w:rsid w:val="00401AFC"/>
    <w:rsid w:val="00406415"/>
    <w:rsid w:val="0040685B"/>
    <w:rsid w:val="004106EA"/>
    <w:rsid w:val="0042549B"/>
    <w:rsid w:val="00427798"/>
    <w:rsid w:val="00431AB1"/>
    <w:rsid w:val="00431BD9"/>
    <w:rsid w:val="0043349C"/>
    <w:rsid w:val="00435C30"/>
    <w:rsid w:val="00436443"/>
    <w:rsid w:val="0043787B"/>
    <w:rsid w:val="00441D91"/>
    <w:rsid w:val="0044579D"/>
    <w:rsid w:val="00446872"/>
    <w:rsid w:val="00446EBA"/>
    <w:rsid w:val="00447287"/>
    <w:rsid w:val="00453264"/>
    <w:rsid w:val="004535DE"/>
    <w:rsid w:val="004536D4"/>
    <w:rsid w:val="00453DBE"/>
    <w:rsid w:val="00455D26"/>
    <w:rsid w:val="00455D84"/>
    <w:rsid w:val="004560EF"/>
    <w:rsid w:val="00457CC4"/>
    <w:rsid w:val="00457F26"/>
    <w:rsid w:val="004601E2"/>
    <w:rsid w:val="00462E86"/>
    <w:rsid w:val="00464395"/>
    <w:rsid w:val="004648CC"/>
    <w:rsid w:val="00465357"/>
    <w:rsid w:val="00470460"/>
    <w:rsid w:val="0047080F"/>
    <w:rsid w:val="0047261F"/>
    <w:rsid w:val="0047289C"/>
    <w:rsid w:val="004731EA"/>
    <w:rsid w:val="00473FD6"/>
    <w:rsid w:val="004747BF"/>
    <w:rsid w:val="00475483"/>
    <w:rsid w:val="0047724A"/>
    <w:rsid w:val="00481A92"/>
    <w:rsid w:val="004826C8"/>
    <w:rsid w:val="00484A25"/>
    <w:rsid w:val="00484CCF"/>
    <w:rsid w:val="00486A86"/>
    <w:rsid w:val="0048729A"/>
    <w:rsid w:val="0048786A"/>
    <w:rsid w:val="00487BBC"/>
    <w:rsid w:val="00490FA2"/>
    <w:rsid w:val="00496291"/>
    <w:rsid w:val="00496680"/>
    <w:rsid w:val="00497ABB"/>
    <w:rsid w:val="004A2726"/>
    <w:rsid w:val="004A3329"/>
    <w:rsid w:val="004A402C"/>
    <w:rsid w:val="004A639F"/>
    <w:rsid w:val="004B0B8A"/>
    <w:rsid w:val="004B1952"/>
    <w:rsid w:val="004B5D63"/>
    <w:rsid w:val="004C1C6F"/>
    <w:rsid w:val="004C2630"/>
    <w:rsid w:val="004C61A7"/>
    <w:rsid w:val="004C61BD"/>
    <w:rsid w:val="004D0931"/>
    <w:rsid w:val="004D09A0"/>
    <w:rsid w:val="004D1955"/>
    <w:rsid w:val="004D21DA"/>
    <w:rsid w:val="004D6DF0"/>
    <w:rsid w:val="004E1887"/>
    <w:rsid w:val="004E1B8A"/>
    <w:rsid w:val="004E3494"/>
    <w:rsid w:val="004E4964"/>
    <w:rsid w:val="004E5AE6"/>
    <w:rsid w:val="004F166F"/>
    <w:rsid w:val="004F1EFB"/>
    <w:rsid w:val="004F3E72"/>
    <w:rsid w:val="004F4E93"/>
    <w:rsid w:val="00501AA8"/>
    <w:rsid w:val="00504DD0"/>
    <w:rsid w:val="005055A0"/>
    <w:rsid w:val="005056C2"/>
    <w:rsid w:val="00506199"/>
    <w:rsid w:val="005078DC"/>
    <w:rsid w:val="005105DC"/>
    <w:rsid w:val="0051074E"/>
    <w:rsid w:val="00512BF0"/>
    <w:rsid w:val="00515E6B"/>
    <w:rsid w:val="005160E8"/>
    <w:rsid w:val="005201DD"/>
    <w:rsid w:val="00520479"/>
    <w:rsid w:val="00521CC6"/>
    <w:rsid w:val="005246D7"/>
    <w:rsid w:val="00524A39"/>
    <w:rsid w:val="005258EE"/>
    <w:rsid w:val="0052663F"/>
    <w:rsid w:val="005266D4"/>
    <w:rsid w:val="005306EE"/>
    <w:rsid w:val="00531A34"/>
    <w:rsid w:val="00535109"/>
    <w:rsid w:val="0054037C"/>
    <w:rsid w:val="00540F16"/>
    <w:rsid w:val="005411C1"/>
    <w:rsid w:val="00541F74"/>
    <w:rsid w:val="005435EC"/>
    <w:rsid w:val="0055000D"/>
    <w:rsid w:val="00550870"/>
    <w:rsid w:val="005524B3"/>
    <w:rsid w:val="00552545"/>
    <w:rsid w:val="00562A55"/>
    <w:rsid w:val="0056379E"/>
    <w:rsid w:val="00563AEC"/>
    <w:rsid w:val="0056539E"/>
    <w:rsid w:val="00565409"/>
    <w:rsid w:val="00565AB6"/>
    <w:rsid w:val="00566032"/>
    <w:rsid w:val="005666EA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3C7B"/>
    <w:rsid w:val="005969BF"/>
    <w:rsid w:val="005A13C6"/>
    <w:rsid w:val="005A246F"/>
    <w:rsid w:val="005A34E9"/>
    <w:rsid w:val="005A54DD"/>
    <w:rsid w:val="005A5A32"/>
    <w:rsid w:val="005A6C74"/>
    <w:rsid w:val="005A6D7F"/>
    <w:rsid w:val="005A79A0"/>
    <w:rsid w:val="005B01C3"/>
    <w:rsid w:val="005B3B4B"/>
    <w:rsid w:val="005C1913"/>
    <w:rsid w:val="005C4A12"/>
    <w:rsid w:val="005C666F"/>
    <w:rsid w:val="005C70A0"/>
    <w:rsid w:val="005C7717"/>
    <w:rsid w:val="005C7912"/>
    <w:rsid w:val="005D0061"/>
    <w:rsid w:val="005D0685"/>
    <w:rsid w:val="005D280E"/>
    <w:rsid w:val="005E2718"/>
    <w:rsid w:val="005E3BE6"/>
    <w:rsid w:val="005F0593"/>
    <w:rsid w:val="005F3B4F"/>
    <w:rsid w:val="005F5766"/>
    <w:rsid w:val="005F60B3"/>
    <w:rsid w:val="00600896"/>
    <w:rsid w:val="00603D4F"/>
    <w:rsid w:val="00604ED3"/>
    <w:rsid w:val="0060532D"/>
    <w:rsid w:val="006077A4"/>
    <w:rsid w:val="00612409"/>
    <w:rsid w:val="00615C9C"/>
    <w:rsid w:val="00620BDB"/>
    <w:rsid w:val="006212A6"/>
    <w:rsid w:val="006242D9"/>
    <w:rsid w:val="0062461A"/>
    <w:rsid w:val="00626E4C"/>
    <w:rsid w:val="0062719D"/>
    <w:rsid w:val="00627E3E"/>
    <w:rsid w:val="00627FB3"/>
    <w:rsid w:val="006309BF"/>
    <w:rsid w:val="00633C4A"/>
    <w:rsid w:val="0063600D"/>
    <w:rsid w:val="006405A5"/>
    <w:rsid w:val="00640C8D"/>
    <w:rsid w:val="00645DD7"/>
    <w:rsid w:val="00647689"/>
    <w:rsid w:val="00650C4A"/>
    <w:rsid w:val="00651152"/>
    <w:rsid w:val="00652287"/>
    <w:rsid w:val="00656CAC"/>
    <w:rsid w:val="006647F6"/>
    <w:rsid w:val="00665009"/>
    <w:rsid w:val="006652F4"/>
    <w:rsid w:val="0067217C"/>
    <w:rsid w:val="00674E50"/>
    <w:rsid w:val="00675824"/>
    <w:rsid w:val="006770DE"/>
    <w:rsid w:val="0068233B"/>
    <w:rsid w:val="006830AD"/>
    <w:rsid w:val="00684509"/>
    <w:rsid w:val="006851C3"/>
    <w:rsid w:val="00687DD7"/>
    <w:rsid w:val="006935F8"/>
    <w:rsid w:val="006964AB"/>
    <w:rsid w:val="00697A98"/>
    <w:rsid w:val="00697C6A"/>
    <w:rsid w:val="006A21BF"/>
    <w:rsid w:val="006A6B86"/>
    <w:rsid w:val="006A7B1A"/>
    <w:rsid w:val="006B4F8A"/>
    <w:rsid w:val="006C0670"/>
    <w:rsid w:val="006C07A0"/>
    <w:rsid w:val="006C12CF"/>
    <w:rsid w:val="006C39D8"/>
    <w:rsid w:val="006C6C15"/>
    <w:rsid w:val="006C756E"/>
    <w:rsid w:val="006D0515"/>
    <w:rsid w:val="006D312D"/>
    <w:rsid w:val="006D44E1"/>
    <w:rsid w:val="006D4BF6"/>
    <w:rsid w:val="006D6215"/>
    <w:rsid w:val="006D7548"/>
    <w:rsid w:val="006E1298"/>
    <w:rsid w:val="006E36BF"/>
    <w:rsid w:val="006E5760"/>
    <w:rsid w:val="006E746E"/>
    <w:rsid w:val="006E7610"/>
    <w:rsid w:val="006F097E"/>
    <w:rsid w:val="006F1FC1"/>
    <w:rsid w:val="006F5380"/>
    <w:rsid w:val="006F56F4"/>
    <w:rsid w:val="006F6604"/>
    <w:rsid w:val="006F6FA7"/>
    <w:rsid w:val="00703F7B"/>
    <w:rsid w:val="007049A9"/>
    <w:rsid w:val="00704BF3"/>
    <w:rsid w:val="00704DE8"/>
    <w:rsid w:val="00705D9D"/>
    <w:rsid w:val="007061DF"/>
    <w:rsid w:val="0070666B"/>
    <w:rsid w:val="00707708"/>
    <w:rsid w:val="00711CFE"/>
    <w:rsid w:val="00712611"/>
    <w:rsid w:val="00717A0C"/>
    <w:rsid w:val="007206EC"/>
    <w:rsid w:val="007207EF"/>
    <w:rsid w:val="00722207"/>
    <w:rsid w:val="007228D2"/>
    <w:rsid w:val="0072607D"/>
    <w:rsid w:val="00726838"/>
    <w:rsid w:val="0072735A"/>
    <w:rsid w:val="00731D27"/>
    <w:rsid w:val="00734538"/>
    <w:rsid w:val="00742EB3"/>
    <w:rsid w:val="0074390A"/>
    <w:rsid w:val="00744542"/>
    <w:rsid w:val="0074460D"/>
    <w:rsid w:val="00755793"/>
    <w:rsid w:val="00756C69"/>
    <w:rsid w:val="00757D65"/>
    <w:rsid w:val="00760085"/>
    <w:rsid w:val="00760320"/>
    <w:rsid w:val="007632C7"/>
    <w:rsid w:val="00765BE2"/>
    <w:rsid w:val="00767313"/>
    <w:rsid w:val="00770E03"/>
    <w:rsid w:val="00773B48"/>
    <w:rsid w:val="00773F0B"/>
    <w:rsid w:val="0077472B"/>
    <w:rsid w:val="00777BE6"/>
    <w:rsid w:val="00781A02"/>
    <w:rsid w:val="0078229F"/>
    <w:rsid w:val="00782493"/>
    <w:rsid w:val="0078349F"/>
    <w:rsid w:val="00784E62"/>
    <w:rsid w:val="00785B8D"/>
    <w:rsid w:val="00790CF0"/>
    <w:rsid w:val="007942D2"/>
    <w:rsid w:val="007977F5"/>
    <w:rsid w:val="007A216A"/>
    <w:rsid w:val="007A743E"/>
    <w:rsid w:val="007B002E"/>
    <w:rsid w:val="007B0229"/>
    <w:rsid w:val="007B0CF6"/>
    <w:rsid w:val="007B4E8E"/>
    <w:rsid w:val="007B5ADD"/>
    <w:rsid w:val="007B5DB6"/>
    <w:rsid w:val="007C074F"/>
    <w:rsid w:val="007C1F6A"/>
    <w:rsid w:val="007C2D23"/>
    <w:rsid w:val="007C32C9"/>
    <w:rsid w:val="007C3C14"/>
    <w:rsid w:val="007C6A64"/>
    <w:rsid w:val="007D046C"/>
    <w:rsid w:val="007D077C"/>
    <w:rsid w:val="007D15D7"/>
    <w:rsid w:val="007D1A5B"/>
    <w:rsid w:val="007D42F8"/>
    <w:rsid w:val="007D7141"/>
    <w:rsid w:val="007D75E3"/>
    <w:rsid w:val="007E1B9B"/>
    <w:rsid w:val="007E4388"/>
    <w:rsid w:val="007E54D6"/>
    <w:rsid w:val="007E575B"/>
    <w:rsid w:val="007E6CED"/>
    <w:rsid w:val="007F0BF0"/>
    <w:rsid w:val="007F3B1D"/>
    <w:rsid w:val="007F4D0A"/>
    <w:rsid w:val="007F5925"/>
    <w:rsid w:val="007F7642"/>
    <w:rsid w:val="008003CD"/>
    <w:rsid w:val="008005F7"/>
    <w:rsid w:val="008021E3"/>
    <w:rsid w:val="00806937"/>
    <w:rsid w:val="00810042"/>
    <w:rsid w:val="00812EF0"/>
    <w:rsid w:val="00813284"/>
    <w:rsid w:val="00813D96"/>
    <w:rsid w:val="00815517"/>
    <w:rsid w:val="00817ADF"/>
    <w:rsid w:val="00821AE1"/>
    <w:rsid w:val="00835F3D"/>
    <w:rsid w:val="008401AA"/>
    <w:rsid w:val="00840A4F"/>
    <w:rsid w:val="00842031"/>
    <w:rsid w:val="00843435"/>
    <w:rsid w:val="00845341"/>
    <w:rsid w:val="008501CD"/>
    <w:rsid w:val="00852586"/>
    <w:rsid w:val="00852A5A"/>
    <w:rsid w:val="00852AB0"/>
    <w:rsid w:val="008533B2"/>
    <w:rsid w:val="00853C99"/>
    <w:rsid w:val="008546C7"/>
    <w:rsid w:val="00856949"/>
    <w:rsid w:val="00861C9D"/>
    <w:rsid w:val="00862A3A"/>
    <w:rsid w:val="00862DEF"/>
    <w:rsid w:val="0086544C"/>
    <w:rsid w:val="008674A4"/>
    <w:rsid w:val="00870166"/>
    <w:rsid w:val="00871249"/>
    <w:rsid w:val="00875204"/>
    <w:rsid w:val="00876264"/>
    <w:rsid w:val="00876A75"/>
    <w:rsid w:val="008801B3"/>
    <w:rsid w:val="00881393"/>
    <w:rsid w:val="00884767"/>
    <w:rsid w:val="008859BE"/>
    <w:rsid w:val="008859CC"/>
    <w:rsid w:val="00885E92"/>
    <w:rsid w:val="00885F93"/>
    <w:rsid w:val="0088670C"/>
    <w:rsid w:val="008868B9"/>
    <w:rsid w:val="00890671"/>
    <w:rsid w:val="00890DAF"/>
    <w:rsid w:val="00892DDF"/>
    <w:rsid w:val="00892F6D"/>
    <w:rsid w:val="00893342"/>
    <w:rsid w:val="00895729"/>
    <w:rsid w:val="008A139E"/>
    <w:rsid w:val="008A2857"/>
    <w:rsid w:val="008A5B87"/>
    <w:rsid w:val="008A757E"/>
    <w:rsid w:val="008A7719"/>
    <w:rsid w:val="008B1BA5"/>
    <w:rsid w:val="008B1BE7"/>
    <w:rsid w:val="008B78C2"/>
    <w:rsid w:val="008C1A15"/>
    <w:rsid w:val="008C3A64"/>
    <w:rsid w:val="008C3BB1"/>
    <w:rsid w:val="008C5A0C"/>
    <w:rsid w:val="008C6E83"/>
    <w:rsid w:val="008D0FE7"/>
    <w:rsid w:val="008D25B5"/>
    <w:rsid w:val="008D3EE5"/>
    <w:rsid w:val="008D5365"/>
    <w:rsid w:val="008D57E6"/>
    <w:rsid w:val="008D59A5"/>
    <w:rsid w:val="008D7819"/>
    <w:rsid w:val="008E17C9"/>
    <w:rsid w:val="008E1AF1"/>
    <w:rsid w:val="008E219A"/>
    <w:rsid w:val="008E51B8"/>
    <w:rsid w:val="008E60BF"/>
    <w:rsid w:val="008E6F67"/>
    <w:rsid w:val="008E7805"/>
    <w:rsid w:val="008F0C17"/>
    <w:rsid w:val="008F6457"/>
    <w:rsid w:val="00903BB2"/>
    <w:rsid w:val="00903FE2"/>
    <w:rsid w:val="00905E0E"/>
    <w:rsid w:val="00907986"/>
    <w:rsid w:val="00907BA4"/>
    <w:rsid w:val="00910C73"/>
    <w:rsid w:val="009154AA"/>
    <w:rsid w:val="00915534"/>
    <w:rsid w:val="00916713"/>
    <w:rsid w:val="00916F37"/>
    <w:rsid w:val="0092298E"/>
    <w:rsid w:val="00924C68"/>
    <w:rsid w:val="00933B93"/>
    <w:rsid w:val="009356D5"/>
    <w:rsid w:val="0093758F"/>
    <w:rsid w:val="00940972"/>
    <w:rsid w:val="00942D31"/>
    <w:rsid w:val="00944300"/>
    <w:rsid w:val="009446D5"/>
    <w:rsid w:val="00945930"/>
    <w:rsid w:val="00946CB6"/>
    <w:rsid w:val="009545E6"/>
    <w:rsid w:val="0095478B"/>
    <w:rsid w:val="009566DD"/>
    <w:rsid w:val="00956AFC"/>
    <w:rsid w:val="00956F5E"/>
    <w:rsid w:val="00957DEE"/>
    <w:rsid w:val="00957E3E"/>
    <w:rsid w:val="009663C1"/>
    <w:rsid w:val="009708B0"/>
    <w:rsid w:val="00971B3B"/>
    <w:rsid w:val="00973D46"/>
    <w:rsid w:val="0097529A"/>
    <w:rsid w:val="009765BD"/>
    <w:rsid w:val="00981CD6"/>
    <w:rsid w:val="009828A2"/>
    <w:rsid w:val="009860F7"/>
    <w:rsid w:val="00987ECD"/>
    <w:rsid w:val="00987F53"/>
    <w:rsid w:val="00993964"/>
    <w:rsid w:val="00994505"/>
    <w:rsid w:val="00995CD9"/>
    <w:rsid w:val="009A30C1"/>
    <w:rsid w:val="009A7F06"/>
    <w:rsid w:val="009B33DC"/>
    <w:rsid w:val="009B5D80"/>
    <w:rsid w:val="009C1302"/>
    <w:rsid w:val="009C2FF6"/>
    <w:rsid w:val="009C49F7"/>
    <w:rsid w:val="009C6C3C"/>
    <w:rsid w:val="009D6205"/>
    <w:rsid w:val="009E37DA"/>
    <w:rsid w:val="009E56F0"/>
    <w:rsid w:val="009E5C77"/>
    <w:rsid w:val="009E5D22"/>
    <w:rsid w:val="009E6BAD"/>
    <w:rsid w:val="009E72FB"/>
    <w:rsid w:val="009E7460"/>
    <w:rsid w:val="009E7AC1"/>
    <w:rsid w:val="009F21CC"/>
    <w:rsid w:val="009F2CED"/>
    <w:rsid w:val="009F40C3"/>
    <w:rsid w:val="009F5308"/>
    <w:rsid w:val="009F7F2A"/>
    <w:rsid w:val="00A01415"/>
    <w:rsid w:val="00A0231C"/>
    <w:rsid w:val="00A16447"/>
    <w:rsid w:val="00A165C1"/>
    <w:rsid w:val="00A2424B"/>
    <w:rsid w:val="00A2469F"/>
    <w:rsid w:val="00A25CD8"/>
    <w:rsid w:val="00A32AC7"/>
    <w:rsid w:val="00A4034C"/>
    <w:rsid w:val="00A41188"/>
    <w:rsid w:val="00A42F31"/>
    <w:rsid w:val="00A432BF"/>
    <w:rsid w:val="00A46A70"/>
    <w:rsid w:val="00A51835"/>
    <w:rsid w:val="00A5373A"/>
    <w:rsid w:val="00A53DA9"/>
    <w:rsid w:val="00A545D3"/>
    <w:rsid w:val="00A552AF"/>
    <w:rsid w:val="00A55917"/>
    <w:rsid w:val="00A55A02"/>
    <w:rsid w:val="00A56E53"/>
    <w:rsid w:val="00A570F5"/>
    <w:rsid w:val="00A576C5"/>
    <w:rsid w:val="00A61BD8"/>
    <w:rsid w:val="00A631FE"/>
    <w:rsid w:val="00A64508"/>
    <w:rsid w:val="00A706AE"/>
    <w:rsid w:val="00A733AA"/>
    <w:rsid w:val="00A75E93"/>
    <w:rsid w:val="00A808B6"/>
    <w:rsid w:val="00A81DBA"/>
    <w:rsid w:val="00A83E99"/>
    <w:rsid w:val="00A942EC"/>
    <w:rsid w:val="00A94F55"/>
    <w:rsid w:val="00A9512B"/>
    <w:rsid w:val="00A966AD"/>
    <w:rsid w:val="00AA1060"/>
    <w:rsid w:val="00AA351E"/>
    <w:rsid w:val="00AA3AB5"/>
    <w:rsid w:val="00AA42AD"/>
    <w:rsid w:val="00AA5B72"/>
    <w:rsid w:val="00AA74A4"/>
    <w:rsid w:val="00AB1502"/>
    <w:rsid w:val="00AB4D17"/>
    <w:rsid w:val="00AB4E04"/>
    <w:rsid w:val="00AB5C90"/>
    <w:rsid w:val="00AC02EE"/>
    <w:rsid w:val="00AC2109"/>
    <w:rsid w:val="00AC237E"/>
    <w:rsid w:val="00AC2412"/>
    <w:rsid w:val="00AC48BB"/>
    <w:rsid w:val="00AC6197"/>
    <w:rsid w:val="00AC7C70"/>
    <w:rsid w:val="00AD0F31"/>
    <w:rsid w:val="00AD18B5"/>
    <w:rsid w:val="00AD21D3"/>
    <w:rsid w:val="00AD5E92"/>
    <w:rsid w:val="00AD6085"/>
    <w:rsid w:val="00AD6846"/>
    <w:rsid w:val="00AE0BAB"/>
    <w:rsid w:val="00AE3145"/>
    <w:rsid w:val="00AE44A2"/>
    <w:rsid w:val="00AE6C1D"/>
    <w:rsid w:val="00AF058D"/>
    <w:rsid w:val="00AF151B"/>
    <w:rsid w:val="00AF1701"/>
    <w:rsid w:val="00AF1E4F"/>
    <w:rsid w:val="00AF72B2"/>
    <w:rsid w:val="00B02B5E"/>
    <w:rsid w:val="00B04243"/>
    <w:rsid w:val="00B05CFD"/>
    <w:rsid w:val="00B0644A"/>
    <w:rsid w:val="00B11C2D"/>
    <w:rsid w:val="00B141E3"/>
    <w:rsid w:val="00B14D0D"/>
    <w:rsid w:val="00B1584C"/>
    <w:rsid w:val="00B17A9C"/>
    <w:rsid w:val="00B254B6"/>
    <w:rsid w:val="00B35472"/>
    <w:rsid w:val="00B3573E"/>
    <w:rsid w:val="00B37965"/>
    <w:rsid w:val="00B52A3C"/>
    <w:rsid w:val="00B531CC"/>
    <w:rsid w:val="00B5383C"/>
    <w:rsid w:val="00B64EFF"/>
    <w:rsid w:val="00B663DF"/>
    <w:rsid w:val="00B74319"/>
    <w:rsid w:val="00B753F8"/>
    <w:rsid w:val="00B76485"/>
    <w:rsid w:val="00B77FE7"/>
    <w:rsid w:val="00B82A83"/>
    <w:rsid w:val="00B82B66"/>
    <w:rsid w:val="00B839AD"/>
    <w:rsid w:val="00B84995"/>
    <w:rsid w:val="00B86034"/>
    <w:rsid w:val="00B8675D"/>
    <w:rsid w:val="00B8788A"/>
    <w:rsid w:val="00B90134"/>
    <w:rsid w:val="00B90685"/>
    <w:rsid w:val="00B91186"/>
    <w:rsid w:val="00B94C67"/>
    <w:rsid w:val="00BA0C96"/>
    <w:rsid w:val="00BA1BB2"/>
    <w:rsid w:val="00BA3287"/>
    <w:rsid w:val="00BA331F"/>
    <w:rsid w:val="00BB2B0A"/>
    <w:rsid w:val="00BB2E3F"/>
    <w:rsid w:val="00BB7DC8"/>
    <w:rsid w:val="00BC1D1C"/>
    <w:rsid w:val="00BC3382"/>
    <w:rsid w:val="00BC3C80"/>
    <w:rsid w:val="00BC686A"/>
    <w:rsid w:val="00BD17E6"/>
    <w:rsid w:val="00BD2068"/>
    <w:rsid w:val="00BD5866"/>
    <w:rsid w:val="00BD7E5A"/>
    <w:rsid w:val="00BE160F"/>
    <w:rsid w:val="00BE35C9"/>
    <w:rsid w:val="00BE3DDA"/>
    <w:rsid w:val="00BE53F2"/>
    <w:rsid w:val="00BE63BC"/>
    <w:rsid w:val="00BF0619"/>
    <w:rsid w:val="00BF1F07"/>
    <w:rsid w:val="00BF5164"/>
    <w:rsid w:val="00C0113D"/>
    <w:rsid w:val="00C01CC2"/>
    <w:rsid w:val="00C01D0B"/>
    <w:rsid w:val="00C041B2"/>
    <w:rsid w:val="00C048E5"/>
    <w:rsid w:val="00C066F8"/>
    <w:rsid w:val="00C06CE4"/>
    <w:rsid w:val="00C07DF3"/>
    <w:rsid w:val="00C1568E"/>
    <w:rsid w:val="00C16F95"/>
    <w:rsid w:val="00C21DA1"/>
    <w:rsid w:val="00C229AA"/>
    <w:rsid w:val="00C23B3A"/>
    <w:rsid w:val="00C260AC"/>
    <w:rsid w:val="00C314B0"/>
    <w:rsid w:val="00C3708B"/>
    <w:rsid w:val="00C40119"/>
    <w:rsid w:val="00C403C5"/>
    <w:rsid w:val="00C40518"/>
    <w:rsid w:val="00C4538E"/>
    <w:rsid w:val="00C5251A"/>
    <w:rsid w:val="00C532FB"/>
    <w:rsid w:val="00C53426"/>
    <w:rsid w:val="00C53FD0"/>
    <w:rsid w:val="00C541CC"/>
    <w:rsid w:val="00C55012"/>
    <w:rsid w:val="00C56F6C"/>
    <w:rsid w:val="00C600BD"/>
    <w:rsid w:val="00C62B63"/>
    <w:rsid w:val="00C64851"/>
    <w:rsid w:val="00C65160"/>
    <w:rsid w:val="00C6655B"/>
    <w:rsid w:val="00C70E35"/>
    <w:rsid w:val="00C7663D"/>
    <w:rsid w:val="00C7686F"/>
    <w:rsid w:val="00C76C74"/>
    <w:rsid w:val="00C7793F"/>
    <w:rsid w:val="00C825B5"/>
    <w:rsid w:val="00C8279B"/>
    <w:rsid w:val="00C93CB4"/>
    <w:rsid w:val="00C961E2"/>
    <w:rsid w:val="00C96A74"/>
    <w:rsid w:val="00C96C2C"/>
    <w:rsid w:val="00C9792F"/>
    <w:rsid w:val="00CA03B7"/>
    <w:rsid w:val="00CA240B"/>
    <w:rsid w:val="00CA75B6"/>
    <w:rsid w:val="00CB0225"/>
    <w:rsid w:val="00CB363C"/>
    <w:rsid w:val="00CB383B"/>
    <w:rsid w:val="00CB43E0"/>
    <w:rsid w:val="00CB5F67"/>
    <w:rsid w:val="00CB6F7B"/>
    <w:rsid w:val="00CB7EA0"/>
    <w:rsid w:val="00CB7EA8"/>
    <w:rsid w:val="00CC04FF"/>
    <w:rsid w:val="00CC3D5E"/>
    <w:rsid w:val="00CC5AC9"/>
    <w:rsid w:val="00CD026D"/>
    <w:rsid w:val="00CD2BF6"/>
    <w:rsid w:val="00CD3E88"/>
    <w:rsid w:val="00CD6755"/>
    <w:rsid w:val="00CD7E07"/>
    <w:rsid w:val="00CE533A"/>
    <w:rsid w:val="00CE64E8"/>
    <w:rsid w:val="00CF0DF9"/>
    <w:rsid w:val="00CF102B"/>
    <w:rsid w:val="00CF4DEE"/>
    <w:rsid w:val="00CF6687"/>
    <w:rsid w:val="00D017E9"/>
    <w:rsid w:val="00D01B51"/>
    <w:rsid w:val="00D061CE"/>
    <w:rsid w:val="00D06879"/>
    <w:rsid w:val="00D07241"/>
    <w:rsid w:val="00D07585"/>
    <w:rsid w:val="00D13EF4"/>
    <w:rsid w:val="00D15A2F"/>
    <w:rsid w:val="00D21315"/>
    <w:rsid w:val="00D22262"/>
    <w:rsid w:val="00D22893"/>
    <w:rsid w:val="00D228FE"/>
    <w:rsid w:val="00D2387C"/>
    <w:rsid w:val="00D2444E"/>
    <w:rsid w:val="00D26469"/>
    <w:rsid w:val="00D30ABB"/>
    <w:rsid w:val="00D31AD4"/>
    <w:rsid w:val="00D3408C"/>
    <w:rsid w:val="00D408D8"/>
    <w:rsid w:val="00D43615"/>
    <w:rsid w:val="00D44BE7"/>
    <w:rsid w:val="00D4759E"/>
    <w:rsid w:val="00D502ED"/>
    <w:rsid w:val="00D50387"/>
    <w:rsid w:val="00D53979"/>
    <w:rsid w:val="00D5443B"/>
    <w:rsid w:val="00D54C3D"/>
    <w:rsid w:val="00D57356"/>
    <w:rsid w:val="00D63141"/>
    <w:rsid w:val="00D64212"/>
    <w:rsid w:val="00D64365"/>
    <w:rsid w:val="00D71862"/>
    <w:rsid w:val="00D71CBB"/>
    <w:rsid w:val="00D722A8"/>
    <w:rsid w:val="00D75E19"/>
    <w:rsid w:val="00D76151"/>
    <w:rsid w:val="00D76287"/>
    <w:rsid w:val="00D81801"/>
    <w:rsid w:val="00D8419D"/>
    <w:rsid w:val="00D84AF8"/>
    <w:rsid w:val="00D84B43"/>
    <w:rsid w:val="00D8540F"/>
    <w:rsid w:val="00D86438"/>
    <w:rsid w:val="00D93DBF"/>
    <w:rsid w:val="00D9551C"/>
    <w:rsid w:val="00D969FF"/>
    <w:rsid w:val="00D97903"/>
    <w:rsid w:val="00DA6455"/>
    <w:rsid w:val="00DA6EFE"/>
    <w:rsid w:val="00DB79D5"/>
    <w:rsid w:val="00DC19B8"/>
    <w:rsid w:val="00DC464E"/>
    <w:rsid w:val="00DC62CD"/>
    <w:rsid w:val="00DC6F70"/>
    <w:rsid w:val="00DC760F"/>
    <w:rsid w:val="00DC77C4"/>
    <w:rsid w:val="00DD0A44"/>
    <w:rsid w:val="00DD4AF6"/>
    <w:rsid w:val="00DD4E6C"/>
    <w:rsid w:val="00DD587A"/>
    <w:rsid w:val="00DD71CD"/>
    <w:rsid w:val="00DE22E5"/>
    <w:rsid w:val="00DE29A7"/>
    <w:rsid w:val="00DE540C"/>
    <w:rsid w:val="00DE546C"/>
    <w:rsid w:val="00DE5F53"/>
    <w:rsid w:val="00DE646D"/>
    <w:rsid w:val="00DE6B51"/>
    <w:rsid w:val="00DE75CE"/>
    <w:rsid w:val="00DF1ED6"/>
    <w:rsid w:val="00DF1FBA"/>
    <w:rsid w:val="00DF40C8"/>
    <w:rsid w:val="00E0008C"/>
    <w:rsid w:val="00E03B49"/>
    <w:rsid w:val="00E041D6"/>
    <w:rsid w:val="00E072BB"/>
    <w:rsid w:val="00E077D6"/>
    <w:rsid w:val="00E13068"/>
    <w:rsid w:val="00E14941"/>
    <w:rsid w:val="00E1500B"/>
    <w:rsid w:val="00E21D02"/>
    <w:rsid w:val="00E23DEE"/>
    <w:rsid w:val="00E25C4C"/>
    <w:rsid w:val="00E2641B"/>
    <w:rsid w:val="00E30293"/>
    <w:rsid w:val="00E32E66"/>
    <w:rsid w:val="00E3527B"/>
    <w:rsid w:val="00E367E5"/>
    <w:rsid w:val="00E36AD3"/>
    <w:rsid w:val="00E410AE"/>
    <w:rsid w:val="00E43CA0"/>
    <w:rsid w:val="00E50DE4"/>
    <w:rsid w:val="00E52F7B"/>
    <w:rsid w:val="00E61522"/>
    <w:rsid w:val="00E6156D"/>
    <w:rsid w:val="00E67B66"/>
    <w:rsid w:val="00E73604"/>
    <w:rsid w:val="00E74D19"/>
    <w:rsid w:val="00E74FB1"/>
    <w:rsid w:val="00E77B63"/>
    <w:rsid w:val="00E80640"/>
    <w:rsid w:val="00E81155"/>
    <w:rsid w:val="00E847AE"/>
    <w:rsid w:val="00E92EB7"/>
    <w:rsid w:val="00E97F79"/>
    <w:rsid w:val="00EA3410"/>
    <w:rsid w:val="00EA7221"/>
    <w:rsid w:val="00EB11AE"/>
    <w:rsid w:val="00EB46C1"/>
    <w:rsid w:val="00EB551D"/>
    <w:rsid w:val="00EB792E"/>
    <w:rsid w:val="00EC0344"/>
    <w:rsid w:val="00EC13A8"/>
    <w:rsid w:val="00EC1B03"/>
    <w:rsid w:val="00EC21DB"/>
    <w:rsid w:val="00EC4819"/>
    <w:rsid w:val="00EC4EA2"/>
    <w:rsid w:val="00EC5883"/>
    <w:rsid w:val="00ED3AFA"/>
    <w:rsid w:val="00EE2769"/>
    <w:rsid w:val="00EF1969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63DF"/>
    <w:rsid w:val="00F06DFD"/>
    <w:rsid w:val="00F11B3B"/>
    <w:rsid w:val="00F1259F"/>
    <w:rsid w:val="00F1277E"/>
    <w:rsid w:val="00F12B82"/>
    <w:rsid w:val="00F14DEB"/>
    <w:rsid w:val="00F22993"/>
    <w:rsid w:val="00F23968"/>
    <w:rsid w:val="00F23F03"/>
    <w:rsid w:val="00F2699B"/>
    <w:rsid w:val="00F308CA"/>
    <w:rsid w:val="00F30F05"/>
    <w:rsid w:val="00F30F2A"/>
    <w:rsid w:val="00F31691"/>
    <w:rsid w:val="00F31727"/>
    <w:rsid w:val="00F32707"/>
    <w:rsid w:val="00F33F35"/>
    <w:rsid w:val="00F431D5"/>
    <w:rsid w:val="00F45C7E"/>
    <w:rsid w:val="00F51110"/>
    <w:rsid w:val="00F5313B"/>
    <w:rsid w:val="00F541FA"/>
    <w:rsid w:val="00F546F8"/>
    <w:rsid w:val="00F556D3"/>
    <w:rsid w:val="00F55AA1"/>
    <w:rsid w:val="00F6078E"/>
    <w:rsid w:val="00F6149F"/>
    <w:rsid w:val="00F62EFC"/>
    <w:rsid w:val="00F6386A"/>
    <w:rsid w:val="00F6465E"/>
    <w:rsid w:val="00F672DD"/>
    <w:rsid w:val="00F70081"/>
    <w:rsid w:val="00F731BE"/>
    <w:rsid w:val="00F75E11"/>
    <w:rsid w:val="00F826FC"/>
    <w:rsid w:val="00F863FA"/>
    <w:rsid w:val="00F86A50"/>
    <w:rsid w:val="00F90B23"/>
    <w:rsid w:val="00F946BB"/>
    <w:rsid w:val="00F957EA"/>
    <w:rsid w:val="00F96CD7"/>
    <w:rsid w:val="00FA05AB"/>
    <w:rsid w:val="00FA25EC"/>
    <w:rsid w:val="00FA2C28"/>
    <w:rsid w:val="00FA45CA"/>
    <w:rsid w:val="00FA569B"/>
    <w:rsid w:val="00FA7DD6"/>
    <w:rsid w:val="00FC1507"/>
    <w:rsid w:val="00FC3536"/>
    <w:rsid w:val="00FC40AD"/>
    <w:rsid w:val="00FC4365"/>
    <w:rsid w:val="00FC4D6B"/>
    <w:rsid w:val="00FC523C"/>
    <w:rsid w:val="00FC60E0"/>
    <w:rsid w:val="00FD5470"/>
    <w:rsid w:val="00FE0686"/>
    <w:rsid w:val="00FE148C"/>
    <w:rsid w:val="00FE2809"/>
    <w:rsid w:val="00FE285A"/>
    <w:rsid w:val="00FE3B0D"/>
    <w:rsid w:val="00FE6247"/>
    <w:rsid w:val="00FF2272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5817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3727325953609737E-2"/>
                  <c:y val="-6.4814814814815325E-2"/>
                </c:manualLayout>
              </c:layout>
              <c:showVal val="1"/>
            </c:dLbl>
            <c:dLbl>
              <c:idx val="16"/>
              <c:layout>
                <c:manualLayout>
                  <c:x val="-7.1809126708362286E-2"/>
                  <c:y val="-6.0185185185185147E-2"/>
                </c:manualLayout>
              </c:layout>
              <c:showVal val="1"/>
            </c:dLbl>
            <c:dLbl>
              <c:idx val="19"/>
              <c:layout>
                <c:manualLayout>
                  <c:x val="-8.3391243919388527E-2"/>
                  <c:y val="-5.5555555555555455E-2"/>
                </c:manualLayout>
              </c:layout>
              <c:showVal val="1"/>
            </c:dLbl>
            <c:delete val="1"/>
          </c:dLbls>
          <c:cat>
            <c:multiLvlStrRef>
              <c:f>Sheet1!$A$3:$B$19</c:f>
              <c:multiLvlStrCache>
                <c:ptCount val="17"/>
                <c:lvl>
                  <c:pt idx="0">
                    <c:v>الربع الأول</c:v>
                  </c:pt>
                  <c:pt idx="1">
                    <c:v>الربع الرابع</c:v>
                  </c:pt>
                  <c:pt idx="2">
                    <c:v>الربع الثالث</c:v>
                  </c:pt>
                  <c:pt idx="3">
                    <c:v>الربع الثاني </c:v>
                  </c:pt>
                  <c:pt idx="4">
                    <c:v>الربع الأول</c:v>
                  </c:pt>
                  <c:pt idx="5">
                    <c:v>الربع الرابع</c:v>
                  </c:pt>
                  <c:pt idx="6">
                    <c:v>الربع الثالث</c:v>
                  </c:pt>
                  <c:pt idx="7">
                    <c:v>الربع الثاني </c:v>
                  </c:pt>
                  <c:pt idx="8">
                    <c:v>الربع الأول</c:v>
                  </c:pt>
                  <c:pt idx="9">
                    <c:v>الربع الرابع</c:v>
                  </c:pt>
                  <c:pt idx="10">
                    <c:v>الربع الثالث</c:v>
                  </c:pt>
                  <c:pt idx="11">
                    <c:v>الربع الثاني </c:v>
                  </c:pt>
                  <c:pt idx="12">
                    <c:v>الربع الأول</c:v>
                  </c:pt>
                  <c:pt idx="13">
                    <c:v>الربع الرابع</c:v>
                  </c:pt>
                  <c:pt idx="14">
                    <c:v>الربع الثالث</c:v>
                  </c:pt>
                  <c:pt idx="15">
                    <c:v>الربع الثاني </c:v>
                  </c:pt>
                  <c:pt idx="16">
                    <c:v>الربع الأول</c:v>
                  </c:pt>
                </c:lvl>
                <c:lvl>
                  <c:pt idx="0">
                    <c:v>2019</c:v>
                  </c:pt>
                  <c:pt idx="1">
                    <c:v>2018</c:v>
                  </c:pt>
                  <c:pt idx="5">
                    <c:v>2017</c:v>
                  </c:pt>
                  <c:pt idx="9">
                    <c:v>2016</c:v>
                  </c:pt>
                  <c:pt idx="13">
                    <c:v>2015</c:v>
                  </c:pt>
                </c:lvl>
              </c:multiLvlStrCache>
            </c:multiLvlStrRef>
          </c:cat>
          <c:val>
            <c:numRef>
              <c:f>Sheet1!$C$3:$C$19</c:f>
              <c:numCache>
                <c:formatCode>#,##0.0</c:formatCode>
                <c:ptCount val="17"/>
                <c:pt idx="0">
                  <c:v>3504.5999999999995</c:v>
                </c:pt>
                <c:pt idx="1">
                  <c:v>3594.9000000000005</c:v>
                </c:pt>
                <c:pt idx="2">
                  <c:v>3486.5</c:v>
                </c:pt>
                <c:pt idx="3">
                  <c:v>3351.3</c:v>
                </c:pt>
                <c:pt idx="4">
                  <c:v>3377.6</c:v>
                </c:pt>
                <c:pt idx="5">
                  <c:v>3476.5</c:v>
                </c:pt>
                <c:pt idx="6">
                  <c:v>3502.3</c:v>
                </c:pt>
                <c:pt idx="7">
                  <c:v>3396.8</c:v>
                </c:pt>
                <c:pt idx="8">
                  <c:v>3310.8</c:v>
                </c:pt>
                <c:pt idx="9">
                  <c:v>3297.2</c:v>
                </c:pt>
                <c:pt idx="10">
                  <c:v>3334.7</c:v>
                </c:pt>
                <c:pt idx="11">
                  <c:v>3362.7</c:v>
                </c:pt>
                <c:pt idx="12">
                  <c:v>3275.1000000000004</c:v>
                </c:pt>
                <c:pt idx="13">
                  <c:v>3238.3107924293672</c:v>
                </c:pt>
                <c:pt idx="14">
                  <c:v>3156.0601608954212</c:v>
                </c:pt>
                <c:pt idx="15">
                  <c:v>3220.0875986164551</c:v>
                </c:pt>
                <c:pt idx="16">
                  <c:v>3058.5414480587597</c:v>
                </c:pt>
              </c:numCache>
            </c:numRef>
          </c:val>
        </c:ser>
        <c:marker val="1"/>
        <c:axId val="92779264"/>
        <c:axId val="92780800"/>
      </c:lineChart>
      <c:catAx>
        <c:axId val="927792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92780800"/>
        <c:crosses val="autoZero"/>
        <c:auto val="1"/>
        <c:lblAlgn val="ctr"/>
        <c:lblOffset val="100"/>
      </c:catAx>
      <c:valAx>
        <c:axId val="92780800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92779264"/>
        <c:crosses val="max"/>
        <c:crossBetween val="between"/>
        <c:majorUnit val="10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9937-0850-4A7F-8DB9-25F4D48A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hbadran</cp:lastModifiedBy>
  <cp:revision>4</cp:revision>
  <cp:lastPrinted>2017-09-25T08:46:00Z</cp:lastPrinted>
  <dcterms:created xsi:type="dcterms:W3CDTF">2019-07-01T11:22:00Z</dcterms:created>
  <dcterms:modified xsi:type="dcterms:W3CDTF">2019-07-01T11:23:00Z</dcterms:modified>
</cp:coreProperties>
</file>