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A14" w:rsidRPr="00B006ED" w:rsidRDefault="00682A14" w:rsidP="00AC28CA">
      <w:pPr>
        <w:jc w:val="center"/>
        <w:rPr>
          <w:rFonts w:ascii="Simplified Arabic" w:hAnsi="Simplified Arabic" w:cs="Simplified Arabic" w:hint="cs"/>
          <w:b/>
          <w:bCs/>
          <w:sz w:val="24"/>
          <w:szCs w:val="24"/>
          <w:rtl/>
        </w:rPr>
      </w:pPr>
    </w:p>
    <w:p w:rsidR="004F40D0" w:rsidRPr="00860EBC" w:rsidRDefault="004F40D0" w:rsidP="004F40D0">
      <w:pPr>
        <w:ind w:left="360" w:hanging="289"/>
        <w:jc w:val="center"/>
        <w:rPr>
          <w:rFonts w:cs="Simplified Arabic"/>
          <w:b/>
          <w:bCs/>
          <w:sz w:val="28"/>
          <w:szCs w:val="28"/>
          <w:rtl/>
        </w:rPr>
      </w:pPr>
      <w:r>
        <w:rPr>
          <w:rFonts w:cs="Simplified Arabic" w:hint="cs"/>
          <w:b/>
          <w:bCs/>
          <w:sz w:val="28"/>
          <w:szCs w:val="28"/>
          <w:rtl/>
        </w:rPr>
        <w:t xml:space="preserve">ورقة مفهوم حول تنقيح سلسلة </w:t>
      </w:r>
      <w:r w:rsidR="004A17AC">
        <w:rPr>
          <w:rFonts w:cs="Simplified Arabic" w:hint="cs"/>
          <w:b/>
          <w:bCs/>
          <w:sz w:val="28"/>
          <w:szCs w:val="28"/>
          <w:rtl/>
        </w:rPr>
        <w:t xml:space="preserve">بيانات </w:t>
      </w:r>
      <w:r>
        <w:rPr>
          <w:rFonts w:cs="Simplified Arabic" w:hint="cs"/>
          <w:b/>
          <w:bCs/>
          <w:sz w:val="28"/>
          <w:szCs w:val="28"/>
          <w:rtl/>
        </w:rPr>
        <w:t>الحسابات القومية</w:t>
      </w:r>
      <w:r w:rsidR="004A17AC">
        <w:rPr>
          <w:rFonts w:cs="Simplified Arabic" w:hint="cs"/>
          <w:b/>
          <w:bCs/>
          <w:sz w:val="28"/>
          <w:szCs w:val="28"/>
          <w:rtl/>
        </w:rPr>
        <w:t xml:space="preserve"> </w:t>
      </w:r>
      <w:proofErr w:type="spellStart"/>
      <w:r w:rsidR="004A17AC">
        <w:rPr>
          <w:rFonts w:cs="Simplified Arabic" w:hint="cs"/>
          <w:b/>
          <w:bCs/>
          <w:sz w:val="28"/>
          <w:szCs w:val="28"/>
          <w:rtl/>
        </w:rPr>
        <w:t>2004-</w:t>
      </w:r>
      <w:proofErr w:type="spellEnd"/>
      <w:r w:rsidR="004A17AC">
        <w:rPr>
          <w:rFonts w:cs="Simplified Arabic" w:hint="cs"/>
          <w:b/>
          <w:bCs/>
          <w:sz w:val="28"/>
          <w:szCs w:val="28"/>
          <w:rtl/>
        </w:rPr>
        <w:t xml:space="preserve"> 2016</w:t>
      </w:r>
    </w:p>
    <w:p w:rsidR="00AC28CA" w:rsidRPr="00B006ED" w:rsidRDefault="00AC28CA" w:rsidP="00AC28CA">
      <w:pPr>
        <w:spacing w:after="0"/>
        <w:jc w:val="both"/>
        <w:rPr>
          <w:rFonts w:ascii="Simplified Arabic" w:hAnsi="Simplified Arabic" w:cs="Simplified Arabic"/>
          <w:sz w:val="24"/>
          <w:szCs w:val="24"/>
          <w:rtl/>
        </w:rPr>
      </w:pPr>
    </w:p>
    <w:p w:rsidR="00AC28CA" w:rsidRPr="00B006ED" w:rsidRDefault="00AC28CA" w:rsidP="00AC28CA">
      <w:pPr>
        <w:spacing w:after="0" w:line="360" w:lineRule="auto"/>
        <w:jc w:val="both"/>
        <w:rPr>
          <w:rFonts w:ascii="Simplified Arabic" w:hAnsi="Simplified Arabic" w:cs="Simplified Arabic"/>
          <w:b/>
          <w:bCs/>
          <w:sz w:val="24"/>
          <w:szCs w:val="24"/>
          <w:u w:val="single"/>
          <w:rtl/>
        </w:rPr>
      </w:pPr>
      <w:r w:rsidRPr="00B006ED">
        <w:rPr>
          <w:rFonts w:ascii="Simplified Arabic" w:hAnsi="Simplified Arabic" w:cs="Simplified Arabic"/>
          <w:b/>
          <w:bCs/>
          <w:sz w:val="24"/>
          <w:szCs w:val="24"/>
          <w:u w:val="single"/>
          <w:rtl/>
        </w:rPr>
        <w:t>مقدمة:</w:t>
      </w:r>
    </w:p>
    <w:p w:rsidR="005219EA" w:rsidRDefault="005219EA" w:rsidP="005219EA">
      <w:pPr>
        <w:jc w:val="lowKashida"/>
        <w:rPr>
          <w:rFonts w:cs="Simplified Arabic"/>
          <w:sz w:val="24"/>
          <w:szCs w:val="24"/>
          <w:rtl/>
        </w:rPr>
      </w:pPr>
      <w:r w:rsidRPr="00D50F93">
        <w:rPr>
          <w:rFonts w:cs="Simplified Arabic"/>
          <w:sz w:val="24"/>
          <w:szCs w:val="24"/>
          <w:rtl/>
        </w:rPr>
        <w:t xml:space="preserve">يمثل إعداد الحسابات القومية لأية دولة ذروة الجهود المبذولة في إعداد منظومة إحصاءات اقتصادية متكاملة </w:t>
      </w:r>
      <w:proofErr w:type="spellStart"/>
      <w:r w:rsidRPr="00D50F93">
        <w:rPr>
          <w:rFonts w:cs="Simplified Arabic"/>
          <w:sz w:val="24"/>
          <w:szCs w:val="24"/>
          <w:rtl/>
        </w:rPr>
        <w:t>وحديثة،</w:t>
      </w:r>
      <w:proofErr w:type="spellEnd"/>
      <w:r w:rsidRPr="00D50F93">
        <w:rPr>
          <w:rFonts w:cs="Simplified Arabic"/>
          <w:sz w:val="24"/>
          <w:szCs w:val="24"/>
          <w:rtl/>
        </w:rPr>
        <w:t xml:space="preserve"> وهذا يجعل من توفير البيانات الأساسية اللازمة لإعداد الحسابات القومية</w:t>
      </w:r>
      <w:r w:rsidR="00A24F59">
        <w:rPr>
          <w:rFonts w:cs="Simplified Arabic" w:hint="cs"/>
          <w:sz w:val="24"/>
          <w:szCs w:val="24"/>
          <w:rtl/>
        </w:rPr>
        <w:t xml:space="preserve"> وتطوير العمل على المصادر المتاحة لتحقيق التغطية الشاملة للبيانات</w:t>
      </w:r>
      <w:r w:rsidRPr="00D50F93">
        <w:rPr>
          <w:rFonts w:cs="Simplified Arabic"/>
          <w:sz w:val="24"/>
          <w:szCs w:val="24"/>
          <w:rtl/>
        </w:rPr>
        <w:t xml:space="preserve"> أحد أهم الأهداف </w:t>
      </w:r>
      <w:proofErr w:type="spellStart"/>
      <w:r w:rsidRPr="00D50F93">
        <w:rPr>
          <w:rFonts w:cs="Simplified Arabic"/>
          <w:sz w:val="24"/>
          <w:szCs w:val="24"/>
          <w:rtl/>
        </w:rPr>
        <w:t>المتوخاة</w:t>
      </w:r>
      <w:proofErr w:type="spellEnd"/>
      <w:r w:rsidRPr="00D50F93">
        <w:rPr>
          <w:rFonts w:cs="Simplified Arabic"/>
          <w:sz w:val="24"/>
          <w:szCs w:val="24"/>
          <w:rtl/>
        </w:rPr>
        <w:t xml:space="preserve"> عند الشروع ببناء قواعد البيانات الإحصائية الاقتصادية بمختلف أنواعها </w:t>
      </w:r>
      <w:proofErr w:type="spellStart"/>
      <w:r w:rsidRPr="00D50F93">
        <w:rPr>
          <w:rFonts w:cs="Simplified Arabic"/>
          <w:sz w:val="24"/>
          <w:szCs w:val="24"/>
          <w:rtl/>
        </w:rPr>
        <w:t>وتشعباتها</w:t>
      </w:r>
      <w:r w:rsidRPr="00D50F93">
        <w:rPr>
          <w:rFonts w:cs="Simplified Arabic" w:hint="cs"/>
          <w:sz w:val="24"/>
          <w:szCs w:val="24"/>
          <w:rtl/>
        </w:rPr>
        <w:t>،</w:t>
      </w:r>
      <w:proofErr w:type="spellEnd"/>
      <w:r w:rsidRPr="00D50F93">
        <w:rPr>
          <w:rFonts w:cs="Simplified Arabic" w:hint="cs"/>
          <w:sz w:val="24"/>
          <w:szCs w:val="24"/>
          <w:rtl/>
        </w:rPr>
        <w:t xml:space="preserve"> حيث تقدم</w:t>
      </w:r>
      <w:r w:rsidRPr="00D50F93">
        <w:rPr>
          <w:rFonts w:cs="Simplified Arabic"/>
          <w:sz w:val="24"/>
          <w:szCs w:val="24"/>
          <w:rtl/>
        </w:rPr>
        <w:t xml:space="preserve"> الحسابات القومية</w:t>
      </w:r>
      <w:r w:rsidRPr="00D50F93">
        <w:rPr>
          <w:rFonts w:cs="Simplified Arabic" w:hint="cs"/>
          <w:sz w:val="24"/>
          <w:szCs w:val="24"/>
          <w:rtl/>
        </w:rPr>
        <w:t xml:space="preserve"> </w:t>
      </w:r>
      <w:r w:rsidRPr="00D50F93">
        <w:rPr>
          <w:rFonts w:cs="Simplified Arabic"/>
          <w:sz w:val="24"/>
          <w:szCs w:val="24"/>
          <w:rtl/>
        </w:rPr>
        <w:t>وصف</w:t>
      </w:r>
      <w:r w:rsidRPr="00D50F93">
        <w:rPr>
          <w:rFonts w:cs="Simplified Arabic" w:hint="cs"/>
          <w:sz w:val="24"/>
          <w:szCs w:val="24"/>
          <w:rtl/>
        </w:rPr>
        <w:t>ا</w:t>
      </w:r>
      <w:r>
        <w:rPr>
          <w:rFonts w:cs="Simplified Arabic" w:hint="cs"/>
          <w:sz w:val="24"/>
          <w:szCs w:val="24"/>
          <w:rtl/>
        </w:rPr>
        <w:t>ً</w:t>
      </w:r>
      <w:r w:rsidRPr="00D50F93">
        <w:rPr>
          <w:rFonts w:cs="Simplified Arabic"/>
          <w:sz w:val="24"/>
          <w:szCs w:val="24"/>
          <w:rtl/>
        </w:rPr>
        <w:t xml:space="preserve"> إحصائي</w:t>
      </w:r>
      <w:r w:rsidRPr="00D50F93">
        <w:rPr>
          <w:rFonts w:cs="Simplified Arabic" w:hint="cs"/>
          <w:sz w:val="24"/>
          <w:szCs w:val="24"/>
          <w:rtl/>
        </w:rPr>
        <w:t>ا</w:t>
      </w:r>
      <w:r>
        <w:rPr>
          <w:rFonts w:cs="Simplified Arabic" w:hint="cs"/>
          <w:sz w:val="24"/>
          <w:szCs w:val="24"/>
          <w:rtl/>
        </w:rPr>
        <w:t>ً</w:t>
      </w:r>
      <w:r w:rsidRPr="00D50F93">
        <w:rPr>
          <w:rFonts w:cs="Simplified Arabic"/>
          <w:sz w:val="24"/>
          <w:szCs w:val="24"/>
          <w:rtl/>
        </w:rPr>
        <w:t xml:space="preserve"> منظم</w:t>
      </w:r>
      <w:r w:rsidRPr="00D50F93">
        <w:rPr>
          <w:rFonts w:cs="Simplified Arabic" w:hint="cs"/>
          <w:sz w:val="24"/>
          <w:szCs w:val="24"/>
          <w:rtl/>
        </w:rPr>
        <w:t>ا</w:t>
      </w:r>
      <w:r>
        <w:rPr>
          <w:rFonts w:cs="Simplified Arabic" w:hint="cs"/>
          <w:sz w:val="24"/>
          <w:szCs w:val="24"/>
          <w:rtl/>
        </w:rPr>
        <w:t>ً</w:t>
      </w:r>
      <w:r w:rsidRPr="00D50F93">
        <w:rPr>
          <w:rFonts w:cs="Simplified Arabic"/>
          <w:sz w:val="24"/>
          <w:szCs w:val="24"/>
          <w:rtl/>
        </w:rPr>
        <w:t xml:space="preserve"> للاقتصاد </w:t>
      </w:r>
      <w:proofErr w:type="spellStart"/>
      <w:r w:rsidRPr="00D50F93">
        <w:rPr>
          <w:rFonts w:cs="Simplified Arabic"/>
          <w:sz w:val="24"/>
          <w:szCs w:val="24"/>
          <w:rtl/>
        </w:rPr>
        <w:t>ككل،</w:t>
      </w:r>
      <w:proofErr w:type="spellEnd"/>
      <w:r w:rsidRPr="00D50F93">
        <w:rPr>
          <w:rFonts w:cs="Simplified Arabic"/>
          <w:sz w:val="24"/>
          <w:szCs w:val="24"/>
          <w:rtl/>
        </w:rPr>
        <w:t xml:space="preserve"> وبنفس الوقت </w:t>
      </w:r>
      <w:r w:rsidRPr="00D50F93">
        <w:rPr>
          <w:rFonts w:cs="Simplified Arabic" w:hint="cs"/>
          <w:sz w:val="24"/>
          <w:szCs w:val="24"/>
          <w:rtl/>
        </w:rPr>
        <w:t xml:space="preserve">تعمل على </w:t>
      </w:r>
      <w:r w:rsidRPr="00D50F93">
        <w:rPr>
          <w:rFonts w:cs="Simplified Arabic"/>
          <w:sz w:val="24"/>
          <w:szCs w:val="24"/>
          <w:rtl/>
        </w:rPr>
        <w:t>توف</w:t>
      </w:r>
      <w:r w:rsidRPr="00D50F93">
        <w:rPr>
          <w:rFonts w:cs="Simplified Arabic" w:hint="cs"/>
          <w:sz w:val="24"/>
          <w:szCs w:val="24"/>
          <w:rtl/>
        </w:rPr>
        <w:t>ي</w:t>
      </w:r>
      <w:r w:rsidRPr="00D50F93">
        <w:rPr>
          <w:rFonts w:cs="Simplified Arabic"/>
          <w:sz w:val="24"/>
          <w:szCs w:val="24"/>
          <w:rtl/>
        </w:rPr>
        <w:t>ر البيانات</w:t>
      </w:r>
      <w:r w:rsidRPr="00D50F93">
        <w:rPr>
          <w:rFonts w:cs="Simplified Arabic" w:hint="cs"/>
          <w:sz w:val="24"/>
          <w:szCs w:val="24"/>
          <w:rtl/>
        </w:rPr>
        <w:t xml:space="preserve"> الإحصائية المفصلة</w:t>
      </w:r>
      <w:r w:rsidRPr="00D50F93">
        <w:rPr>
          <w:rFonts w:cs="Simplified Arabic"/>
          <w:sz w:val="24"/>
          <w:szCs w:val="24"/>
          <w:rtl/>
        </w:rPr>
        <w:t xml:space="preserve"> عن التعاملات التي تجري بين مختلف </w:t>
      </w:r>
      <w:r w:rsidRPr="00D50F93">
        <w:rPr>
          <w:rFonts w:cs="Simplified Arabic" w:hint="cs"/>
          <w:sz w:val="24"/>
          <w:szCs w:val="24"/>
          <w:rtl/>
        </w:rPr>
        <w:t>الأطراف</w:t>
      </w:r>
      <w:r w:rsidRPr="00D50F93">
        <w:rPr>
          <w:rFonts w:cs="Simplified Arabic"/>
          <w:sz w:val="24"/>
          <w:szCs w:val="24"/>
          <w:rtl/>
        </w:rPr>
        <w:t xml:space="preserve"> في الاقتصاد المحلي</w:t>
      </w:r>
      <w:r w:rsidRPr="00D50F93">
        <w:rPr>
          <w:rFonts w:cs="Simplified Arabic" w:hint="cs"/>
          <w:sz w:val="24"/>
          <w:szCs w:val="24"/>
          <w:rtl/>
        </w:rPr>
        <w:t xml:space="preserve"> من </w:t>
      </w:r>
      <w:proofErr w:type="spellStart"/>
      <w:r w:rsidRPr="00D50F93">
        <w:rPr>
          <w:rFonts w:cs="Simplified Arabic" w:hint="cs"/>
          <w:sz w:val="24"/>
          <w:szCs w:val="24"/>
          <w:rtl/>
        </w:rPr>
        <w:t>جهة</w:t>
      </w:r>
      <w:r w:rsidRPr="00D50F93">
        <w:rPr>
          <w:rFonts w:cs="Simplified Arabic"/>
          <w:sz w:val="24"/>
          <w:szCs w:val="24"/>
          <w:rtl/>
        </w:rPr>
        <w:t>،</w:t>
      </w:r>
      <w:proofErr w:type="spellEnd"/>
      <w:r w:rsidRPr="00D50F93">
        <w:rPr>
          <w:rFonts w:cs="Simplified Arabic"/>
          <w:sz w:val="24"/>
          <w:szCs w:val="24"/>
          <w:rtl/>
        </w:rPr>
        <w:t xml:space="preserve"> وبين الاقتصاد المحلي وباقي دول العالم</w:t>
      </w:r>
      <w:r>
        <w:rPr>
          <w:rFonts w:cs="Simplified Arabic" w:hint="cs"/>
          <w:sz w:val="24"/>
          <w:szCs w:val="24"/>
          <w:rtl/>
        </w:rPr>
        <w:t xml:space="preserve"> من جهة </w:t>
      </w:r>
      <w:proofErr w:type="spellStart"/>
      <w:r>
        <w:rPr>
          <w:rFonts w:cs="Simplified Arabic" w:hint="cs"/>
          <w:sz w:val="24"/>
          <w:szCs w:val="24"/>
          <w:rtl/>
        </w:rPr>
        <w:t>أخرى،</w:t>
      </w:r>
      <w:proofErr w:type="spellEnd"/>
      <w:r w:rsidRPr="00D50F93">
        <w:rPr>
          <w:rFonts w:cs="Simplified Arabic" w:hint="cs"/>
          <w:sz w:val="24"/>
          <w:szCs w:val="24"/>
          <w:rtl/>
        </w:rPr>
        <w:t xml:space="preserve"> </w:t>
      </w:r>
      <w:r>
        <w:rPr>
          <w:rFonts w:cs="Simplified Arabic" w:hint="cs"/>
          <w:sz w:val="24"/>
          <w:szCs w:val="24"/>
          <w:rtl/>
        </w:rPr>
        <w:t>والوقوف</w:t>
      </w:r>
      <w:r w:rsidRPr="00D50F93">
        <w:rPr>
          <w:rFonts w:cs="Simplified Arabic" w:hint="cs"/>
          <w:sz w:val="24"/>
          <w:szCs w:val="24"/>
          <w:rtl/>
        </w:rPr>
        <w:t xml:space="preserve"> على اتجاهات النمو في الاقتصاد الوطني من سنة لأخرى ومراقبة الأداء</w:t>
      </w:r>
      <w:r>
        <w:rPr>
          <w:rFonts w:cs="Simplified Arabic" w:hint="cs"/>
          <w:sz w:val="24"/>
          <w:szCs w:val="24"/>
          <w:rtl/>
        </w:rPr>
        <w:t xml:space="preserve"> الاقتصادي وتقلباته عبر السنوات. </w:t>
      </w:r>
      <w:r w:rsidRPr="00D50F93">
        <w:rPr>
          <w:rFonts w:cs="Simplified Arabic" w:hint="cs"/>
          <w:sz w:val="24"/>
          <w:szCs w:val="24"/>
          <w:rtl/>
        </w:rPr>
        <w:t xml:space="preserve"> </w:t>
      </w:r>
      <w:proofErr w:type="spellStart"/>
      <w:r>
        <w:rPr>
          <w:rFonts w:cs="Simplified Arabic" w:hint="cs"/>
          <w:sz w:val="24"/>
          <w:szCs w:val="24"/>
          <w:rtl/>
        </w:rPr>
        <w:t>بالتالي،</w:t>
      </w:r>
      <w:proofErr w:type="spellEnd"/>
      <w:r>
        <w:rPr>
          <w:rFonts w:cs="Simplified Arabic" w:hint="cs"/>
          <w:sz w:val="24"/>
          <w:szCs w:val="24"/>
          <w:rtl/>
        </w:rPr>
        <w:t xml:space="preserve"> يكتسب</w:t>
      </w:r>
      <w:r w:rsidRPr="00D50F93">
        <w:rPr>
          <w:rFonts w:cs="Simplified Arabic" w:hint="cs"/>
          <w:sz w:val="24"/>
          <w:szCs w:val="24"/>
          <w:rtl/>
        </w:rPr>
        <w:t xml:space="preserve"> إعداد سلسلة زمنية متسقة ومنسجمة لبيانات الحسابات القومية وبالأسعار الجارية والثابتة أهمية قصوى لما يعنيه ذلك من فتح آفاق المقارنة والقياس والتحليل الاقتصادي. </w:t>
      </w:r>
    </w:p>
    <w:p w:rsidR="004F40D0" w:rsidRPr="004F40D0" w:rsidRDefault="004F40D0" w:rsidP="004F40D0">
      <w:pPr>
        <w:numPr>
          <w:ilvl w:val="12"/>
          <w:numId w:val="0"/>
        </w:numPr>
        <w:jc w:val="lowKashida"/>
        <w:rPr>
          <w:rFonts w:cs="Simplified Arabic"/>
          <w:sz w:val="24"/>
          <w:szCs w:val="24"/>
          <w:rtl/>
        </w:rPr>
      </w:pPr>
      <w:r w:rsidRPr="004F40D0">
        <w:rPr>
          <w:rFonts w:cs="Simplified Arabic" w:hint="cs"/>
          <w:sz w:val="24"/>
          <w:szCs w:val="24"/>
          <w:rtl/>
        </w:rPr>
        <w:t>يعتبر ا</w:t>
      </w:r>
      <w:r w:rsidRPr="004F40D0">
        <w:rPr>
          <w:rFonts w:cs="Simplified Arabic"/>
          <w:sz w:val="24"/>
          <w:szCs w:val="24"/>
          <w:rtl/>
        </w:rPr>
        <w:t>لناتج المحلي</w:t>
      </w:r>
      <w:r w:rsidRPr="004F40D0">
        <w:rPr>
          <w:rFonts w:cs="Simplified Arabic" w:hint="cs"/>
          <w:sz w:val="24"/>
          <w:szCs w:val="24"/>
          <w:rtl/>
        </w:rPr>
        <w:t xml:space="preserve"> </w:t>
      </w:r>
      <w:r w:rsidRPr="004F40D0">
        <w:rPr>
          <w:rFonts w:cs="Simplified Arabic"/>
          <w:sz w:val="24"/>
          <w:szCs w:val="24"/>
          <w:rtl/>
        </w:rPr>
        <w:t>مؤشر يقيس إجمالي القيمة المضافة لكافة الأنشطة الاقتصادية</w:t>
      </w:r>
      <w:r w:rsidRPr="004F40D0">
        <w:rPr>
          <w:rFonts w:cs="Simplified Arabic" w:hint="cs"/>
          <w:sz w:val="24"/>
          <w:szCs w:val="24"/>
          <w:rtl/>
        </w:rPr>
        <w:t xml:space="preserve"> من خلال</w:t>
      </w:r>
      <w:r w:rsidRPr="004F40D0">
        <w:rPr>
          <w:rFonts w:cs="Simplified Arabic"/>
          <w:sz w:val="24"/>
          <w:szCs w:val="24"/>
          <w:rtl/>
        </w:rPr>
        <w:t xml:space="preserve"> المخرجات من السلع والخدمات للاستعمال النهائي التي ينتجها اقتصاد ما بواسطة المقيمين وغير المقيمين من </w:t>
      </w:r>
      <w:proofErr w:type="spellStart"/>
      <w:r w:rsidRPr="004F40D0">
        <w:rPr>
          <w:rFonts w:cs="Simplified Arabic"/>
          <w:sz w:val="24"/>
          <w:szCs w:val="24"/>
          <w:rtl/>
        </w:rPr>
        <w:t>سكانه،</w:t>
      </w:r>
      <w:proofErr w:type="spellEnd"/>
      <w:r w:rsidRPr="004F40D0">
        <w:rPr>
          <w:rFonts w:cs="Simplified Arabic"/>
          <w:sz w:val="24"/>
          <w:szCs w:val="24"/>
          <w:rtl/>
        </w:rPr>
        <w:t xml:space="preserve"> (عوامل الانتاج المحلية</w:t>
      </w:r>
      <w:r w:rsidR="00144068">
        <w:rPr>
          <w:rFonts w:cs="Simplified Arabic" w:hint="cs"/>
          <w:sz w:val="24"/>
          <w:szCs w:val="24"/>
          <w:rtl/>
        </w:rPr>
        <w:t xml:space="preserve"> من الأرض والعمال ورأس المال</w:t>
      </w:r>
      <w:proofErr w:type="spellStart"/>
      <w:r w:rsidRPr="004F40D0">
        <w:rPr>
          <w:rFonts w:cs="Simplified Arabic"/>
          <w:sz w:val="24"/>
          <w:szCs w:val="24"/>
          <w:rtl/>
        </w:rPr>
        <w:t>)</w:t>
      </w:r>
      <w:proofErr w:type="spellEnd"/>
      <w:r w:rsidRPr="004F40D0">
        <w:rPr>
          <w:rFonts w:cs="Simplified Arabic"/>
          <w:sz w:val="24"/>
          <w:szCs w:val="24"/>
          <w:rtl/>
        </w:rPr>
        <w:t xml:space="preserve"> وبغض النظر عن توزيع هذا الإنتاج محليا أو خارجيا. </w:t>
      </w:r>
    </w:p>
    <w:p w:rsidR="004F40D0" w:rsidRDefault="00A24F59" w:rsidP="00144068">
      <w:pPr>
        <w:jc w:val="lowKashida"/>
        <w:rPr>
          <w:rFonts w:cs="Simplified Arabic"/>
          <w:sz w:val="24"/>
          <w:szCs w:val="24"/>
          <w:rtl/>
        </w:rPr>
      </w:pPr>
      <w:r>
        <w:rPr>
          <w:rFonts w:cs="Simplified Arabic" w:hint="cs"/>
          <w:sz w:val="24"/>
          <w:szCs w:val="24"/>
          <w:rtl/>
        </w:rPr>
        <w:t xml:space="preserve">لقد عكف الجهاز المركزي للإحصاء الفلسطيني على اعداد بيانات الحسابات القومية بالأسعار الجارية </w:t>
      </w:r>
      <w:proofErr w:type="spellStart"/>
      <w:r>
        <w:rPr>
          <w:rFonts w:cs="Simplified Arabic" w:hint="cs"/>
          <w:sz w:val="24"/>
          <w:szCs w:val="24"/>
          <w:rtl/>
        </w:rPr>
        <w:t>والثابتة،</w:t>
      </w:r>
      <w:proofErr w:type="spellEnd"/>
      <w:r>
        <w:rPr>
          <w:rFonts w:cs="Simplified Arabic" w:hint="cs"/>
          <w:sz w:val="24"/>
          <w:szCs w:val="24"/>
          <w:rtl/>
        </w:rPr>
        <w:t xml:space="preserve"> وسعى دوماً الى تحقيق مستويات تغطية أفضل لمؤشرات الناتج المحلي الاجمالي بما يعكس صورة واضحة عن الاقتصاد </w:t>
      </w:r>
      <w:proofErr w:type="spellStart"/>
      <w:r>
        <w:rPr>
          <w:rFonts w:cs="Simplified Arabic" w:hint="cs"/>
          <w:sz w:val="24"/>
          <w:szCs w:val="24"/>
          <w:rtl/>
        </w:rPr>
        <w:t>الفلسطيني،</w:t>
      </w:r>
      <w:proofErr w:type="spellEnd"/>
      <w:r>
        <w:rPr>
          <w:rFonts w:cs="Simplified Arabic" w:hint="cs"/>
          <w:sz w:val="24"/>
          <w:szCs w:val="24"/>
          <w:rtl/>
        </w:rPr>
        <w:t xml:space="preserve"> ولذلك شهدت الحسابات القومية </w:t>
      </w:r>
      <w:proofErr w:type="spellStart"/>
      <w:r>
        <w:rPr>
          <w:rFonts w:cs="Simplified Arabic" w:hint="cs"/>
          <w:sz w:val="24"/>
          <w:szCs w:val="24"/>
          <w:rtl/>
        </w:rPr>
        <w:t>تنقيحات</w:t>
      </w:r>
      <w:proofErr w:type="spellEnd"/>
      <w:r>
        <w:rPr>
          <w:rFonts w:cs="Simplified Arabic" w:hint="cs"/>
          <w:sz w:val="24"/>
          <w:szCs w:val="24"/>
          <w:rtl/>
        </w:rPr>
        <w:t xml:space="preserve"> مستمرة للبيانات تعزيزا لهذا الهدف وتماشياً مع التوصيات الدولية التي تؤكد على ضرورة الحصول وبشكل مستمر على تنقيح  للحسابات القومية في ظل اعتماد منهجيات جديدة أو توفر مصادر بيانات اضافية</w:t>
      </w:r>
      <w:r w:rsidR="00144068">
        <w:rPr>
          <w:rFonts w:cs="Simplified Arabic" w:hint="cs"/>
          <w:sz w:val="24"/>
          <w:szCs w:val="24"/>
          <w:rtl/>
        </w:rPr>
        <w:t>.</w:t>
      </w:r>
    </w:p>
    <w:p w:rsidR="004A17AC" w:rsidRDefault="004A17AC" w:rsidP="00144068">
      <w:pPr>
        <w:jc w:val="lowKashida"/>
        <w:rPr>
          <w:rFonts w:cs="Simplified Arabic"/>
          <w:sz w:val="24"/>
          <w:szCs w:val="24"/>
          <w:rtl/>
        </w:rPr>
      </w:pPr>
    </w:p>
    <w:p w:rsidR="00DD65FF" w:rsidRDefault="00DD65FF" w:rsidP="00144068">
      <w:pPr>
        <w:jc w:val="lowKashida"/>
        <w:rPr>
          <w:rFonts w:cs="Simplified Arabic"/>
          <w:sz w:val="24"/>
          <w:szCs w:val="24"/>
          <w:rtl/>
        </w:rPr>
      </w:pPr>
    </w:p>
    <w:p w:rsidR="00DD65FF" w:rsidRPr="008946F0" w:rsidRDefault="00DD65FF" w:rsidP="00144068">
      <w:pPr>
        <w:jc w:val="lowKashida"/>
        <w:rPr>
          <w:rFonts w:cs="Simplified Arabic"/>
          <w:sz w:val="24"/>
          <w:szCs w:val="24"/>
        </w:rPr>
      </w:pPr>
      <w:r>
        <w:rPr>
          <w:rFonts w:cs="Simplified Arabic" w:hint="cs"/>
          <w:sz w:val="24"/>
          <w:szCs w:val="24"/>
          <w:rtl/>
        </w:rPr>
        <w:t xml:space="preserve">                                               </w:t>
      </w:r>
    </w:p>
    <w:p w:rsidR="004A17AC" w:rsidRDefault="004A17AC" w:rsidP="00AC28CA">
      <w:pPr>
        <w:spacing w:after="0" w:line="360" w:lineRule="auto"/>
        <w:jc w:val="both"/>
        <w:rPr>
          <w:rFonts w:ascii="Simplified Arabic" w:hAnsi="Simplified Arabic" w:cs="Simplified Arabic"/>
          <w:b/>
          <w:bCs/>
          <w:sz w:val="24"/>
          <w:szCs w:val="24"/>
          <w:u w:val="single"/>
          <w:rtl/>
        </w:rPr>
      </w:pPr>
    </w:p>
    <w:p w:rsidR="004A17AC" w:rsidRDefault="004A17AC" w:rsidP="00AC28CA">
      <w:pPr>
        <w:spacing w:after="0" w:line="360" w:lineRule="auto"/>
        <w:jc w:val="both"/>
        <w:rPr>
          <w:rFonts w:ascii="Simplified Arabic" w:hAnsi="Simplified Arabic" w:cs="Simplified Arabic"/>
          <w:b/>
          <w:bCs/>
          <w:sz w:val="24"/>
          <w:szCs w:val="24"/>
          <w:u w:val="single"/>
          <w:rtl/>
        </w:rPr>
      </w:pPr>
    </w:p>
    <w:p w:rsidR="004A17AC" w:rsidRPr="003067A4" w:rsidRDefault="004F40D0" w:rsidP="003067A4">
      <w:pPr>
        <w:spacing w:after="0" w:line="360" w:lineRule="auto"/>
        <w:jc w:val="both"/>
        <w:rPr>
          <w:rFonts w:ascii="Simplified Arabic" w:hAnsi="Simplified Arabic" w:cs="Simplified Arabic"/>
          <w:b/>
          <w:bCs/>
          <w:sz w:val="24"/>
          <w:szCs w:val="24"/>
          <w:u w:val="single"/>
          <w:rtl/>
        </w:rPr>
      </w:pPr>
      <w:r>
        <w:rPr>
          <w:rFonts w:ascii="Simplified Arabic" w:hAnsi="Simplified Arabic" w:cs="Simplified Arabic" w:hint="cs"/>
          <w:b/>
          <w:bCs/>
          <w:sz w:val="24"/>
          <w:szCs w:val="24"/>
          <w:u w:val="single"/>
          <w:rtl/>
        </w:rPr>
        <w:lastRenderedPageBreak/>
        <w:t>دواعي التنقيح:</w:t>
      </w:r>
    </w:p>
    <w:p w:rsidR="004F40D0" w:rsidRDefault="003067A4" w:rsidP="004A17AC">
      <w:pPr>
        <w:spacing w:after="0"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تم</w:t>
      </w:r>
      <w:r w:rsidR="004A17AC">
        <w:rPr>
          <w:rFonts w:ascii="Simplified Arabic" w:hAnsi="Simplified Arabic" w:cs="Simplified Arabic" w:hint="cs"/>
          <w:color w:val="000000" w:themeColor="text1"/>
          <w:sz w:val="24"/>
          <w:szCs w:val="24"/>
          <w:rtl/>
        </w:rPr>
        <w:t xml:space="preserve"> </w:t>
      </w:r>
      <w:r w:rsidR="004F40D0">
        <w:rPr>
          <w:rFonts w:ascii="Simplified Arabic" w:hAnsi="Simplified Arabic" w:cs="Simplified Arabic" w:hint="cs"/>
          <w:color w:val="000000" w:themeColor="text1"/>
          <w:sz w:val="24"/>
          <w:szCs w:val="24"/>
          <w:rtl/>
        </w:rPr>
        <w:t xml:space="preserve">تنقيح بيانات الحسابات القومية للأعوام </w:t>
      </w:r>
      <w:proofErr w:type="spellStart"/>
      <w:r w:rsidR="004F40D0">
        <w:rPr>
          <w:rFonts w:ascii="Simplified Arabic" w:hAnsi="Simplified Arabic" w:cs="Simplified Arabic" w:hint="cs"/>
          <w:color w:val="000000" w:themeColor="text1"/>
          <w:sz w:val="24"/>
          <w:szCs w:val="24"/>
          <w:rtl/>
        </w:rPr>
        <w:t>2004-</w:t>
      </w:r>
      <w:proofErr w:type="spellEnd"/>
      <w:r w:rsidR="004F40D0">
        <w:rPr>
          <w:rFonts w:ascii="Simplified Arabic" w:hAnsi="Simplified Arabic" w:cs="Simplified Arabic" w:hint="cs"/>
          <w:color w:val="000000" w:themeColor="text1"/>
          <w:sz w:val="24"/>
          <w:szCs w:val="24"/>
          <w:rtl/>
        </w:rPr>
        <w:t xml:space="preserve"> </w:t>
      </w:r>
      <w:r w:rsidR="004A17AC">
        <w:rPr>
          <w:rFonts w:ascii="Simplified Arabic" w:hAnsi="Simplified Arabic" w:cs="Simplified Arabic" w:hint="cs"/>
          <w:color w:val="000000" w:themeColor="text1"/>
          <w:sz w:val="24"/>
          <w:szCs w:val="24"/>
          <w:rtl/>
        </w:rPr>
        <w:t>2016</w:t>
      </w:r>
      <w:r w:rsidR="004F40D0">
        <w:rPr>
          <w:rFonts w:ascii="Simplified Arabic" w:hAnsi="Simplified Arabic" w:cs="Simplified Arabic" w:hint="cs"/>
          <w:color w:val="000000" w:themeColor="text1"/>
          <w:sz w:val="24"/>
          <w:szCs w:val="24"/>
          <w:rtl/>
        </w:rPr>
        <w:t xml:space="preserve"> اعتماداً على مجموعة من العوامل التي استدعت التنقيح تتلخص بالتالي:</w:t>
      </w:r>
    </w:p>
    <w:p w:rsidR="004F40D0" w:rsidRDefault="004F40D0" w:rsidP="004F40D0">
      <w:pPr>
        <w:spacing w:after="0" w:line="240" w:lineRule="auto"/>
        <w:jc w:val="both"/>
        <w:rPr>
          <w:rFonts w:ascii="Simplified Arabic" w:hAnsi="Simplified Arabic" w:cs="Simplified Arabic"/>
          <w:color w:val="000000" w:themeColor="text1"/>
          <w:sz w:val="24"/>
          <w:szCs w:val="24"/>
          <w:rtl/>
        </w:rPr>
      </w:pPr>
    </w:p>
    <w:p w:rsidR="006063EB" w:rsidRDefault="004F40D0" w:rsidP="004A17AC">
      <w:pPr>
        <w:rPr>
          <w:rFonts w:ascii="Simplified Arabic" w:hAnsi="Simplified Arabic" w:cs="Simplified Arabic"/>
          <w:b/>
          <w:bCs/>
          <w:color w:val="000000" w:themeColor="text1"/>
          <w:sz w:val="24"/>
          <w:szCs w:val="24"/>
          <w:rtl/>
        </w:rPr>
      </w:pPr>
      <w:proofErr w:type="spellStart"/>
      <w:r w:rsidRPr="004F40D0">
        <w:rPr>
          <w:rFonts w:ascii="Simplified Arabic" w:hAnsi="Simplified Arabic" w:cs="Simplified Arabic" w:hint="cs"/>
          <w:b/>
          <w:bCs/>
          <w:color w:val="000000" w:themeColor="text1"/>
          <w:sz w:val="24"/>
          <w:szCs w:val="24"/>
          <w:rtl/>
        </w:rPr>
        <w:t>أولاً:</w:t>
      </w:r>
      <w:proofErr w:type="spellEnd"/>
      <w:r w:rsidR="006063EB">
        <w:rPr>
          <w:rFonts w:ascii="Simplified Arabic" w:hAnsi="Simplified Arabic" w:cs="Simplified Arabic" w:hint="cs"/>
          <w:b/>
          <w:bCs/>
          <w:color w:val="000000" w:themeColor="text1"/>
          <w:sz w:val="24"/>
          <w:szCs w:val="24"/>
          <w:rtl/>
        </w:rPr>
        <w:t xml:space="preserve"> اعداد جداول العرض والاستخدام 2017</w:t>
      </w:r>
    </w:p>
    <w:p w:rsidR="006063EB" w:rsidRDefault="006063EB" w:rsidP="006063EB">
      <w:pPr>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تعتبر جداول العرض والاستخدام من أهم الادوات المتبعة في العديد من الاجهزة الاحصائية لتتبع الاتساق العام للبيانات التي ترد من مصادر </w:t>
      </w:r>
      <w:proofErr w:type="spellStart"/>
      <w:r>
        <w:rPr>
          <w:rFonts w:ascii="Simplified Arabic" w:hAnsi="Simplified Arabic" w:cs="Simplified Arabic" w:hint="cs"/>
          <w:sz w:val="24"/>
          <w:szCs w:val="24"/>
          <w:rtl/>
        </w:rPr>
        <w:t>مختلفة،</w:t>
      </w:r>
      <w:proofErr w:type="spellEnd"/>
      <w:r>
        <w:rPr>
          <w:rFonts w:ascii="Simplified Arabic" w:hAnsi="Simplified Arabic" w:cs="Simplified Arabic" w:hint="cs"/>
          <w:sz w:val="24"/>
          <w:szCs w:val="24"/>
          <w:rtl/>
        </w:rPr>
        <w:t xml:space="preserve"> حيث تنبع أهمية هذه الجداول في قدرتها على فحص مواطن الضعف ورصد أهم المعاملات الاقتصادية والمنتجات ضمن جدولي العرض والاستخدام.</w:t>
      </w:r>
    </w:p>
    <w:p w:rsidR="002C1ACC" w:rsidRDefault="002C1ACC" w:rsidP="006063EB">
      <w:pPr>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يتطرق جانب العرض لإجمالي السلع والخدمات المعروضة في الاقتصاد من خلال الانتاج المحلي أو </w:t>
      </w:r>
      <w:proofErr w:type="spellStart"/>
      <w:r>
        <w:rPr>
          <w:rFonts w:ascii="Simplified Arabic" w:hAnsi="Simplified Arabic" w:cs="Simplified Arabic" w:hint="cs"/>
          <w:sz w:val="24"/>
          <w:szCs w:val="24"/>
          <w:rtl/>
        </w:rPr>
        <w:t>الواردات،</w:t>
      </w:r>
      <w:proofErr w:type="spellEnd"/>
      <w:r>
        <w:rPr>
          <w:rFonts w:ascii="Simplified Arabic" w:hAnsi="Simplified Arabic" w:cs="Simplified Arabic" w:hint="cs"/>
          <w:sz w:val="24"/>
          <w:szCs w:val="24"/>
          <w:rtl/>
        </w:rPr>
        <w:t xml:space="preserve"> في حين يتعرض جانب الاستخدام الى اجمالي السلع والخدمات المستخدمة في الاقتصاد وفق الاستخدام النهائي أو الوسيط بحيث يتم استخدام هذه السلع والخدمات إما </w:t>
      </w:r>
      <w:proofErr w:type="spellStart"/>
      <w:r>
        <w:rPr>
          <w:rFonts w:ascii="Simplified Arabic" w:hAnsi="Simplified Arabic" w:cs="Simplified Arabic" w:hint="cs"/>
          <w:sz w:val="24"/>
          <w:szCs w:val="24"/>
          <w:rtl/>
        </w:rPr>
        <w:t>كمدخلات</w:t>
      </w:r>
      <w:proofErr w:type="spellEnd"/>
      <w:r>
        <w:rPr>
          <w:rFonts w:ascii="Simplified Arabic" w:hAnsi="Simplified Arabic" w:cs="Simplified Arabic" w:hint="cs"/>
          <w:sz w:val="24"/>
          <w:szCs w:val="24"/>
          <w:rtl/>
        </w:rPr>
        <w:t xml:space="preserve"> لإنتاج سلع وخدمات أخرى أو يتم استهلاكها نهائيا من قبل الاسر والحكومة والمؤسسات غير الربحية أو كاستثمار أو يتم تصديرها. </w:t>
      </w:r>
    </w:p>
    <w:p w:rsidR="00147731" w:rsidRDefault="00147731" w:rsidP="003067A4">
      <w:pPr>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إن اعداد جداول العرض والاستخدام بحاجة الى توفر مصادر بيانات على المستوى التفصيلي بما يخدم بناء مصفوفة </w:t>
      </w:r>
      <w:proofErr w:type="spellStart"/>
      <w:r>
        <w:rPr>
          <w:rFonts w:ascii="Simplified Arabic" w:hAnsi="Simplified Arabic" w:cs="Simplified Arabic" w:hint="cs"/>
          <w:sz w:val="24"/>
          <w:szCs w:val="24"/>
          <w:rtl/>
        </w:rPr>
        <w:t>المدخلات</w:t>
      </w:r>
      <w:proofErr w:type="spellEnd"/>
      <w:r>
        <w:rPr>
          <w:rFonts w:ascii="Simplified Arabic" w:hAnsi="Simplified Arabic" w:cs="Simplified Arabic" w:hint="cs"/>
          <w:sz w:val="24"/>
          <w:szCs w:val="24"/>
          <w:rtl/>
        </w:rPr>
        <w:t xml:space="preserve"> والمخرجات ولتكون بذلك بمثابة أداة لخدمة صناع القرار.</w:t>
      </w:r>
    </w:p>
    <w:p w:rsidR="006063EB" w:rsidRDefault="006063EB" w:rsidP="00CB3A58">
      <w:pPr>
        <w:jc w:val="both"/>
        <w:rPr>
          <w:rFonts w:ascii="Simplified Arabic" w:hAnsi="Simplified Arabic" w:cs="Simplified Arabic"/>
          <w:sz w:val="24"/>
          <w:szCs w:val="24"/>
          <w:rtl/>
        </w:rPr>
      </w:pPr>
      <w:proofErr w:type="spellStart"/>
      <w:r>
        <w:rPr>
          <w:rFonts w:ascii="Simplified Arabic" w:hAnsi="Simplified Arabic" w:cs="Simplified Arabic" w:hint="cs"/>
          <w:sz w:val="24"/>
          <w:szCs w:val="24"/>
          <w:rtl/>
        </w:rPr>
        <w:t>تاريخيا،</w:t>
      </w:r>
      <w:proofErr w:type="spellEnd"/>
      <w:r>
        <w:rPr>
          <w:rFonts w:ascii="Simplified Arabic" w:hAnsi="Simplified Arabic" w:cs="Simplified Arabic" w:hint="cs"/>
          <w:sz w:val="24"/>
          <w:szCs w:val="24"/>
          <w:rtl/>
        </w:rPr>
        <w:t xml:space="preserve"> تم </w:t>
      </w:r>
      <w:r w:rsidR="00147731">
        <w:rPr>
          <w:rFonts w:ascii="Simplified Arabic" w:hAnsi="Simplified Arabic" w:cs="Simplified Arabic" w:hint="cs"/>
          <w:sz w:val="24"/>
          <w:szCs w:val="24"/>
          <w:rtl/>
        </w:rPr>
        <w:t>اعداد</w:t>
      </w:r>
      <w:r>
        <w:rPr>
          <w:rFonts w:ascii="Simplified Arabic" w:hAnsi="Simplified Arabic" w:cs="Simplified Arabic" w:hint="cs"/>
          <w:sz w:val="24"/>
          <w:szCs w:val="24"/>
          <w:rtl/>
        </w:rPr>
        <w:t xml:space="preserve"> جداول العرض والاستخدام في فلسطين من خلال </w:t>
      </w:r>
      <w:r w:rsidR="003067A4">
        <w:rPr>
          <w:rFonts w:ascii="Simplified Arabic" w:hAnsi="Simplified Arabic" w:cs="Simplified Arabic" w:hint="cs"/>
          <w:sz w:val="24"/>
          <w:szCs w:val="24"/>
          <w:rtl/>
        </w:rPr>
        <w:t>برنامج</w:t>
      </w:r>
      <w:r>
        <w:rPr>
          <w:rFonts w:ascii="Simplified Arabic" w:hAnsi="Simplified Arabic" w:cs="Simplified Arabic" w:hint="cs"/>
          <w:sz w:val="24"/>
          <w:szCs w:val="24"/>
          <w:rtl/>
        </w:rPr>
        <w:t xml:space="preserve"> الحسابات القومية في الجهاز المركزي للإحصاء الفلسطيني</w:t>
      </w:r>
      <w:r w:rsidR="00CB3A58">
        <w:rPr>
          <w:rFonts w:ascii="Simplified Arabic" w:hAnsi="Simplified Arabic" w:cs="Simplified Arabic" w:hint="cs"/>
          <w:sz w:val="24"/>
          <w:szCs w:val="24"/>
          <w:rtl/>
        </w:rPr>
        <w:t xml:space="preserve"> لدورات مختلفة كان آخرها للعام </w:t>
      </w:r>
      <w:proofErr w:type="spellStart"/>
      <w:r w:rsidR="00CB3A58">
        <w:rPr>
          <w:rFonts w:ascii="Simplified Arabic" w:hAnsi="Simplified Arabic" w:cs="Simplified Arabic" w:hint="cs"/>
          <w:sz w:val="24"/>
          <w:szCs w:val="24"/>
          <w:rtl/>
        </w:rPr>
        <w:t>2017،</w:t>
      </w:r>
      <w:proofErr w:type="spellEnd"/>
      <w:r w:rsidR="00CB3A58">
        <w:rPr>
          <w:rFonts w:ascii="Simplified Arabic" w:hAnsi="Simplified Arabic" w:cs="Simplified Arabic" w:hint="cs"/>
          <w:sz w:val="24"/>
          <w:szCs w:val="24"/>
          <w:rtl/>
        </w:rPr>
        <w:t xml:space="preserve"> علما أنه قد تم تنفيذه</w:t>
      </w:r>
      <w:r>
        <w:rPr>
          <w:rFonts w:ascii="Simplified Arabic" w:hAnsi="Simplified Arabic" w:cs="Simplified Arabic" w:hint="cs"/>
          <w:sz w:val="24"/>
          <w:szCs w:val="24"/>
          <w:rtl/>
        </w:rPr>
        <w:t xml:space="preserve"> للأعوام 1997 و 2004 </w:t>
      </w:r>
      <w:r w:rsidR="00CB3A58">
        <w:rPr>
          <w:rFonts w:ascii="Simplified Arabic" w:hAnsi="Simplified Arabic" w:cs="Simplified Arabic" w:hint="cs"/>
          <w:sz w:val="24"/>
          <w:szCs w:val="24"/>
          <w:rtl/>
        </w:rPr>
        <w:t>وفق توفر تغطية مناسبة للبيانات.</w:t>
      </w:r>
    </w:p>
    <w:p w:rsidR="00147731" w:rsidRDefault="006063EB" w:rsidP="00147731">
      <w:pPr>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لقد ساهم تنفيذ جداول العرض والاستخدام في فحص </w:t>
      </w:r>
      <w:proofErr w:type="spellStart"/>
      <w:r>
        <w:rPr>
          <w:rFonts w:ascii="Simplified Arabic" w:hAnsi="Simplified Arabic" w:cs="Simplified Arabic" w:hint="cs"/>
          <w:sz w:val="24"/>
          <w:szCs w:val="24"/>
          <w:rtl/>
        </w:rPr>
        <w:t>الترابطات</w:t>
      </w:r>
      <w:proofErr w:type="spellEnd"/>
      <w:r>
        <w:rPr>
          <w:rFonts w:ascii="Simplified Arabic" w:hAnsi="Simplified Arabic" w:cs="Simplified Arabic" w:hint="cs"/>
          <w:sz w:val="24"/>
          <w:szCs w:val="24"/>
          <w:rtl/>
        </w:rPr>
        <w:t xml:space="preserve"> في الاقتصاد وعكس المعاملات التي ظهرت ما بين جانبي العرض والاستخدام</w:t>
      </w:r>
      <w:r w:rsidR="00147731">
        <w:rPr>
          <w:rFonts w:ascii="Simplified Arabic" w:hAnsi="Simplified Arabic" w:cs="Simplified Arabic" w:hint="cs"/>
          <w:sz w:val="24"/>
          <w:szCs w:val="24"/>
          <w:rtl/>
        </w:rPr>
        <w:t xml:space="preserve"> بما يحقق التوازن الاقتصادي بين </w:t>
      </w:r>
      <w:proofErr w:type="spellStart"/>
      <w:r w:rsidR="00147731">
        <w:rPr>
          <w:rFonts w:ascii="Simplified Arabic" w:hAnsi="Simplified Arabic" w:cs="Simplified Arabic" w:hint="cs"/>
          <w:sz w:val="24"/>
          <w:szCs w:val="24"/>
          <w:rtl/>
        </w:rPr>
        <w:t>الجانبين</w:t>
      </w:r>
      <w:r w:rsidR="003067A4">
        <w:rPr>
          <w:rFonts w:ascii="Simplified Arabic" w:hAnsi="Simplified Arabic" w:cs="Simplified Arabic" w:hint="cs"/>
          <w:sz w:val="24"/>
          <w:szCs w:val="24"/>
          <w:rtl/>
        </w:rPr>
        <w:t>،</w:t>
      </w:r>
      <w:proofErr w:type="spellEnd"/>
      <w:r w:rsidR="00147731">
        <w:rPr>
          <w:rFonts w:ascii="Simplified Arabic" w:hAnsi="Simplified Arabic" w:cs="Simplified Arabic" w:hint="cs"/>
          <w:sz w:val="24"/>
          <w:szCs w:val="24"/>
          <w:rtl/>
        </w:rPr>
        <w:t xml:space="preserve"> وبما يعزز من جودة الاحصاءات الاقتصادية وتحسين مستويات التغطية والشمول لكافة القطاعات الاقتصادية وتوفير تقديرات للأنشطة غير الرسمية (القطاع غير المنظم</w:t>
      </w:r>
      <w:proofErr w:type="spellStart"/>
      <w:r w:rsidR="00147731">
        <w:rPr>
          <w:rFonts w:ascii="Simplified Arabic" w:hAnsi="Simplified Arabic" w:cs="Simplified Arabic" w:hint="cs"/>
          <w:sz w:val="24"/>
          <w:szCs w:val="24"/>
          <w:rtl/>
        </w:rPr>
        <w:t>).</w:t>
      </w:r>
      <w:proofErr w:type="spellEnd"/>
    </w:p>
    <w:p w:rsidR="006063EB" w:rsidRDefault="00147731" w:rsidP="00147731">
      <w:pPr>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6063EB">
        <w:rPr>
          <w:rFonts w:ascii="Simplified Arabic" w:hAnsi="Simplified Arabic" w:cs="Simplified Arabic" w:hint="cs"/>
          <w:sz w:val="24"/>
          <w:szCs w:val="24"/>
          <w:rtl/>
        </w:rPr>
        <w:t>وقد جاء تنفيذ جداول العرض والاستخدام للعام 2017 للأسباب التالية:</w:t>
      </w:r>
    </w:p>
    <w:p w:rsidR="006063EB" w:rsidRPr="006063EB" w:rsidRDefault="006063EB" w:rsidP="006063EB">
      <w:pPr>
        <w:pStyle w:val="ListParagraph"/>
        <w:numPr>
          <w:ilvl w:val="0"/>
          <w:numId w:val="9"/>
        </w:numPr>
        <w:jc w:val="both"/>
        <w:rPr>
          <w:rFonts w:ascii="Simplified Arabic" w:hAnsi="Simplified Arabic" w:cs="Simplified Arabic"/>
          <w:b/>
          <w:bCs/>
          <w:sz w:val="24"/>
          <w:szCs w:val="24"/>
        </w:rPr>
      </w:pPr>
      <w:r w:rsidRPr="006063EB">
        <w:rPr>
          <w:rFonts w:ascii="Simplified Arabic" w:hAnsi="Simplified Arabic" w:cs="Simplified Arabic" w:hint="cs"/>
          <w:sz w:val="24"/>
          <w:szCs w:val="24"/>
          <w:rtl/>
        </w:rPr>
        <w:t>تنفيذ التعداد العام للسكان والمساكن والمنشآت 2017 كمصدر بيانات مهم في توفير تغطية افضل</w:t>
      </w:r>
      <w:r w:rsidR="004A17AC">
        <w:rPr>
          <w:rFonts w:ascii="Simplified Arabic" w:hAnsi="Simplified Arabic" w:cs="Simplified Arabic" w:hint="cs"/>
          <w:sz w:val="24"/>
          <w:szCs w:val="24"/>
          <w:rtl/>
        </w:rPr>
        <w:t xml:space="preserve"> وأكثر حداثة</w:t>
      </w:r>
      <w:r w:rsidRPr="006063EB">
        <w:rPr>
          <w:rFonts w:ascii="Simplified Arabic" w:hAnsi="Simplified Arabic" w:cs="Simplified Arabic" w:hint="cs"/>
          <w:sz w:val="24"/>
          <w:szCs w:val="24"/>
          <w:rtl/>
        </w:rPr>
        <w:t>.</w:t>
      </w:r>
    </w:p>
    <w:p w:rsidR="003067A4" w:rsidRPr="003067A4" w:rsidRDefault="006063EB" w:rsidP="00CB3A58">
      <w:pPr>
        <w:pStyle w:val="ListParagraph"/>
        <w:numPr>
          <w:ilvl w:val="0"/>
          <w:numId w:val="9"/>
        </w:numPr>
        <w:jc w:val="both"/>
        <w:rPr>
          <w:rFonts w:ascii="Simplified Arabic" w:hAnsi="Simplified Arabic" w:cs="Simplified Arabic"/>
          <w:b/>
          <w:bCs/>
          <w:sz w:val="24"/>
          <w:szCs w:val="24"/>
          <w:rtl/>
        </w:rPr>
      </w:pPr>
      <w:r>
        <w:rPr>
          <w:rFonts w:ascii="Simplified Arabic" w:hAnsi="Simplified Arabic" w:cs="Simplified Arabic" w:hint="cs"/>
          <w:sz w:val="24"/>
          <w:szCs w:val="24"/>
          <w:rtl/>
        </w:rPr>
        <w:t xml:space="preserve">تنفيذ مسح انفاق واستهلاك الاسرة للعام 2017 </w:t>
      </w:r>
      <w:r w:rsidR="00CB3A58">
        <w:rPr>
          <w:rFonts w:ascii="Simplified Arabic" w:hAnsi="Simplified Arabic" w:cs="Simplified Arabic" w:hint="cs"/>
          <w:sz w:val="24"/>
          <w:szCs w:val="24"/>
          <w:rtl/>
        </w:rPr>
        <w:t>بما ي</w:t>
      </w:r>
      <w:r>
        <w:rPr>
          <w:rFonts w:ascii="Simplified Arabic" w:hAnsi="Simplified Arabic" w:cs="Simplified Arabic" w:hint="cs"/>
          <w:sz w:val="24"/>
          <w:szCs w:val="24"/>
          <w:rtl/>
        </w:rPr>
        <w:t>سمح بتوفير متطلبات جانب الطلب للمنتجات المطروحة.</w:t>
      </w:r>
    </w:p>
    <w:p w:rsidR="004F40D0" w:rsidRDefault="006063EB" w:rsidP="003067A4">
      <w:pPr>
        <w:jc w:val="both"/>
        <w:rPr>
          <w:rFonts w:ascii="Simplified Arabic" w:hAnsi="Simplified Arabic" w:cs="Simplified Arabic"/>
          <w:b/>
          <w:bCs/>
          <w:color w:val="000000" w:themeColor="text1"/>
          <w:sz w:val="24"/>
          <w:szCs w:val="24"/>
          <w:rtl/>
        </w:rPr>
      </w:pPr>
      <w:proofErr w:type="spellStart"/>
      <w:r>
        <w:rPr>
          <w:rFonts w:ascii="Simplified Arabic" w:hAnsi="Simplified Arabic" w:cs="Simplified Arabic" w:hint="cs"/>
          <w:b/>
          <w:bCs/>
          <w:color w:val="000000" w:themeColor="text1"/>
          <w:sz w:val="24"/>
          <w:szCs w:val="24"/>
          <w:rtl/>
        </w:rPr>
        <w:t>ثانياً</w:t>
      </w:r>
      <w:r w:rsidRPr="004F40D0">
        <w:rPr>
          <w:rFonts w:ascii="Simplified Arabic" w:hAnsi="Simplified Arabic" w:cs="Simplified Arabic" w:hint="cs"/>
          <w:b/>
          <w:bCs/>
          <w:color w:val="000000" w:themeColor="text1"/>
          <w:sz w:val="24"/>
          <w:szCs w:val="24"/>
          <w:rtl/>
        </w:rPr>
        <w:t>:</w:t>
      </w:r>
      <w:proofErr w:type="spellEnd"/>
      <w:r w:rsidRPr="004F40D0">
        <w:rPr>
          <w:rFonts w:ascii="Simplified Arabic" w:hAnsi="Simplified Arabic" w:cs="Simplified Arabic" w:hint="cs"/>
          <w:b/>
          <w:bCs/>
          <w:color w:val="000000" w:themeColor="text1"/>
          <w:sz w:val="24"/>
          <w:szCs w:val="24"/>
          <w:rtl/>
        </w:rPr>
        <w:t xml:space="preserve"> </w:t>
      </w:r>
      <w:r w:rsidR="004F40D0" w:rsidRPr="004F40D0">
        <w:rPr>
          <w:rFonts w:ascii="Simplified Arabic" w:hAnsi="Simplified Arabic" w:cs="Simplified Arabic" w:hint="cs"/>
          <w:b/>
          <w:bCs/>
          <w:color w:val="000000" w:themeColor="text1"/>
          <w:sz w:val="24"/>
          <w:szCs w:val="24"/>
          <w:rtl/>
        </w:rPr>
        <w:t xml:space="preserve"> تنقيح المسوح الاقتصادية </w:t>
      </w:r>
      <w:proofErr w:type="spellStart"/>
      <w:r w:rsidR="004F40D0" w:rsidRPr="004F40D0">
        <w:rPr>
          <w:rFonts w:ascii="Simplified Arabic" w:hAnsi="Simplified Arabic" w:cs="Simplified Arabic" w:hint="cs"/>
          <w:b/>
          <w:bCs/>
          <w:color w:val="000000" w:themeColor="text1"/>
          <w:sz w:val="24"/>
          <w:szCs w:val="24"/>
          <w:rtl/>
        </w:rPr>
        <w:t>2013-</w:t>
      </w:r>
      <w:proofErr w:type="spellEnd"/>
      <w:r w:rsidR="004F40D0" w:rsidRPr="004F40D0">
        <w:rPr>
          <w:rFonts w:ascii="Simplified Arabic" w:hAnsi="Simplified Arabic" w:cs="Simplified Arabic" w:hint="cs"/>
          <w:b/>
          <w:bCs/>
          <w:color w:val="000000" w:themeColor="text1"/>
          <w:sz w:val="24"/>
          <w:szCs w:val="24"/>
          <w:rtl/>
        </w:rPr>
        <w:t xml:space="preserve"> </w:t>
      </w:r>
      <w:r w:rsidR="003067A4">
        <w:rPr>
          <w:rFonts w:ascii="Simplified Arabic" w:hAnsi="Simplified Arabic" w:cs="Simplified Arabic" w:hint="cs"/>
          <w:b/>
          <w:bCs/>
          <w:color w:val="000000" w:themeColor="text1"/>
          <w:sz w:val="24"/>
          <w:szCs w:val="24"/>
          <w:rtl/>
        </w:rPr>
        <w:t>2016</w:t>
      </w:r>
      <w:r w:rsidR="002035A1">
        <w:rPr>
          <w:rFonts w:ascii="Simplified Arabic" w:hAnsi="Simplified Arabic" w:cs="Simplified Arabic" w:hint="cs"/>
          <w:b/>
          <w:bCs/>
          <w:color w:val="000000" w:themeColor="text1"/>
          <w:sz w:val="24"/>
          <w:szCs w:val="24"/>
          <w:rtl/>
        </w:rPr>
        <w:t xml:space="preserve"> استنادا الى التعداد العام للسكان والمساكن والمنشآت 2017</w:t>
      </w:r>
    </w:p>
    <w:p w:rsidR="004F40D0" w:rsidRPr="002035A1" w:rsidRDefault="004F40D0" w:rsidP="004F40D0">
      <w:pPr>
        <w:pStyle w:val="ListParagraph"/>
        <w:ind w:left="-19"/>
        <w:jc w:val="both"/>
        <w:rPr>
          <w:rFonts w:cs="Simplified Arabic"/>
          <w:sz w:val="24"/>
          <w:szCs w:val="24"/>
          <w:rtl/>
        </w:rPr>
      </w:pPr>
      <w:r w:rsidRPr="002035A1">
        <w:rPr>
          <w:rFonts w:cs="Simplified Arabic" w:hint="cs"/>
          <w:sz w:val="24"/>
          <w:szCs w:val="24"/>
          <w:rtl/>
        </w:rPr>
        <w:lastRenderedPageBreak/>
        <w:t xml:space="preserve">تعتبر المسوح الاقتصادية من أهم مصادر بيانات الحسابات </w:t>
      </w:r>
      <w:proofErr w:type="spellStart"/>
      <w:r w:rsidRPr="002035A1">
        <w:rPr>
          <w:rFonts w:cs="Simplified Arabic" w:hint="cs"/>
          <w:sz w:val="24"/>
          <w:szCs w:val="24"/>
          <w:rtl/>
        </w:rPr>
        <w:t>القومية،</w:t>
      </w:r>
      <w:proofErr w:type="spellEnd"/>
      <w:r w:rsidRPr="002035A1">
        <w:rPr>
          <w:rFonts w:cs="Simplified Arabic" w:hint="cs"/>
          <w:sz w:val="24"/>
          <w:szCs w:val="24"/>
          <w:rtl/>
        </w:rPr>
        <w:t xml:space="preserve"> حيث أنها تغطي بيانات المنشآت العاملة في الأنشطة </w:t>
      </w:r>
      <w:proofErr w:type="spellStart"/>
      <w:r w:rsidRPr="002035A1">
        <w:rPr>
          <w:rFonts w:cs="Simplified Arabic" w:hint="cs"/>
          <w:sz w:val="24"/>
          <w:szCs w:val="24"/>
          <w:rtl/>
        </w:rPr>
        <w:t>المختلفة،</w:t>
      </w:r>
      <w:proofErr w:type="spellEnd"/>
      <w:r w:rsidRPr="002035A1">
        <w:rPr>
          <w:rFonts w:cs="Simplified Arabic" w:hint="cs"/>
          <w:sz w:val="24"/>
          <w:szCs w:val="24"/>
          <w:rtl/>
        </w:rPr>
        <w:t xml:space="preserve"> وبالتالي تعطي صورة عن أداء القطاع الخاص وغير الربحي.</w:t>
      </w:r>
    </w:p>
    <w:p w:rsidR="004F40D0" w:rsidRPr="002035A1" w:rsidRDefault="004F40D0" w:rsidP="003067A4">
      <w:pPr>
        <w:pStyle w:val="ListParagraph"/>
        <w:spacing w:line="360" w:lineRule="auto"/>
        <w:ind w:left="-19"/>
        <w:jc w:val="both"/>
        <w:rPr>
          <w:rFonts w:cs="Simplified Arabic"/>
          <w:sz w:val="24"/>
          <w:szCs w:val="24"/>
          <w:rtl/>
        </w:rPr>
      </w:pPr>
      <w:r w:rsidRPr="002035A1">
        <w:rPr>
          <w:rFonts w:cs="Simplified Arabic" w:hint="cs"/>
          <w:sz w:val="24"/>
          <w:szCs w:val="24"/>
          <w:rtl/>
        </w:rPr>
        <w:t>ويتم الاعتماد في عينة المسوح الاقتصادية على إطار التعداد العام للسكان والمساكن والمنشآت كإطار للمعاينة وسحب العينات المختلفة وفق النشاط والتوزيع الجغرافي.</w:t>
      </w:r>
    </w:p>
    <w:p w:rsidR="004F40D0" w:rsidRPr="002035A1" w:rsidRDefault="004F40D0" w:rsidP="003067A4">
      <w:pPr>
        <w:pStyle w:val="ListParagraph"/>
        <w:spacing w:line="360" w:lineRule="auto"/>
        <w:ind w:left="-19"/>
        <w:jc w:val="both"/>
        <w:rPr>
          <w:rFonts w:cs="Simplified Arabic"/>
          <w:sz w:val="24"/>
          <w:szCs w:val="24"/>
          <w:rtl/>
        </w:rPr>
      </w:pPr>
      <w:r w:rsidRPr="002035A1">
        <w:rPr>
          <w:rFonts w:cs="Simplified Arabic" w:hint="cs"/>
          <w:sz w:val="24"/>
          <w:szCs w:val="24"/>
          <w:rtl/>
        </w:rPr>
        <w:t xml:space="preserve">وفق التوصيات الدولية فإن تنقيح المسوح المختلفة يتم في أعقاب تنفيذ تعداد المنشآت والذي يوفر تغطية شاملة لبيانات </w:t>
      </w:r>
      <w:proofErr w:type="spellStart"/>
      <w:r w:rsidRPr="002035A1">
        <w:rPr>
          <w:rFonts w:cs="Simplified Arabic" w:hint="cs"/>
          <w:sz w:val="24"/>
          <w:szCs w:val="24"/>
          <w:rtl/>
        </w:rPr>
        <w:t>المنشآت،</w:t>
      </w:r>
      <w:proofErr w:type="spellEnd"/>
      <w:r w:rsidRPr="002035A1">
        <w:rPr>
          <w:rFonts w:cs="Simplified Arabic" w:hint="cs"/>
          <w:sz w:val="24"/>
          <w:szCs w:val="24"/>
          <w:rtl/>
        </w:rPr>
        <w:t xml:space="preserve"> علما بأنه تم تنفيذ تعداد المنشات للعام 2012 وأعقبه التعداد العام للسكان والمساكن والمنشات للعام </w:t>
      </w:r>
      <w:proofErr w:type="spellStart"/>
      <w:r w:rsidRPr="002035A1">
        <w:rPr>
          <w:rFonts w:cs="Simplified Arabic" w:hint="cs"/>
          <w:sz w:val="24"/>
          <w:szCs w:val="24"/>
          <w:rtl/>
        </w:rPr>
        <w:t>2017،</w:t>
      </w:r>
      <w:proofErr w:type="spellEnd"/>
      <w:r w:rsidRPr="002035A1">
        <w:rPr>
          <w:rFonts w:cs="Simplified Arabic" w:hint="cs"/>
          <w:sz w:val="24"/>
          <w:szCs w:val="24"/>
          <w:rtl/>
        </w:rPr>
        <w:t xml:space="preserve"> وبالتالي اقتضى ذلك تعديل البيانات ما بين التعدادين </w:t>
      </w:r>
      <w:r w:rsidRPr="002035A1">
        <w:rPr>
          <w:rFonts w:cs="Simplified Arabic"/>
          <w:sz w:val="24"/>
          <w:szCs w:val="24"/>
          <w:rtl/>
        </w:rPr>
        <w:t xml:space="preserve">من أجل إيجاد سلسلة زمنية متناسقة وأكثر دقة وتعبيرا عن الواقع الاقتصادي للمؤشرات الاقتصادية الرئيسية (عدد </w:t>
      </w:r>
      <w:proofErr w:type="spellStart"/>
      <w:r w:rsidRPr="002035A1">
        <w:rPr>
          <w:rFonts w:cs="Simplified Arabic"/>
          <w:sz w:val="24"/>
          <w:szCs w:val="24"/>
          <w:rtl/>
        </w:rPr>
        <w:t>المؤسسات</w:t>
      </w:r>
      <w:r w:rsidRPr="002035A1">
        <w:rPr>
          <w:rFonts w:cs="Simplified Arabic" w:hint="cs"/>
          <w:sz w:val="24"/>
          <w:szCs w:val="24"/>
          <w:rtl/>
        </w:rPr>
        <w:t>،</w:t>
      </w:r>
      <w:proofErr w:type="spellEnd"/>
      <w:r w:rsidRPr="002035A1">
        <w:rPr>
          <w:rFonts w:cs="Simplified Arabic" w:hint="cs"/>
          <w:sz w:val="24"/>
          <w:szCs w:val="24"/>
          <w:rtl/>
        </w:rPr>
        <w:t xml:space="preserve"> </w:t>
      </w:r>
      <w:r w:rsidRPr="002035A1">
        <w:rPr>
          <w:rFonts w:cs="Simplified Arabic"/>
          <w:sz w:val="24"/>
          <w:szCs w:val="24"/>
          <w:rtl/>
        </w:rPr>
        <w:t xml:space="preserve">عدد </w:t>
      </w:r>
      <w:proofErr w:type="spellStart"/>
      <w:r w:rsidRPr="002035A1">
        <w:rPr>
          <w:rFonts w:cs="Simplified Arabic"/>
          <w:sz w:val="24"/>
          <w:szCs w:val="24"/>
          <w:rtl/>
        </w:rPr>
        <w:t>العاملين</w:t>
      </w:r>
      <w:r w:rsidRPr="002035A1">
        <w:rPr>
          <w:rFonts w:cs="Simplified Arabic" w:hint="cs"/>
          <w:sz w:val="24"/>
          <w:szCs w:val="24"/>
          <w:rtl/>
        </w:rPr>
        <w:t>،</w:t>
      </w:r>
      <w:proofErr w:type="spellEnd"/>
      <w:r w:rsidRPr="002035A1">
        <w:rPr>
          <w:rFonts w:cs="Simplified Arabic"/>
          <w:sz w:val="24"/>
          <w:szCs w:val="24"/>
          <w:rtl/>
        </w:rPr>
        <w:t xml:space="preserve"> تعويضات </w:t>
      </w:r>
      <w:proofErr w:type="spellStart"/>
      <w:r w:rsidRPr="002035A1">
        <w:rPr>
          <w:rFonts w:cs="Simplified Arabic"/>
          <w:sz w:val="24"/>
          <w:szCs w:val="24"/>
          <w:rtl/>
        </w:rPr>
        <w:t>العاملين</w:t>
      </w:r>
      <w:r w:rsidRPr="002035A1">
        <w:rPr>
          <w:rFonts w:cs="Simplified Arabic" w:hint="cs"/>
          <w:sz w:val="24"/>
          <w:szCs w:val="24"/>
          <w:rtl/>
        </w:rPr>
        <w:t>،</w:t>
      </w:r>
      <w:proofErr w:type="spellEnd"/>
      <w:r w:rsidRPr="002035A1">
        <w:rPr>
          <w:rFonts w:cs="Simplified Arabic" w:hint="cs"/>
          <w:sz w:val="24"/>
          <w:szCs w:val="24"/>
          <w:rtl/>
        </w:rPr>
        <w:t xml:space="preserve"> </w:t>
      </w:r>
      <w:proofErr w:type="spellStart"/>
      <w:r w:rsidRPr="002035A1">
        <w:rPr>
          <w:rFonts w:cs="Simplified Arabic"/>
          <w:sz w:val="24"/>
          <w:szCs w:val="24"/>
          <w:rtl/>
        </w:rPr>
        <w:t>الإنتاج</w:t>
      </w:r>
      <w:r w:rsidRPr="002035A1">
        <w:rPr>
          <w:rFonts w:cs="Simplified Arabic" w:hint="cs"/>
          <w:sz w:val="24"/>
          <w:szCs w:val="24"/>
          <w:rtl/>
        </w:rPr>
        <w:t>،</w:t>
      </w:r>
      <w:proofErr w:type="spellEnd"/>
      <w:r w:rsidRPr="002035A1">
        <w:rPr>
          <w:rFonts w:cs="Simplified Arabic"/>
          <w:sz w:val="24"/>
          <w:szCs w:val="24"/>
          <w:rtl/>
        </w:rPr>
        <w:t xml:space="preserve"> الاستهلاك </w:t>
      </w:r>
      <w:proofErr w:type="spellStart"/>
      <w:r w:rsidRPr="002035A1">
        <w:rPr>
          <w:rFonts w:cs="Simplified Arabic"/>
          <w:sz w:val="24"/>
          <w:szCs w:val="24"/>
          <w:rtl/>
        </w:rPr>
        <w:t>الوسيط</w:t>
      </w:r>
      <w:r w:rsidRPr="002035A1">
        <w:rPr>
          <w:rFonts w:cs="Simplified Arabic" w:hint="cs"/>
          <w:sz w:val="24"/>
          <w:szCs w:val="24"/>
          <w:rtl/>
        </w:rPr>
        <w:t>،</w:t>
      </w:r>
      <w:proofErr w:type="spellEnd"/>
      <w:r w:rsidRPr="002035A1">
        <w:rPr>
          <w:rFonts w:cs="Simplified Arabic"/>
          <w:sz w:val="24"/>
          <w:szCs w:val="24"/>
          <w:rtl/>
        </w:rPr>
        <w:t xml:space="preserve"> القيمة المضافة  </w:t>
      </w:r>
      <w:r w:rsidRPr="002035A1">
        <w:rPr>
          <w:rFonts w:cs="Simplified Arabic" w:hint="cs"/>
          <w:sz w:val="24"/>
          <w:szCs w:val="24"/>
          <w:rtl/>
        </w:rPr>
        <w:t>و</w:t>
      </w:r>
      <w:r w:rsidRPr="002035A1">
        <w:rPr>
          <w:rFonts w:cs="Simplified Arabic"/>
          <w:sz w:val="24"/>
          <w:szCs w:val="24"/>
          <w:rtl/>
        </w:rPr>
        <w:t>التكوين الرأسمالي الثابت الإجمالي</w:t>
      </w:r>
      <w:proofErr w:type="spellStart"/>
      <w:r w:rsidRPr="002035A1">
        <w:rPr>
          <w:rFonts w:cs="Simplified Arabic"/>
          <w:sz w:val="24"/>
          <w:szCs w:val="24"/>
          <w:rtl/>
        </w:rPr>
        <w:t>)</w:t>
      </w:r>
      <w:proofErr w:type="spellEnd"/>
      <w:r w:rsidRPr="002035A1">
        <w:rPr>
          <w:rFonts w:cs="Simplified Arabic"/>
          <w:sz w:val="24"/>
          <w:szCs w:val="24"/>
          <w:rtl/>
        </w:rPr>
        <w:t xml:space="preserve"> </w:t>
      </w:r>
      <w:r w:rsidR="00144068">
        <w:rPr>
          <w:rFonts w:cs="Simplified Arabic" w:hint="cs"/>
          <w:sz w:val="24"/>
          <w:szCs w:val="24"/>
          <w:rtl/>
        </w:rPr>
        <w:t xml:space="preserve">ليشمل بذلك انشطة </w:t>
      </w:r>
      <w:proofErr w:type="spellStart"/>
      <w:r w:rsidR="00144068">
        <w:rPr>
          <w:rFonts w:cs="Simplified Arabic" w:hint="cs"/>
          <w:sz w:val="24"/>
          <w:szCs w:val="24"/>
          <w:rtl/>
        </w:rPr>
        <w:t>الصناعة،</w:t>
      </w:r>
      <w:proofErr w:type="spellEnd"/>
      <w:r w:rsidR="00144068">
        <w:rPr>
          <w:rFonts w:cs="Simplified Arabic" w:hint="cs"/>
          <w:sz w:val="24"/>
          <w:szCs w:val="24"/>
          <w:rtl/>
        </w:rPr>
        <w:t xml:space="preserve"> </w:t>
      </w:r>
      <w:proofErr w:type="spellStart"/>
      <w:r w:rsidR="00144068">
        <w:rPr>
          <w:rFonts w:cs="Simplified Arabic" w:hint="cs"/>
          <w:sz w:val="24"/>
          <w:szCs w:val="24"/>
          <w:rtl/>
        </w:rPr>
        <w:t>الانشاءات،</w:t>
      </w:r>
      <w:proofErr w:type="spellEnd"/>
      <w:r w:rsidR="00144068">
        <w:rPr>
          <w:rFonts w:cs="Simplified Arabic" w:hint="cs"/>
          <w:sz w:val="24"/>
          <w:szCs w:val="24"/>
          <w:rtl/>
        </w:rPr>
        <w:t xml:space="preserve"> تجارة الجملة </w:t>
      </w:r>
      <w:proofErr w:type="spellStart"/>
      <w:r w:rsidR="00144068">
        <w:rPr>
          <w:rFonts w:cs="Simplified Arabic" w:hint="cs"/>
          <w:sz w:val="24"/>
          <w:szCs w:val="24"/>
          <w:rtl/>
        </w:rPr>
        <w:t>والتجزئة،</w:t>
      </w:r>
      <w:proofErr w:type="spellEnd"/>
      <w:r w:rsidR="00144068">
        <w:rPr>
          <w:rFonts w:cs="Simplified Arabic" w:hint="cs"/>
          <w:sz w:val="24"/>
          <w:szCs w:val="24"/>
          <w:rtl/>
        </w:rPr>
        <w:t xml:space="preserve"> النقل </w:t>
      </w:r>
      <w:proofErr w:type="spellStart"/>
      <w:r w:rsidR="00144068">
        <w:rPr>
          <w:rFonts w:cs="Simplified Arabic" w:hint="cs"/>
          <w:sz w:val="24"/>
          <w:szCs w:val="24"/>
          <w:rtl/>
        </w:rPr>
        <w:t>والتخزين،</w:t>
      </w:r>
      <w:proofErr w:type="spellEnd"/>
      <w:r w:rsidR="00144068">
        <w:rPr>
          <w:rFonts w:cs="Simplified Arabic" w:hint="cs"/>
          <w:sz w:val="24"/>
          <w:szCs w:val="24"/>
          <w:rtl/>
        </w:rPr>
        <w:t xml:space="preserve"> المعلومات والاتصالات اضافة الى الخدمات.</w:t>
      </w:r>
    </w:p>
    <w:p w:rsidR="006063EB" w:rsidRDefault="006063EB" w:rsidP="006063EB">
      <w:pPr>
        <w:spacing w:after="0" w:line="360" w:lineRule="auto"/>
        <w:jc w:val="both"/>
        <w:rPr>
          <w:rFonts w:ascii="Simplified Arabic" w:hAnsi="Simplified Arabic" w:cs="Simplified Arabic"/>
          <w:b/>
          <w:bCs/>
          <w:sz w:val="24"/>
          <w:szCs w:val="24"/>
          <w:rtl/>
        </w:rPr>
      </w:pPr>
      <w:proofErr w:type="spellStart"/>
      <w:r>
        <w:rPr>
          <w:rFonts w:ascii="Simplified Arabic" w:hAnsi="Simplified Arabic" w:cs="Simplified Arabic" w:hint="cs"/>
          <w:b/>
          <w:bCs/>
          <w:sz w:val="24"/>
          <w:szCs w:val="24"/>
          <w:rtl/>
        </w:rPr>
        <w:t>ثالثاً:</w:t>
      </w:r>
      <w:proofErr w:type="spellEnd"/>
      <w:r>
        <w:rPr>
          <w:rFonts w:ascii="Simplified Arabic" w:hAnsi="Simplified Arabic" w:cs="Simplified Arabic" w:hint="cs"/>
          <w:b/>
          <w:bCs/>
          <w:sz w:val="24"/>
          <w:szCs w:val="24"/>
          <w:rtl/>
        </w:rPr>
        <w:t xml:space="preserve"> التطور في المنهجيات المتبعة في المسوح الاقتصادية نحو استخدام أكبر للسجلات الادارية</w:t>
      </w:r>
    </w:p>
    <w:p w:rsidR="00F901E0" w:rsidRDefault="00F901E0" w:rsidP="00147731">
      <w:pPr>
        <w:spacing w:after="0"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يرتبط هذا الموضوع وبشكل مباشر في التنقيح على سلسلة المسوح </w:t>
      </w:r>
      <w:proofErr w:type="spellStart"/>
      <w:r>
        <w:rPr>
          <w:rFonts w:ascii="Simplified Arabic" w:hAnsi="Simplified Arabic" w:cs="Simplified Arabic" w:hint="cs"/>
          <w:sz w:val="24"/>
          <w:szCs w:val="24"/>
          <w:rtl/>
        </w:rPr>
        <w:t>الاقتصادية،</w:t>
      </w:r>
      <w:proofErr w:type="spellEnd"/>
      <w:r>
        <w:rPr>
          <w:rFonts w:ascii="Simplified Arabic" w:hAnsi="Simplified Arabic" w:cs="Simplified Arabic" w:hint="cs"/>
          <w:sz w:val="24"/>
          <w:szCs w:val="24"/>
          <w:rtl/>
        </w:rPr>
        <w:t xml:space="preserve"> حيث أنه و</w:t>
      </w:r>
      <w:r w:rsidR="006063EB">
        <w:rPr>
          <w:rFonts w:ascii="Simplified Arabic" w:hAnsi="Simplified Arabic" w:cs="Simplified Arabic" w:hint="cs"/>
          <w:sz w:val="24"/>
          <w:szCs w:val="24"/>
          <w:rtl/>
        </w:rPr>
        <w:t xml:space="preserve">ضمن سعي الجهاز المركزي للإحصاء الفلسطيني </w:t>
      </w:r>
      <w:proofErr w:type="spellStart"/>
      <w:r w:rsidR="006063EB">
        <w:rPr>
          <w:rFonts w:ascii="Simplified Arabic" w:hAnsi="Simplified Arabic" w:cs="Simplified Arabic" w:hint="cs"/>
          <w:sz w:val="24"/>
          <w:szCs w:val="24"/>
          <w:rtl/>
        </w:rPr>
        <w:t>الدؤوب</w:t>
      </w:r>
      <w:proofErr w:type="spellEnd"/>
      <w:r w:rsidR="006063EB">
        <w:rPr>
          <w:rFonts w:ascii="Simplified Arabic" w:hAnsi="Simplified Arabic" w:cs="Simplified Arabic" w:hint="cs"/>
          <w:sz w:val="24"/>
          <w:szCs w:val="24"/>
          <w:rtl/>
        </w:rPr>
        <w:t xml:space="preserve"> على تطوير منهجيات العمل فقد عكف الجهاز على تطوير العمل على سلسلة المسوح الاقتصادية والسعي للانتقال التدريجي للسجلات الادارية من خلال قوائم الشركات المسجلة في </w:t>
      </w:r>
      <w:r w:rsidR="00147731">
        <w:rPr>
          <w:rFonts w:ascii="Simplified Arabic" w:hAnsi="Simplified Arabic" w:cs="Simplified Arabic" w:hint="cs"/>
          <w:sz w:val="24"/>
          <w:szCs w:val="24"/>
          <w:rtl/>
        </w:rPr>
        <w:t>السجلات الادارية</w:t>
      </w:r>
      <w:r w:rsidR="006063EB">
        <w:rPr>
          <w:rFonts w:ascii="Simplified Arabic" w:hAnsi="Simplified Arabic" w:cs="Simplified Arabic" w:hint="cs"/>
          <w:sz w:val="24"/>
          <w:szCs w:val="24"/>
          <w:rtl/>
        </w:rPr>
        <w:t xml:space="preserve"> للحصول على البيانات الخاصة بالقطاع الخاص.  هذا العمل الذي أظهر تحسناً في مستويات التغطية لبيانات الشركات والمنشآت المسجلة والحصول على البيانات من خلال القوائم المالية ومقارنتها بذات البيانات التي تم الحصول عليها من خلال المسوح الاقتصادية المستوفاة من الميدان مباشرة من خلال عينة مسحوبة من التعداد.</w:t>
      </w:r>
    </w:p>
    <w:p w:rsidR="002035A1" w:rsidRDefault="00F901E0" w:rsidP="00F901E0">
      <w:pPr>
        <w:bidi w:val="0"/>
        <w:rPr>
          <w:rFonts w:ascii="Simplified Arabic" w:hAnsi="Simplified Arabic" w:cs="Simplified Arabic"/>
          <w:sz w:val="24"/>
          <w:szCs w:val="24"/>
        </w:rPr>
      </w:pPr>
      <w:r>
        <w:rPr>
          <w:rFonts w:ascii="Simplified Arabic" w:hAnsi="Simplified Arabic" w:cs="Simplified Arabic"/>
          <w:sz w:val="24"/>
          <w:szCs w:val="24"/>
          <w:rtl/>
        </w:rPr>
        <w:br w:type="page"/>
      </w:r>
    </w:p>
    <w:p w:rsidR="002035A1" w:rsidRPr="002035A1" w:rsidRDefault="00F901E0" w:rsidP="002035A1">
      <w:pPr>
        <w:spacing w:after="0" w:line="240" w:lineRule="auto"/>
        <w:jc w:val="both"/>
        <w:rPr>
          <w:rFonts w:ascii="Simplified Arabic" w:hAnsi="Simplified Arabic" w:cs="Simplified Arabic"/>
          <w:b/>
          <w:bCs/>
          <w:color w:val="000000" w:themeColor="text1"/>
          <w:sz w:val="24"/>
          <w:szCs w:val="24"/>
          <w:rtl/>
        </w:rPr>
      </w:pPr>
      <w:proofErr w:type="spellStart"/>
      <w:r>
        <w:rPr>
          <w:rFonts w:ascii="Simplified Arabic" w:hAnsi="Simplified Arabic" w:cs="Simplified Arabic" w:hint="cs"/>
          <w:b/>
          <w:bCs/>
          <w:color w:val="000000" w:themeColor="text1"/>
          <w:sz w:val="24"/>
          <w:szCs w:val="24"/>
          <w:rtl/>
        </w:rPr>
        <w:lastRenderedPageBreak/>
        <w:t>رابع</w:t>
      </w:r>
      <w:r w:rsidR="002035A1" w:rsidRPr="002035A1">
        <w:rPr>
          <w:rFonts w:ascii="Simplified Arabic" w:hAnsi="Simplified Arabic" w:cs="Simplified Arabic" w:hint="cs"/>
          <w:b/>
          <w:bCs/>
          <w:color w:val="000000" w:themeColor="text1"/>
          <w:sz w:val="24"/>
          <w:szCs w:val="24"/>
          <w:rtl/>
        </w:rPr>
        <w:t>اً:</w:t>
      </w:r>
      <w:proofErr w:type="spellEnd"/>
      <w:r w:rsidR="002035A1" w:rsidRPr="002035A1">
        <w:rPr>
          <w:rFonts w:ascii="Simplified Arabic" w:hAnsi="Simplified Arabic" w:cs="Simplified Arabic" w:hint="cs"/>
          <w:b/>
          <w:bCs/>
          <w:color w:val="000000" w:themeColor="text1"/>
          <w:sz w:val="24"/>
          <w:szCs w:val="24"/>
          <w:rtl/>
        </w:rPr>
        <w:t xml:space="preserve"> </w:t>
      </w:r>
      <w:r w:rsidR="002035A1">
        <w:rPr>
          <w:rFonts w:ascii="Simplified Arabic" w:hAnsi="Simplified Arabic" w:cs="Simplified Arabic" w:hint="cs"/>
          <w:b/>
          <w:bCs/>
          <w:color w:val="000000" w:themeColor="text1"/>
          <w:sz w:val="24"/>
          <w:szCs w:val="24"/>
          <w:rtl/>
        </w:rPr>
        <w:t xml:space="preserve">بيانات الاحصاءات الزراعية </w:t>
      </w:r>
      <w:proofErr w:type="spellStart"/>
      <w:r w:rsidR="002035A1">
        <w:rPr>
          <w:rFonts w:ascii="Simplified Arabic" w:hAnsi="Simplified Arabic" w:cs="Simplified Arabic" w:hint="cs"/>
          <w:b/>
          <w:bCs/>
          <w:color w:val="000000" w:themeColor="text1"/>
          <w:sz w:val="24"/>
          <w:szCs w:val="24"/>
          <w:rtl/>
        </w:rPr>
        <w:t>2013-</w:t>
      </w:r>
      <w:proofErr w:type="spellEnd"/>
      <w:r w:rsidR="002035A1">
        <w:rPr>
          <w:rFonts w:ascii="Simplified Arabic" w:hAnsi="Simplified Arabic" w:cs="Simplified Arabic" w:hint="cs"/>
          <w:b/>
          <w:bCs/>
          <w:color w:val="000000" w:themeColor="text1"/>
          <w:sz w:val="24"/>
          <w:szCs w:val="24"/>
          <w:rtl/>
        </w:rPr>
        <w:t xml:space="preserve"> 2017</w:t>
      </w:r>
    </w:p>
    <w:p w:rsidR="006063EB" w:rsidRDefault="006063EB" w:rsidP="003067A4">
      <w:pPr>
        <w:spacing w:after="0"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تم الاعتماد بشكل كامل على البيانات الواردة من </w:t>
      </w:r>
      <w:r w:rsidR="002035A1">
        <w:rPr>
          <w:rFonts w:ascii="Simplified Arabic" w:hAnsi="Simplified Arabic" w:cs="Simplified Arabic" w:hint="cs"/>
          <w:sz w:val="24"/>
          <w:szCs w:val="24"/>
          <w:rtl/>
        </w:rPr>
        <w:t xml:space="preserve">وزارة الزراعة </w:t>
      </w:r>
      <w:r>
        <w:rPr>
          <w:rFonts w:ascii="Simplified Arabic" w:hAnsi="Simplified Arabic" w:cs="Simplified Arabic" w:hint="cs"/>
          <w:sz w:val="24"/>
          <w:szCs w:val="24"/>
          <w:rtl/>
        </w:rPr>
        <w:t xml:space="preserve">والتي وفرت </w:t>
      </w:r>
      <w:r w:rsidR="002035A1">
        <w:rPr>
          <w:rFonts w:ascii="Simplified Arabic" w:hAnsi="Simplified Arabic" w:cs="Simplified Arabic" w:hint="cs"/>
          <w:sz w:val="24"/>
          <w:szCs w:val="24"/>
          <w:rtl/>
        </w:rPr>
        <w:t xml:space="preserve">قاعدة بيانات </w:t>
      </w:r>
      <w:r>
        <w:rPr>
          <w:rFonts w:ascii="Simplified Arabic" w:hAnsi="Simplified Arabic" w:cs="Simplified Arabic" w:hint="cs"/>
          <w:sz w:val="24"/>
          <w:szCs w:val="24"/>
          <w:rtl/>
        </w:rPr>
        <w:t xml:space="preserve">محدثة </w:t>
      </w:r>
      <w:r w:rsidR="002035A1">
        <w:rPr>
          <w:rFonts w:ascii="Simplified Arabic" w:hAnsi="Simplified Arabic" w:cs="Simplified Arabic" w:hint="cs"/>
          <w:sz w:val="24"/>
          <w:szCs w:val="24"/>
          <w:rtl/>
        </w:rPr>
        <w:t xml:space="preserve">للإحصاءات الزراعية للفترة </w:t>
      </w:r>
      <w:proofErr w:type="spellStart"/>
      <w:r w:rsidR="002035A1">
        <w:rPr>
          <w:rFonts w:ascii="Simplified Arabic" w:hAnsi="Simplified Arabic" w:cs="Simplified Arabic" w:hint="cs"/>
          <w:sz w:val="24"/>
          <w:szCs w:val="24"/>
          <w:rtl/>
        </w:rPr>
        <w:t>2013-</w:t>
      </w:r>
      <w:proofErr w:type="spellEnd"/>
      <w:r w:rsidR="002035A1">
        <w:rPr>
          <w:rFonts w:ascii="Simplified Arabic" w:hAnsi="Simplified Arabic" w:cs="Simplified Arabic" w:hint="cs"/>
          <w:sz w:val="24"/>
          <w:szCs w:val="24"/>
          <w:rtl/>
        </w:rPr>
        <w:t xml:space="preserve"> 2017 </w:t>
      </w:r>
      <w:r>
        <w:rPr>
          <w:rFonts w:ascii="Simplified Arabic" w:hAnsi="Simplified Arabic" w:cs="Simplified Arabic" w:hint="cs"/>
          <w:sz w:val="24"/>
          <w:szCs w:val="24"/>
          <w:rtl/>
        </w:rPr>
        <w:t xml:space="preserve">والتي تستند على </w:t>
      </w:r>
      <w:r w:rsidR="00F47A83">
        <w:rPr>
          <w:rFonts w:ascii="Simplified Arabic" w:hAnsi="Simplified Arabic" w:cs="Simplified Arabic" w:hint="cs"/>
          <w:sz w:val="24"/>
          <w:szCs w:val="24"/>
          <w:rtl/>
        </w:rPr>
        <w:t>تقديرات مديري</w:t>
      </w:r>
      <w:r w:rsidR="003067A4">
        <w:rPr>
          <w:rFonts w:ascii="Simplified Arabic" w:hAnsi="Simplified Arabic" w:cs="Simplified Arabic" w:hint="cs"/>
          <w:sz w:val="24"/>
          <w:szCs w:val="24"/>
          <w:rtl/>
        </w:rPr>
        <w:t xml:space="preserve">ات الزراعة في </w:t>
      </w:r>
      <w:proofErr w:type="spellStart"/>
      <w:r w:rsidR="003067A4">
        <w:rPr>
          <w:rFonts w:ascii="Simplified Arabic" w:hAnsi="Simplified Arabic" w:cs="Simplified Arabic" w:hint="cs"/>
          <w:sz w:val="24"/>
          <w:szCs w:val="24"/>
          <w:rtl/>
        </w:rPr>
        <w:t>المحافظات</w:t>
      </w:r>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وتم فحص هذه البيانات من خلال الترابط في جداول العرض والاستخدام والذي أكد على جودة البيانات.</w:t>
      </w:r>
    </w:p>
    <w:p w:rsidR="00AC28CA" w:rsidRDefault="00863FAE" w:rsidP="006063EB">
      <w:pPr>
        <w:spacing w:after="0"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إن توفر </w:t>
      </w:r>
      <w:r w:rsidR="006063EB">
        <w:rPr>
          <w:rFonts w:ascii="Simplified Arabic" w:hAnsi="Simplified Arabic" w:cs="Simplified Arabic" w:hint="cs"/>
          <w:sz w:val="24"/>
          <w:szCs w:val="24"/>
          <w:rtl/>
        </w:rPr>
        <w:t xml:space="preserve">قاعدة البيانات التي تم الحصول عليها من الوزارة </w:t>
      </w:r>
      <w:r>
        <w:rPr>
          <w:rFonts w:ascii="Simplified Arabic" w:hAnsi="Simplified Arabic" w:cs="Simplified Arabic" w:hint="cs"/>
          <w:sz w:val="24"/>
          <w:szCs w:val="24"/>
          <w:rtl/>
        </w:rPr>
        <w:t xml:space="preserve">ومطابقة كميات الانتاج الزراعي الواردة من وزارة الزراعة  مع المصادر الأخرى من خلال جداول العرض والاستخدام </w:t>
      </w:r>
      <w:r w:rsidR="006063EB">
        <w:rPr>
          <w:rFonts w:ascii="Simplified Arabic" w:hAnsi="Simplified Arabic" w:cs="Simplified Arabic" w:hint="cs"/>
          <w:sz w:val="24"/>
          <w:szCs w:val="24"/>
          <w:rtl/>
        </w:rPr>
        <w:t xml:space="preserve">كان لها التأثير </w:t>
      </w:r>
      <w:r w:rsidR="002035A1">
        <w:rPr>
          <w:rFonts w:ascii="Simplified Arabic" w:hAnsi="Simplified Arabic" w:cs="Simplified Arabic" w:hint="cs"/>
          <w:sz w:val="24"/>
          <w:szCs w:val="24"/>
          <w:rtl/>
        </w:rPr>
        <w:t>على قيم الانتاج والاستهلاك الوسيط للنشاط الزراعي وساهم بالتالي في رفع القيمة المضافة لهذا النشاط وبالتالي حجم مساهمته في الناتج المحلي الاجمالي.</w:t>
      </w:r>
    </w:p>
    <w:p w:rsidR="002035A1" w:rsidRPr="008946F0" w:rsidRDefault="006063EB" w:rsidP="008946F0">
      <w:pPr>
        <w:spacing w:after="0"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بالتالي</w:t>
      </w:r>
      <w:r w:rsidR="002035A1">
        <w:rPr>
          <w:rFonts w:ascii="Simplified Arabic" w:hAnsi="Simplified Arabic" w:cs="Simplified Arabic" w:hint="cs"/>
          <w:sz w:val="24"/>
          <w:szCs w:val="24"/>
          <w:rtl/>
        </w:rPr>
        <w:t xml:space="preserve"> كان لا بد أن ينعكس</w:t>
      </w:r>
      <w:r>
        <w:rPr>
          <w:rFonts w:ascii="Simplified Arabic" w:hAnsi="Simplified Arabic" w:cs="Simplified Arabic" w:hint="cs"/>
          <w:sz w:val="24"/>
          <w:szCs w:val="24"/>
          <w:rtl/>
        </w:rPr>
        <w:t xml:space="preserve"> توفير هذه البيانات</w:t>
      </w:r>
      <w:r w:rsidR="002035A1">
        <w:rPr>
          <w:rFonts w:ascii="Simplified Arabic" w:hAnsi="Simplified Arabic" w:cs="Simplified Arabic" w:hint="cs"/>
          <w:sz w:val="24"/>
          <w:szCs w:val="24"/>
          <w:rtl/>
        </w:rPr>
        <w:t xml:space="preserve"> بصورة واضحة ومباشرة على بيانات الحسابات القومية والذي استدعى التنقيح لهذه الفترة لمواكبة هذه التطورات على قاعدة البيانات من الوزارة.</w:t>
      </w:r>
    </w:p>
    <w:p w:rsidR="006063EB" w:rsidRDefault="006063EB" w:rsidP="00DD4A2B">
      <w:pPr>
        <w:spacing w:after="0" w:line="240" w:lineRule="auto"/>
        <w:jc w:val="both"/>
        <w:rPr>
          <w:rFonts w:ascii="Simplified Arabic" w:hAnsi="Simplified Arabic" w:cs="Simplified Arabic"/>
          <w:b/>
          <w:bCs/>
          <w:color w:val="000000" w:themeColor="text1"/>
          <w:sz w:val="24"/>
          <w:szCs w:val="24"/>
          <w:rtl/>
        </w:rPr>
      </w:pPr>
    </w:p>
    <w:p w:rsidR="006063EB" w:rsidRDefault="006063EB" w:rsidP="00DD4A2B">
      <w:pPr>
        <w:spacing w:after="0" w:line="240" w:lineRule="auto"/>
        <w:jc w:val="both"/>
        <w:rPr>
          <w:rFonts w:ascii="Simplified Arabic" w:hAnsi="Simplified Arabic" w:cs="Simplified Arabic"/>
          <w:b/>
          <w:bCs/>
          <w:color w:val="000000" w:themeColor="text1"/>
          <w:sz w:val="24"/>
          <w:szCs w:val="24"/>
          <w:rtl/>
        </w:rPr>
      </w:pPr>
    </w:p>
    <w:p w:rsidR="002035A1" w:rsidRPr="002035A1" w:rsidRDefault="00F901E0" w:rsidP="00DD4A2B">
      <w:pPr>
        <w:spacing w:after="0" w:line="240" w:lineRule="auto"/>
        <w:jc w:val="both"/>
        <w:rPr>
          <w:rFonts w:ascii="Simplified Arabic" w:hAnsi="Simplified Arabic" w:cs="Simplified Arabic"/>
          <w:b/>
          <w:bCs/>
          <w:color w:val="000000" w:themeColor="text1"/>
          <w:sz w:val="24"/>
          <w:szCs w:val="24"/>
          <w:rtl/>
        </w:rPr>
      </w:pPr>
      <w:proofErr w:type="spellStart"/>
      <w:r>
        <w:rPr>
          <w:rFonts w:ascii="Simplified Arabic" w:hAnsi="Simplified Arabic" w:cs="Simplified Arabic" w:hint="cs"/>
          <w:b/>
          <w:bCs/>
          <w:color w:val="000000" w:themeColor="text1"/>
          <w:sz w:val="24"/>
          <w:szCs w:val="24"/>
          <w:rtl/>
        </w:rPr>
        <w:t>خامس</w:t>
      </w:r>
      <w:r w:rsidR="002035A1" w:rsidRPr="002035A1">
        <w:rPr>
          <w:rFonts w:ascii="Simplified Arabic" w:hAnsi="Simplified Arabic" w:cs="Simplified Arabic" w:hint="cs"/>
          <w:b/>
          <w:bCs/>
          <w:color w:val="000000" w:themeColor="text1"/>
          <w:sz w:val="24"/>
          <w:szCs w:val="24"/>
          <w:rtl/>
        </w:rPr>
        <w:t>اً:</w:t>
      </w:r>
      <w:proofErr w:type="spellEnd"/>
      <w:r w:rsidR="002035A1" w:rsidRPr="002035A1">
        <w:rPr>
          <w:rFonts w:ascii="Simplified Arabic" w:hAnsi="Simplified Arabic" w:cs="Simplified Arabic" w:hint="cs"/>
          <w:b/>
          <w:bCs/>
          <w:color w:val="000000" w:themeColor="text1"/>
          <w:sz w:val="24"/>
          <w:szCs w:val="24"/>
          <w:rtl/>
        </w:rPr>
        <w:t xml:space="preserve"> </w:t>
      </w:r>
      <w:r w:rsidR="00DD4A2B">
        <w:rPr>
          <w:rFonts w:ascii="Simplified Arabic" w:hAnsi="Simplified Arabic" w:cs="Simplified Arabic" w:hint="cs"/>
          <w:b/>
          <w:bCs/>
          <w:color w:val="000000" w:themeColor="text1"/>
          <w:sz w:val="24"/>
          <w:szCs w:val="24"/>
          <w:rtl/>
        </w:rPr>
        <w:t>الانفاق الحكومي وفق المنطقة</w:t>
      </w:r>
    </w:p>
    <w:p w:rsidR="00491FE9" w:rsidRPr="00DD4A2B" w:rsidRDefault="00863FAE" w:rsidP="00DD4A2B">
      <w:pPr>
        <w:spacing w:after="0"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ساهم توفر بيانات تفصيلية حول الانفاق الحكومي على مستوى المنطقة الجغرافية (الضفة الغربية وقطاع غزة</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في اعادة توزيع اجمالي النفقات الحكومية على المستوى الجغرافي بما يضمن التمثيل الأنسب ولعكس الانفاق الحكومي الفعلي وفقا </w:t>
      </w:r>
      <w:proofErr w:type="spellStart"/>
      <w:r>
        <w:rPr>
          <w:rFonts w:ascii="Simplified Arabic" w:hAnsi="Simplified Arabic" w:cs="Simplified Arabic" w:hint="cs"/>
          <w:sz w:val="24"/>
          <w:szCs w:val="24"/>
          <w:rtl/>
        </w:rPr>
        <w:t>لذلك،</w:t>
      </w:r>
      <w:proofErr w:type="spellEnd"/>
      <w:r>
        <w:rPr>
          <w:rFonts w:ascii="Simplified Arabic" w:hAnsi="Simplified Arabic" w:cs="Simplified Arabic" w:hint="cs"/>
          <w:sz w:val="24"/>
          <w:szCs w:val="24"/>
          <w:rtl/>
        </w:rPr>
        <w:t xml:space="preserve"> وقد تم ذلك من خلال لقاءات </w:t>
      </w:r>
      <w:proofErr w:type="spellStart"/>
      <w:r>
        <w:rPr>
          <w:rFonts w:ascii="Simplified Arabic" w:hAnsi="Simplified Arabic" w:cs="Simplified Arabic" w:hint="cs"/>
          <w:sz w:val="24"/>
          <w:szCs w:val="24"/>
          <w:rtl/>
        </w:rPr>
        <w:t>تشاورية</w:t>
      </w:r>
      <w:proofErr w:type="spellEnd"/>
      <w:r>
        <w:rPr>
          <w:rFonts w:ascii="Simplified Arabic" w:hAnsi="Simplified Arabic" w:cs="Simplified Arabic" w:hint="cs"/>
          <w:sz w:val="24"/>
          <w:szCs w:val="24"/>
          <w:rtl/>
        </w:rPr>
        <w:t xml:space="preserve"> وتنسيق تام مع وزارة المالية بهذا الخصوص.</w:t>
      </w:r>
    </w:p>
    <w:p w:rsidR="00DD4A2B" w:rsidRDefault="00DD4A2B" w:rsidP="00DD4A2B">
      <w:pPr>
        <w:spacing w:after="0" w:line="360" w:lineRule="auto"/>
        <w:jc w:val="both"/>
        <w:rPr>
          <w:rFonts w:ascii="Simplified Arabic" w:hAnsi="Simplified Arabic" w:cs="Simplified Arabic"/>
          <w:sz w:val="24"/>
          <w:szCs w:val="24"/>
          <w:rtl/>
        </w:rPr>
      </w:pPr>
    </w:p>
    <w:p w:rsidR="00DD4A2B" w:rsidRDefault="00DD4A2B" w:rsidP="00DD4A2B">
      <w:pPr>
        <w:spacing w:after="0" w:line="360" w:lineRule="auto"/>
        <w:jc w:val="both"/>
        <w:rPr>
          <w:rFonts w:ascii="Simplified Arabic" w:hAnsi="Simplified Arabic" w:cs="Simplified Arabic"/>
          <w:b/>
          <w:bCs/>
          <w:sz w:val="24"/>
          <w:szCs w:val="24"/>
          <w:rtl/>
        </w:rPr>
      </w:pPr>
      <w:r w:rsidRPr="00DD4A2B">
        <w:rPr>
          <w:rFonts w:ascii="Simplified Arabic" w:hAnsi="Simplified Arabic" w:cs="Simplified Arabic" w:hint="cs"/>
          <w:b/>
          <w:bCs/>
          <w:sz w:val="24"/>
          <w:szCs w:val="24"/>
          <w:rtl/>
        </w:rPr>
        <w:t>النتائج الخاصة بالحسابات القومية:</w:t>
      </w:r>
    </w:p>
    <w:p w:rsidR="00DD4A2B" w:rsidRPr="00DD4A2B" w:rsidRDefault="00DD4A2B" w:rsidP="003067A4">
      <w:pPr>
        <w:spacing w:after="0" w:line="36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ان التطور الحاصل في العمل على تحقيق مستويات تغطية </w:t>
      </w:r>
      <w:r w:rsidR="00144068">
        <w:rPr>
          <w:rFonts w:ascii="Simplified Arabic" w:hAnsi="Simplified Arabic" w:cs="Simplified Arabic" w:hint="cs"/>
          <w:sz w:val="24"/>
          <w:szCs w:val="24"/>
          <w:rtl/>
        </w:rPr>
        <w:t>أفضل</w:t>
      </w:r>
      <w:r>
        <w:rPr>
          <w:rFonts w:ascii="Simplified Arabic" w:hAnsi="Simplified Arabic" w:cs="Simplified Arabic" w:hint="cs"/>
          <w:sz w:val="24"/>
          <w:szCs w:val="24"/>
          <w:rtl/>
        </w:rPr>
        <w:t xml:space="preserve"> للبيانات أظهر </w:t>
      </w:r>
      <w:r w:rsidR="00144068">
        <w:rPr>
          <w:rFonts w:ascii="Simplified Arabic" w:hAnsi="Simplified Arabic" w:cs="Simplified Arabic" w:hint="cs"/>
          <w:sz w:val="24"/>
          <w:szCs w:val="24"/>
          <w:rtl/>
        </w:rPr>
        <w:t>ارتفاعاً</w:t>
      </w:r>
      <w:r>
        <w:rPr>
          <w:rFonts w:ascii="Simplified Arabic" w:hAnsi="Simplified Arabic" w:cs="Simplified Arabic" w:hint="cs"/>
          <w:sz w:val="24"/>
          <w:szCs w:val="24"/>
          <w:rtl/>
        </w:rPr>
        <w:t xml:space="preserve"> في </w:t>
      </w:r>
      <w:r w:rsidR="00144068">
        <w:rPr>
          <w:rFonts w:ascii="Simplified Arabic" w:hAnsi="Simplified Arabic" w:cs="Simplified Arabic" w:hint="cs"/>
          <w:sz w:val="24"/>
          <w:szCs w:val="24"/>
          <w:rtl/>
        </w:rPr>
        <w:t xml:space="preserve">قيمة </w:t>
      </w:r>
      <w:r>
        <w:rPr>
          <w:rFonts w:ascii="Simplified Arabic" w:hAnsi="Simplified Arabic" w:cs="Simplified Arabic" w:hint="cs"/>
          <w:sz w:val="24"/>
          <w:szCs w:val="24"/>
          <w:rtl/>
        </w:rPr>
        <w:t>الناتج المحلي الاجمال</w:t>
      </w:r>
      <w:r w:rsidR="00863FAE">
        <w:rPr>
          <w:rFonts w:ascii="Simplified Arabic" w:hAnsi="Simplified Arabic" w:cs="Simplified Arabic" w:hint="cs"/>
          <w:sz w:val="24"/>
          <w:szCs w:val="24"/>
          <w:rtl/>
        </w:rPr>
        <w:t xml:space="preserve">ي ولاسيما في السنوات </w:t>
      </w:r>
      <w:proofErr w:type="spellStart"/>
      <w:r w:rsidR="00863FAE">
        <w:rPr>
          <w:rFonts w:ascii="Simplified Arabic" w:hAnsi="Simplified Arabic" w:cs="Simplified Arabic" w:hint="cs"/>
          <w:sz w:val="24"/>
          <w:szCs w:val="24"/>
          <w:rtl/>
        </w:rPr>
        <w:t>2013-</w:t>
      </w:r>
      <w:proofErr w:type="spellEnd"/>
      <w:r w:rsidR="00863FAE">
        <w:rPr>
          <w:rFonts w:ascii="Simplified Arabic" w:hAnsi="Simplified Arabic" w:cs="Simplified Arabic" w:hint="cs"/>
          <w:sz w:val="24"/>
          <w:szCs w:val="24"/>
          <w:rtl/>
        </w:rPr>
        <w:t xml:space="preserve"> </w:t>
      </w:r>
      <w:proofErr w:type="spellStart"/>
      <w:r w:rsidR="003067A4">
        <w:rPr>
          <w:rFonts w:ascii="Simplified Arabic" w:hAnsi="Simplified Arabic" w:cs="Simplified Arabic" w:hint="cs"/>
          <w:sz w:val="24"/>
          <w:szCs w:val="24"/>
          <w:rtl/>
        </w:rPr>
        <w:t>2016</w:t>
      </w:r>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والشكل التالي يبين التغير في قيمة الناتج المحلي الاجمالي</w:t>
      </w:r>
      <w:r w:rsidR="00863FAE">
        <w:rPr>
          <w:rFonts w:ascii="Simplified Arabic" w:hAnsi="Simplified Arabic" w:cs="Simplified Arabic" w:hint="cs"/>
          <w:sz w:val="24"/>
          <w:szCs w:val="24"/>
          <w:rtl/>
        </w:rPr>
        <w:t xml:space="preserve"> قبل وبعد التنقيح</w:t>
      </w:r>
      <w:r>
        <w:rPr>
          <w:rFonts w:ascii="Simplified Arabic" w:hAnsi="Simplified Arabic" w:cs="Simplified Arabic" w:hint="cs"/>
          <w:sz w:val="24"/>
          <w:szCs w:val="24"/>
          <w:rtl/>
        </w:rPr>
        <w:t>:</w:t>
      </w:r>
    </w:p>
    <w:p w:rsidR="00DD4A2B" w:rsidRDefault="00DD4A2B">
      <w:pPr>
        <w:bidi w:val="0"/>
        <w:rPr>
          <w:rFonts w:ascii="Simplified Arabic" w:hAnsi="Simplified Arabic" w:cs="Simplified Arabic"/>
          <w:b/>
          <w:bCs/>
          <w:sz w:val="24"/>
          <w:szCs w:val="24"/>
        </w:rPr>
      </w:pPr>
      <w:r>
        <w:rPr>
          <w:rFonts w:ascii="Simplified Arabic" w:hAnsi="Simplified Arabic" w:cs="Simplified Arabic"/>
          <w:b/>
          <w:bCs/>
          <w:sz w:val="24"/>
          <w:szCs w:val="24"/>
          <w:rtl/>
        </w:rPr>
        <w:br w:type="page"/>
      </w:r>
    </w:p>
    <w:p w:rsidR="008D751A" w:rsidRDefault="00B10845" w:rsidP="008D751A">
      <w:pPr>
        <w:spacing w:after="0" w:line="240" w:lineRule="auto"/>
        <w:jc w:val="center"/>
        <w:rPr>
          <w:rFonts w:ascii="Simplified Arabic" w:hAnsi="Simplified Arabic" w:cs="Simplified Arabic" w:hint="cs"/>
          <w:b/>
          <w:bCs/>
          <w:sz w:val="24"/>
          <w:szCs w:val="24"/>
          <w:rtl/>
        </w:rPr>
      </w:pPr>
      <w:r>
        <w:rPr>
          <w:rFonts w:ascii="Simplified Arabic" w:hAnsi="Simplified Arabic" w:cs="Simplified Arabic" w:hint="cs"/>
          <w:b/>
          <w:bCs/>
          <w:sz w:val="24"/>
          <w:szCs w:val="24"/>
          <w:rtl/>
        </w:rPr>
        <w:lastRenderedPageBreak/>
        <w:t xml:space="preserve">مقارنة الناتج المحلي الاجمالي في فلسطين للأعوام </w:t>
      </w:r>
      <w:proofErr w:type="spellStart"/>
      <w:r w:rsidR="008D751A">
        <w:rPr>
          <w:rFonts w:ascii="Simplified Arabic" w:hAnsi="Simplified Arabic" w:cs="Simplified Arabic" w:hint="cs"/>
          <w:b/>
          <w:bCs/>
          <w:sz w:val="24"/>
          <w:szCs w:val="24"/>
          <w:rtl/>
        </w:rPr>
        <w:t>2004</w:t>
      </w:r>
      <w:r>
        <w:rPr>
          <w:rFonts w:ascii="Simplified Arabic" w:hAnsi="Simplified Arabic" w:cs="Simplified Arabic" w:hint="cs"/>
          <w:b/>
          <w:bCs/>
          <w:sz w:val="24"/>
          <w:szCs w:val="24"/>
          <w:rtl/>
        </w:rPr>
        <w:t>-</w:t>
      </w:r>
      <w:proofErr w:type="spellEnd"/>
      <w:r>
        <w:rPr>
          <w:rFonts w:ascii="Simplified Arabic" w:hAnsi="Simplified Arabic" w:cs="Simplified Arabic" w:hint="cs"/>
          <w:b/>
          <w:bCs/>
          <w:sz w:val="24"/>
          <w:szCs w:val="24"/>
          <w:rtl/>
        </w:rPr>
        <w:t xml:space="preserve"> </w:t>
      </w:r>
      <w:r w:rsidR="00EA1730">
        <w:rPr>
          <w:rFonts w:ascii="Simplified Arabic" w:hAnsi="Simplified Arabic" w:cs="Simplified Arabic" w:hint="cs"/>
          <w:b/>
          <w:bCs/>
          <w:sz w:val="24"/>
          <w:szCs w:val="24"/>
          <w:rtl/>
        </w:rPr>
        <w:t>2018</w:t>
      </w:r>
      <w:r>
        <w:rPr>
          <w:rFonts w:ascii="Simplified Arabic" w:hAnsi="Simplified Arabic" w:cs="Simplified Arabic" w:hint="cs"/>
          <w:b/>
          <w:bCs/>
          <w:sz w:val="24"/>
          <w:szCs w:val="24"/>
          <w:rtl/>
        </w:rPr>
        <w:t xml:space="preserve"> بالأسعار </w:t>
      </w:r>
      <w:proofErr w:type="spellStart"/>
      <w:r>
        <w:rPr>
          <w:rFonts w:ascii="Simplified Arabic" w:hAnsi="Simplified Arabic" w:cs="Simplified Arabic" w:hint="cs"/>
          <w:b/>
          <w:bCs/>
          <w:sz w:val="24"/>
          <w:szCs w:val="24"/>
          <w:rtl/>
        </w:rPr>
        <w:t>الثابتة:</w:t>
      </w:r>
      <w:proofErr w:type="spellEnd"/>
      <w:r>
        <w:rPr>
          <w:rFonts w:ascii="Simplified Arabic" w:hAnsi="Simplified Arabic" w:cs="Simplified Arabic" w:hint="cs"/>
          <w:b/>
          <w:bCs/>
          <w:sz w:val="24"/>
          <w:szCs w:val="24"/>
          <w:rtl/>
        </w:rPr>
        <w:t xml:space="preserve"> سنة الاساس 2015 </w:t>
      </w:r>
    </w:p>
    <w:p w:rsidR="00B10845" w:rsidRDefault="00F901E0" w:rsidP="008D751A">
      <w:pPr>
        <w:spacing w:after="0"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(بيانات سابقة ومنقحة</w:t>
      </w:r>
      <w:proofErr w:type="spellStart"/>
      <w:r>
        <w:rPr>
          <w:rFonts w:ascii="Simplified Arabic" w:hAnsi="Simplified Arabic" w:cs="Simplified Arabic" w:hint="cs"/>
          <w:b/>
          <w:bCs/>
          <w:sz w:val="24"/>
          <w:szCs w:val="24"/>
          <w:rtl/>
        </w:rPr>
        <w:t>)</w:t>
      </w:r>
      <w:proofErr w:type="spellEnd"/>
    </w:p>
    <w:p w:rsidR="00F901E0" w:rsidRDefault="00F901E0" w:rsidP="00F901E0">
      <w:pPr>
        <w:spacing w:after="0" w:line="240" w:lineRule="auto"/>
        <w:rPr>
          <w:rFonts w:ascii="Simplified Arabic" w:hAnsi="Simplified Arabic" w:cs="Simplified Arabic" w:hint="cs"/>
          <w:noProof/>
          <w:sz w:val="20"/>
          <w:szCs w:val="20"/>
          <w:rtl/>
        </w:rPr>
      </w:pPr>
      <w:r w:rsidRPr="00F901E0">
        <w:rPr>
          <w:rFonts w:ascii="Simplified Arabic" w:hAnsi="Simplified Arabic" w:cs="Simplified Arabic" w:hint="cs"/>
          <w:sz w:val="20"/>
          <w:szCs w:val="20"/>
          <w:rtl/>
        </w:rPr>
        <w:t>القيمة بالمليون دولار أمريكي</w:t>
      </w:r>
    </w:p>
    <w:p w:rsidR="001B17B5" w:rsidRPr="00F901E0" w:rsidRDefault="001B17B5" w:rsidP="00F901E0">
      <w:pPr>
        <w:spacing w:after="0" w:line="240" w:lineRule="auto"/>
        <w:rPr>
          <w:rFonts w:ascii="Simplified Arabic" w:hAnsi="Simplified Arabic" w:cs="Simplified Arabic"/>
          <w:vanish/>
          <w:sz w:val="20"/>
          <w:szCs w:val="20"/>
          <w:rtl/>
        </w:rPr>
      </w:pPr>
      <w:r w:rsidRPr="001B17B5">
        <w:rPr>
          <w:rFonts w:ascii="Simplified Arabic" w:hAnsi="Simplified Arabic" w:cs="Simplified Arabic"/>
          <w:sz w:val="20"/>
          <w:szCs w:val="20"/>
          <w:rtl/>
        </w:rPr>
        <w:drawing>
          <wp:inline distT="0" distB="0" distL="0" distR="0">
            <wp:extent cx="6095530" cy="3244132"/>
            <wp:effectExtent l="19050" t="0" r="1952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10845" w:rsidRDefault="00B10845" w:rsidP="00F901E0">
      <w:pPr>
        <w:spacing w:after="0" w:line="360" w:lineRule="auto"/>
        <w:jc w:val="both"/>
        <w:rPr>
          <w:rFonts w:ascii="Simplified Arabic" w:hAnsi="Simplified Arabic" w:cs="Simplified Arabic"/>
          <w:b/>
          <w:bCs/>
          <w:sz w:val="24"/>
          <w:szCs w:val="24"/>
          <w:rtl/>
        </w:rPr>
      </w:pPr>
    </w:p>
    <w:p w:rsidR="007064D5" w:rsidRDefault="007064D5" w:rsidP="007064D5">
      <w:pPr>
        <w:spacing w:line="240" w:lineRule="auto"/>
        <w:jc w:val="center"/>
        <w:rPr>
          <w:rFonts w:ascii="Simplified Arabic" w:hAnsi="Simplified Arabic" w:cs="Simplified Arabic"/>
          <w:b/>
          <w:bCs/>
          <w:sz w:val="24"/>
          <w:szCs w:val="24"/>
          <w:rtl/>
        </w:rPr>
      </w:pPr>
    </w:p>
    <w:p w:rsidR="00B10845" w:rsidRDefault="00B10845" w:rsidP="00863FA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مقارنة التغير في الناتج المحلي الاجمالي في فلسطين خلال الأعوام </w:t>
      </w:r>
      <w:proofErr w:type="spellStart"/>
      <w:r w:rsidR="00863FAE">
        <w:rPr>
          <w:rFonts w:ascii="Simplified Arabic" w:hAnsi="Simplified Arabic" w:cs="Simplified Arabic" w:hint="cs"/>
          <w:b/>
          <w:bCs/>
          <w:sz w:val="24"/>
          <w:szCs w:val="24"/>
          <w:rtl/>
        </w:rPr>
        <w:t>2004</w:t>
      </w:r>
      <w:r>
        <w:rPr>
          <w:rFonts w:ascii="Simplified Arabic" w:hAnsi="Simplified Arabic" w:cs="Simplified Arabic" w:hint="cs"/>
          <w:b/>
          <w:bCs/>
          <w:sz w:val="24"/>
          <w:szCs w:val="24"/>
          <w:rtl/>
        </w:rPr>
        <w:t>-</w:t>
      </w:r>
      <w:proofErr w:type="spellEnd"/>
      <w:r>
        <w:rPr>
          <w:rFonts w:ascii="Simplified Arabic" w:hAnsi="Simplified Arabic" w:cs="Simplified Arabic" w:hint="cs"/>
          <w:b/>
          <w:bCs/>
          <w:sz w:val="24"/>
          <w:szCs w:val="24"/>
          <w:rtl/>
        </w:rPr>
        <w:t xml:space="preserve"> 2018 بالأسعار </w:t>
      </w:r>
      <w:proofErr w:type="spellStart"/>
      <w:r>
        <w:rPr>
          <w:rFonts w:ascii="Simplified Arabic" w:hAnsi="Simplified Arabic" w:cs="Simplified Arabic" w:hint="cs"/>
          <w:b/>
          <w:bCs/>
          <w:sz w:val="24"/>
          <w:szCs w:val="24"/>
          <w:rtl/>
        </w:rPr>
        <w:t>الثابتة:</w:t>
      </w:r>
      <w:proofErr w:type="spellEnd"/>
      <w:r>
        <w:rPr>
          <w:rFonts w:ascii="Simplified Arabic" w:hAnsi="Simplified Arabic" w:cs="Simplified Arabic" w:hint="cs"/>
          <w:b/>
          <w:bCs/>
          <w:sz w:val="24"/>
          <w:szCs w:val="24"/>
          <w:rtl/>
        </w:rPr>
        <w:t xml:space="preserve"> سنة الاساس 2015 </w:t>
      </w:r>
      <w:r w:rsidR="007064D5">
        <w:rPr>
          <w:rFonts w:ascii="Simplified Arabic" w:hAnsi="Simplified Arabic" w:cs="Simplified Arabic" w:hint="cs"/>
          <w:b/>
          <w:bCs/>
          <w:sz w:val="24"/>
          <w:szCs w:val="24"/>
          <w:rtl/>
        </w:rPr>
        <w:t>بيانات سابقة ومنقحة</w:t>
      </w:r>
      <w:r w:rsidR="001E3D2E">
        <w:rPr>
          <w:rFonts w:ascii="Simplified Arabic" w:hAnsi="Simplified Arabic" w:cs="Simplified Arabic" w:hint="cs"/>
          <w:b/>
          <w:bCs/>
          <w:sz w:val="24"/>
          <w:szCs w:val="24"/>
          <w:rtl/>
        </w:rPr>
        <w:t xml:space="preserve"> (نسبة مئوية</w:t>
      </w:r>
      <w:r w:rsidR="009C7069">
        <w:rPr>
          <w:rFonts w:ascii="Simplified Arabic" w:hAnsi="Simplified Arabic" w:cs="Simplified Arabic" w:hint="cs"/>
          <w:b/>
          <w:bCs/>
          <w:sz w:val="24"/>
          <w:szCs w:val="24"/>
          <w:rtl/>
        </w:rPr>
        <w:t xml:space="preserve"> </w:t>
      </w:r>
      <w:r w:rsidR="001E3D2E">
        <w:rPr>
          <w:rFonts w:ascii="Simplified Arabic" w:hAnsi="Simplified Arabic" w:cs="Simplified Arabic" w:hint="cs"/>
          <w:b/>
          <w:bCs/>
          <w:sz w:val="24"/>
          <w:szCs w:val="24"/>
          <w:rtl/>
        </w:rPr>
        <w:t>%)</w:t>
      </w:r>
    </w:p>
    <w:p w:rsidR="001E2D8D" w:rsidRDefault="005E1843" w:rsidP="006145A3">
      <w:pPr>
        <w:spacing w:line="360" w:lineRule="auto"/>
        <w:ind w:left="-483"/>
        <w:jc w:val="both"/>
        <w:rPr>
          <w:rFonts w:ascii="Simplified Arabic" w:hAnsi="Simplified Arabic" w:cs="Simplified Arabic"/>
          <w:b/>
          <w:bCs/>
          <w:sz w:val="24"/>
          <w:szCs w:val="24"/>
          <w:rtl/>
        </w:rPr>
      </w:pPr>
      <w:r w:rsidRPr="005E1843">
        <w:rPr>
          <w:rFonts w:ascii="Simplified Arabic" w:hAnsi="Simplified Arabic" w:cs="Simplified Arabic"/>
          <w:b/>
          <w:bCs/>
          <w:noProof/>
          <w:sz w:val="24"/>
          <w:szCs w:val="24"/>
          <w:rtl/>
        </w:rPr>
        <w:drawing>
          <wp:inline distT="0" distB="0" distL="0" distR="0">
            <wp:extent cx="6397652" cy="3106420"/>
            <wp:effectExtent l="19050" t="0" r="2219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63FAE" w:rsidRPr="00863FAE" w:rsidRDefault="00863FAE" w:rsidP="001E2D8D">
      <w:pPr>
        <w:spacing w:line="360" w:lineRule="auto"/>
        <w:jc w:val="both"/>
        <w:rPr>
          <w:rFonts w:ascii="Simplified Arabic" w:hAnsi="Simplified Arabic" w:cs="Simplified Arabic"/>
          <w:b/>
          <w:bCs/>
          <w:sz w:val="20"/>
          <w:szCs w:val="20"/>
          <w:rtl/>
        </w:rPr>
      </w:pPr>
      <w:proofErr w:type="spellStart"/>
      <w:r w:rsidRPr="00863FAE">
        <w:rPr>
          <w:rFonts w:ascii="Simplified Arabic" w:hAnsi="Simplified Arabic" w:cs="Simplified Arabic" w:hint="cs"/>
          <w:b/>
          <w:bCs/>
          <w:sz w:val="20"/>
          <w:szCs w:val="20"/>
          <w:rtl/>
        </w:rPr>
        <w:t>ملاحظة:</w:t>
      </w:r>
      <w:proofErr w:type="spellEnd"/>
      <w:r w:rsidRPr="00863FAE">
        <w:rPr>
          <w:rFonts w:ascii="Simplified Arabic" w:hAnsi="Simplified Arabic" w:cs="Simplified Arabic" w:hint="cs"/>
          <w:b/>
          <w:bCs/>
          <w:sz w:val="20"/>
          <w:szCs w:val="20"/>
          <w:rtl/>
        </w:rPr>
        <w:t xml:space="preserve"> </w:t>
      </w:r>
      <w:r w:rsidRPr="00863FAE">
        <w:rPr>
          <w:rFonts w:ascii="Simplified Arabic" w:hAnsi="Simplified Arabic" w:cs="Simplified Arabic" w:hint="cs"/>
          <w:sz w:val="20"/>
          <w:szCs w:val="20"/>
          <w:rtl/>
        </w:rPr>
        <w:t xml:space="preserve">نسب التغير للأعوام </w:t>
      </w:r>
      <w:proofErr w:type="spellStart"/>
      <w:r w:rsidRPr="00863FAE">
        <w:rPr>
          <w:rFonts w:ascii="Simplified Arabic" w:hAnsi="Simplified Arabic" w:cs="Simplified Arabic" w:hint="cs"/>
          <w:sz w:val="20"/>
          <w:szCs w:val="20"/>
          <w:rtl/>
        </w:rPr>
        <w:t>2017،</w:t>
      </w:r>
      <w:proofErr w:type="spellEnd"/>
      <w:r w:rsidRPr="00863FAE">
        <w:rPr>
          <w:rFonts w:ascii="Simplified Arabic" w:hAnsi="Simplified Arabic" w:cs="Simplified Arabic" w:hint="cs"/>
          <w:sz w:val="20"/>
          <w:szCs w:val="20"/>
          <w:rtl/>
        </w:rPr>
        <w:t xml:space="preserve"> 2018 في البيانات السابقة تعتمد على تقديرات الحسابات القومية </w:t>
      </w:r>
      <w:proofErr w:type="spellStart"/>
      <w:r w:rsidRPr="00863FAE">
        <w:rPr>
          <w:rFonts w:ascii="Simplified Arabic" w:hAnsi="Simplified Arabic" w:cs="Simplified Arabic" w:hint="cs"/>
          <w:sz w:val="20"/>
          <w:szCs w:val="20"/>
          <w:rtl/>
        </w:rPr>
        <w:t>ا</w:t>
      </w:r>
      <w:r>
        <w:rPr>
          <w:rFonts w:ascii="Simplified Arabic" w:hAnsi="Simplified Arabic" w:cs="Simplified Arabic" w:hint="cs"/>
          <w:sz w:val="20"/>
          <w:szCs w:val="20"/>
          <w:rtl/>
        </w:rPr>
        <w:t>ل</w:t>
      </w:r>
      <w:r w:rsidRPr="00863FAE">
        <w:rPr>
          <w:rFonts w:ascii="Simplified Arabic" w:hAnsi="Simplified Arabic" w:cs="Simplified Arabic" w:hint="cs"/>
          <w:sz w:val="20"/>
          <w:szCs w:val="20"/>
          <w:rtl/>
        </w:rPr>
        <w:t>ربعية</w:t>
      </w:r>
      <w:proofErr w:type="spellEnd"/>
      <w:r w:rsidRPr="00863FAE">
        <w:rPr>
          <w:rFonts w:ascii="Simplified Arabic" w:hAnsi="Simplified Arabic" w:cs="Simplified Arabic" w:hint="cs"/>
          <w:sz w:val="20"/>
          <w:szCs w:val="20"/>
          <w:rtl/>
        </w:rPr>
        <w:t xml:space="preserve"> التي صدرت سابقاً</w:t>
      </w:r>
    </w:p>
    <w:p w:rsidR="001E2D8D" w:rsidRDefault="00B10845" w:rsidP="00863FAE">
      <w:pPr>
        <w:rPr>
          <w:rFonts w:ascii="Simplified Arabic" w:hAnsi="Simplified Arabic" w:cs="Simplified Arabic"/>
          <w:b/>
          <w:bCs/>
          <w:sz w:val="24"/>
          <w:szCs w:val="24"/>
          <w:rtl/>
        </w:rPr>
      </w:pPr>
      <w:r>
        <w:rPr>
          <w:rFonts w:ascii="Simplified Arabic" w:hAnsi="Simplified Arabic" w:cs="Simplified Arabic"/>
          <w:b/>
          <w:bCs/>
          <w:sz w:val="24"/>
          <w:szCs w:val="24"/>
          <w:rtl/>
        </w:rPr>
        <w:br w:type="page"/>
      </w:r>
      <w:r w:rsidR="00863FAE">
        <w:rPr>
          <w:rFonts w:ascii="Simplified Arabic" w:hAnsi="Simplified Arabic" w:cs="Simplified Arabic" w:hint="cs"/>
          <w:b/>
          <w:bCs/>
          <w:sz w:val="24"/>
          <w:szCs w:val="24"/>
          <w:rtl/>
        </w:rPr>
        <w:lastRenderedPageBreak/>
        <w:t>مما سبق يمكن استنتاج ما يلي:</w:t>
      </w:r>
    </w:p>
    <w:p w:rsidR="005121B3" w:rsidRDefault="005121B3" w:rsidP="006B2A86">
      <w:pPr>
        <w:pStyle w:val="ListParagraph"/>
        <w:numPr>
          <w:ilvl w:val="0"/>
          <w:numId w:val="10"/>
        </w:numPr>
        <w:spacing w:line="360" w:lineRule="auto"/>
        <w:jc w:val="both"/>
        <w:rPr>
          <w:rFonts w:ascii="Simplified Arabic" w:hAnsi="Simplified Arabic" w:cs="Simplified Arabic"/>
          <w:sz w:val="24"/>
          <w:szCs w:val="24"/>
        </w:rPr>
      </w:pPr>
      <w:r>
        <w:rPr>
          <w:rFonts w:ascii="Simplified Arabic" w:hAnsi="Simplified Arabic" w:cs="Simplified Arabic" w:hint="cs"/>
          <w:sz w:val="24"/>
          <w:szCs w:val="24"/>
          <w:rtl/>
        </w:rPr>
        <w:t>تعتبر السلسلة المنقحة الحالية أكثر شمولية وتغطية للأنشطة الاقتصادية المختلفة مما انعكس بتمثيل أفضل للاقتصاد الفلسطيني.</w:t>
      </w:r>
    </w:p>
    <w:p w:rsidR="00B10845" w:rsidRDefault="00B10845" w:rsidP="006B2A86">
      <w:pPr>
        <w:pStyle w:val="ListParagraph"/>
        <w:numPr>
          <w:ilvl w:val="0"/>
          <w:numId w:val="10"/>
        </w:numPr>
        <w:spacing w:line="36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لم تختلف الرواية الاقتصادية من حيث </w:t>
      </w:r>
      <w:r w:rsidR="005121B3">
        <w:rPr>
          <w:rFonts w:ascii="Simplified Arabic" w:hAnsi="Simplified Arabic" w:cs="Simplified Arabic" w:hint="cs"/>
          <w:sz w:val="24"/>
          <w:szCs w:val="24"/>
          <w:rtl/>
        </w:rPr>
        <w:t xml:space="preserve">اتجاهات </w:t>
      </w:r>
      <w:r>
        <w:rPr>
          <w:rFonts w:ascii="Simplified Arabic" w:hAnsi="Simplified Arabic" w:cs="Simplified Arabic" w:hint="cs"/>
          <w:sz w:val="24"/>
          <w:szCs w:val="24"/>
          <w:rtl/>
        </w:rPr>
        <w:t xml:space="preserve">النمو أو التراجع على الناتج المحلي الاجمالي بمكوناته المختلفة </w:t>
      </w:r>
      <w:r w:rsidR="005121B3">
        <w:rPr>
          <w:rFonts w:ascii="Simplified Arabic" w:hAnsi="Simplified Arabic" w:cs="Simplified Arabic" w:hint="cs"/>
          <w:sz w:val="24"/>
          <w:szCs w:val="24"/>
          <w:rtl/>
        </w:rPr>
        <w:t>وإنما</w:t>
      </w:r>
      <w:r>
        <w:rPr>
          <w:rFonts w:ascii="Simplified Arabic" w:hAnsi="Simplified Arabic" w:cs="Simplified Arabic" w:hint="cs"/>
          <w:sz w:val="24"/>
          <w:szCs w:val="24"/>
          <w:rtl/>
        </w:rPr>
        <w:t xml:space="preserve"> كان التغير في قيمة الناتج المحلي الاجمالي الذي شهد </w:t>
      </w:r>
      <w:r w:rsidR="006B2A86">
        <w:rPr>
          <w:rFonts w:ascii="Simplified Arabic" w:hAnsi="Simplified Arabic" w:cs="Simplified Arabic" w:hint="cs"/>
          <w:sz w:val="24"/>
          <w:szCs w:val="24"/>
          <w:rtl/>
        </w:rPr>
        <w:t>تزايداً</w:t>
      </w:r>
      <w:r>
        <w:rPr>
          <w:rFonts w:ascii="Simplified Arabic" w:hAnsi="Simplified Arabic" w:cs="Simplified Arabic" w:hint="cs"/>
          <w:sz w:val="24"/>
          <w:szCs w:val="24"/>
          <w:rtl/>
        </w:rPr>
        <w:t xml:space="preserve"> نتيجة لتحسن مستويات التغطية.</w:t>
      </w:r>
    </w:p>
    <w:p w:rsidR="00B10845" w:rsidRDefault="00D568A4" w:rsidP="001E0AE4">
      <w:pPr>
        <w:pStyle w:val="ListParagraph"/>
        <w:numPr>
          <w:ilvl w:val="0"/>
          <w:numId w:val="10"/>
        </w:numPr>
        <w:spacing w:line="36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تعتبر الأوضاع التي تشهدها </w:t>
      </w:r>
      <w:r w:rsidR="001E0AE4">
        <w:rPr>
          <w:rFonts w:ascii="Simplified Arabic" w:hAnsi="Simplified Arabic" w:cs="Simplified Arabic" w:hint="cs"/>
          <w:sz w:val="24"/>
          <w:szCs w:val="24"/>
          <w:rtl/>
        </w:rPr>
        <w:t>فلسطين</w:t>
      </w:r>
      <w:r>
        <w:rPr>
          <w:rFonts w:ascii="Simplified Arabic" w:hAnsi="Simplified Arabic" w:cs="Simplified Arabic" w:hint="cs"/>
          <w:sz w:val="24"/>
          <w:szCs w:val="24"/>
          <w:rtl/>
        </w:rPr>
        <w:t xml:space="preserve"> من حيث عدم السيطرة على المعابر والحدود والمناطق الجغرافية التي تقع خارج السيطرة وغيرها من المعوقات من أهم المحددات التي تعيق من امكانية تحقيق شمولية لقياس المؤشرات الاقتصادية ولهذا السبب </w:t>
      </w:r>
      <w:r w:rsidR="00541230">
        <w:rPr>
          <w:rFonts w:ascii="Simplified Arabic" w:hAnsi="Simplified Arabic" w:cs="Simplified Arabic" w:hint="cs"/>
          <w:sz w:val="24"/>
          <w:szCs w:val="24"/>
          <w:rtl/>
        </w:rPr>
        <w:t>توجد جهود مستمرة في العمل مع الشركاء للحصول على بيانات أكثر شمولية باستمرار.</w:t>
      </w:r>
    </w:p>
    <w:p w:rsidR="00B006ED" w:rsidRPr="00EA1730" w:rsidRDefault="00541230" w:rsidP="00EA1730">
      <w:pPr>
        <w:pStyle w:val="ListParagraph"/>
        <w:numPr>
          <w:ilvl w:val="0"/>
          <w:numId w:val="10"/>
        </w:numPr>
        <w:spacing w:line="36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تشير التوصيات الدولية الى ضرورة اجراء </w:t>
      </w:r>
      <w:proofErr w:type="spellStart"/>
      <w:r>
        <w:rPr>
          <w:rFonts w:ascii="Simplified Arabic" w:hAnsi="Simplified Arabic" w:cs="Simplified Arabic" w:hint="cs"/>
          <w:sz w:val="24"/>
          <w:szCs w:val="24"/>
          <w:rtl/>
        </w:rPr>
        <w:t>تنقيحات</w:t>
      </w:r>
      <w:proofErr w:type="spellEnd"/>
      <w:r>
        <w:rPr>
          <w:rFonts w:ascii="Simplified Arabic" w:hAnsi="Simplified Arabic" w:cs="Simplified Arabic" w:hint="cs"/>
          <w:sz w:val="24"/>
          <w:szCs w:val="24"/>
          <w:rtl/>
        </w:rPr>
        <w:t xml:space="preserve"> مستمرة للحسابات القومية في حال تم الحصول على بيانات أحدث وأكثر شمولية.</w:t>
      </w:r>
    </w:p>
    <w:sectPr w:rsidR="00B006ED" w:rsidRPr="00EA1730" w:rsidSect="006145A3">
      <w:headerReference w:type="default" r:id="rId9"/>
      <w:footerReference w:type="default" r:id="rId10"/>
      <w:pgSz w:w="11906" w:h="16838"/>
      <w:pgMar w:top="1440" w:right="1274"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7B5" w:rsidRDefault="001B17B5" w:rsidP="008946F0">
      <w:pPr>
        <w:spacing w:after="0" w:line="240" w:lineRule="auto"/>
      </w:pPr>
      <w:r>
        <w:separator/>
      </w:r>
    </w:p>
  </w:endnote>
  <w:endnote w:type="continuationSeparator" w:id="0">
    <w:p w:rsidR="001B17B5" w:rsidRDefault="001B17B5" w:rsidP="00894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4529311"/>
      <w:docPartObj>
        <w:docPartGallery w:val="Page Numbers (Bottom of Page)"/>
        <w:docPartUnique/>
      </w:docPartObj>
    </w:sdtPr>
    <w:sdtContent>
      <w:p w:rsidR="001B17B5" w:rsidRDefault="001B17B5">
        <w:pPr>
          <w:pStyle w:val="Footer"/>
          <w:jc w:val="right"/>
        </w:pPr>
        <w:fldSimple w:instr=" PAGE   \* MERGEFORMAT ">
          <w:r w:rsidR="009C7069">
            <w:rPr>
              <w:noProof/>
              <w:rtl/>
            </w:rPr>
            <w:t>6</w:t>
          </w:r>
        </w:fldSimple>
      </w:p>
    </w:sdtContent>
  </w:sdt>
  <w:p w:rsidR="001B17B5" w:rsidRDefault="001B17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7B5" w:rsidRDefault="001B17B5" w:rsidP="008946F0">
      <w:pPr>
        <w:spacing w:after="0" w:line="240" w:lineRule="auto"/>
      </w:pPr>
      <w:r>
        <w:separator/>
      </w:r>
    </w:p>
  </w:footnote>
  <w:footnote w:type="continuationSeparator" w:id="0">
    <w:p w:rsidR="001B17B5" w:rsidRDefault="001B17B5" w:rsidP="00894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b/>
        <w:bCs/>
        <w:sz w:val="32"/>
        <w:szCs w:val="32"/>
        <w:rtl/>
      </w:rPr>
      <w:alias w:val="Title"/>
      <w:id w:val="77738743"/>
      <w:placeholder>
        <w:docPart w:val="1A2659351B194519B6E55E403374E903"/>
      </w:placeholder>
      <w:dataBinding w:prefixMappings="xmlns:ns0='http://schemas.openxmlformats.org/package/2006/metadata/core-properties' xmlns:ns1='http://purl.org/dc/elements/1.1/'" w:xpath="/ns0:coreProperties[1]/ns1:title[1]" w:storeItemID="{6C3C8BC8-F283-45AE-878A-BAB7291924A1}"/>
      <w:text/>
    </w:sdtPr>
    <w:sdtContent>
      <w:p w:rsidR="001B17B5" w:rsidRDefault="001B17B5" w:rsidP="008946F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946F0">
          <w:rPr>
            <w:rFonts w:ascii="Simplified Arabic" w:eastAsiaTheme="majorEastAsia" w:hAnsi="Simplified Arabic" w:cs="Simplified Arabic"/>
            <w:b/>
            <w:bCs/>
            <w:sz w:val="32"/>
            <w:szCs w:val="32"/>
            <w:rtl/>
          </w:rPr>
          <w:t>الجهاز المركزي للإحصاء الفلسطيني                     دائرة الحسابات القومية</w:t>
        </w:r>
      </w:p>
    </w:sdtContent>
  </w:sdt>
  <w:p w:rsidR="001B17B5" w:rsidRDefault="001B17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2331"/>
    <w:multiLevelType w:val="hybridMultilevel"/>
    <w:tmpl w:val="7EA6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C2829"/>
    <w:multiLevelType w:val="hybridMultilevel"/>
    <w:tmpl w:val="B17A00B4"/>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1E5C61DE"/>
    <w:multiLevelType w:val="hybridMultilevel"/>
    <w:tmpl w:val="89E20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20E32"/>
    <w:multiLevelType w:val="hybridMultilevel"/>
    <w:tmpl w:val="4398AB44"/>
    <w:lvl w:ilvl="0" w:tplc="F9944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C352F"/>
    <w:multiLevelType w:val="hybridMultilevel"/>
    <w:tmpl w:val="874E4C04"/>
    <w:lvl w:ilvl="0" w:tplc="A22ACA2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A0C47"/>
    <w:multiLevelType w:val="hybridMultilevel"/>
    <w:tmpl w:val="5AA24E28"/>
    <w:lvl w:ilvl="0" w:tplc="6CBAAC80">
      <w:numFmt w:val="bullet"/>
      <w:lvlText w:val=""/>
      <w:lvlJc w:val="left"/>
      <w:pPr>
        <w:tabs>
          <w:tab w:val="num" w:pos="720"/>
        </w:tabs>
        <w:ind w:left="720" w:right="720" w:hanging="360"/>
      </w:pPr>
      <w:rPr>
        <w:rFonts w:ascii="Symbol" w:eastAsia="Times New Roman" w:hAnsi="Symbol"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40721A42"/>
    <w:multiLevelType w:val="multilevel"/>
    <w:tmpl w:val="06207CA2"/>
    <w:lvl w:ilvl="0">
      <w:start w:val="1"/>
      <w:numFmt w:val="arabicAlpha"/>
      <w:lvlText w:val="%1-"/>
      <w:lvlJc w:val="center"/>
      <w:pPr>
        <w:ind w:left="360" w:hanging="360"/>
      </w:pPr>
    </w:lvl>
    <w:lvl w:ilvl="1">
      <w:start w:val="1"/>
      <w:numFmt w:val="arabicAlpha"/>
      <w:lvlText w:val="%2-"/>
      <w:lvlJc w:val="center"/>
      <w:pPr>
        <w:ind w:left="720" w:hanging="360"/>
      </w:pPr>
    </w:lvl>
    <w:lvl w:ilvl="2">
      <w:start w:val="1"/>
      <w:numFmt w:val="arabicAlpha"/>
      <w:lvlText w:val="%1-%2-%3-"/>
      <w:lvlJc w:val="center"/>
      <w:pPr>
        <w:ind w:left="1080" w:hanging="360"/>
      </w:pPr>
    </w:lvl>
    <w:lvl w:ilvl="3">
      <w:start w:val="1"/>
      <w:numFmt w:val="decimal"/>
      <w:lvlText w:val="%1-%2-%3-%4-"/>
      <w:lvlJc w:val="center"/>
      <w:pPr>
        <w:ind w:left="1440" w:hanging="360"/>
      </w:pPr>
    </w:lvl>
    <w:lvl w:ilvl="4">
      <w:start w:val="1"/>
      <w:numFmt w:val="arabicAlpha"/>
      <w:lvlText w:val="%1-%2-%3-%4-%5-"/>
      <w:lvlJc w:val="center"/>
      <w:pPr>
        <w:ind w:left="1800" w:hanging="360"/>
      </w:pPr>
    </w:lvl>
    <w:lvl w:ilvl="5">
      <w:start w:val="1"/>
      <w:numFmt w:val="decimal"/>
      <w:lvlText w:val="%1-%2-%3-%4-%5-%6-"/>
      <w:lvlJc w:val="center"/>
      <w:pPr>
        <w:ind w:left="2160" w:hanging="360"/>
      </w:pPr>
    </w:lvl>
    <w:lvl w:ilvl="6">
      <w:start w:val="1"/>
      <w:numFmt w:val="arabicAlpha"/>
      <w:lvlText w:val="%1-%2-%3-%4-%5-%6-%7-"/>
      <w:lvlJc w:val="center"/>
      <w:pPr>
        <w:ind w:left="2520" w:hanging="360"/>
      </w:pPr>
    </w:lvl>
    <w:lvl w:ilvl="7">
      <w:start w:val="1"/>
      <w:numFmt w:val="decimal"/>
      <w:lvlText w:val="%1-%2-%3-%4-%5-%6-%7-%8-"/>
      <w:lvlJc w:val="center"/>
      <w:pPr>
        <w:ind w:left="2880" w:hanging="360"/>
      </w:pPr>
    </w:lvl>
    <w:lvl w:ilvl="8">
      <w:start w:val="1"/>
      <w:numFmt w:val="arabicAlpha"/>
      <w:lvlText w:val="%1-%2-%3-%4-%5-%6-%7-%8-%9-"/>
      <w:lvlJc w:val="center"/>
      <w:pPr>
        <w:ind w:left="3240" w:hanging="360"/>
      </w:pPr>
    </w:lvl>
  </w:abstractNum>
  <w:abstractNum w:abstractNumId="7">
    <w:nsid w:val="5F505468"/>
    <w:multiLevelType w:val="hybridMultilevel"/>
    <w:tmpl w:val="C340F1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490F53"/>
    <w:multiLevelType w:val="hybridMultilevel"/>
    <w:tmpl w:val="06A069CA"/>
    <w:lvl w:ilvl="0" w:tplc="A5F0980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D63721"/>
    <w:multiLevelType w:val="hybridMultilevel"/>
    <w:tmpl w:val="D95C2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1"/>
  </w:num>
  <w:num w:numId="5">
    <w:abstractNumId w:val="4"/>
  </w:num>
  <w:num w:numId="6">
    <w:abstractNumId w:val="5"/>
  </w:num>
  <w:num w:numId="7">
    <w:abstractNumId w:val="3"/>
  </w:num>
  <w:num w:numId="8">
    <w:abstractNumId w:val="7"/>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682A14"/>
    <w:rsid w:val="0002052D"/>
    <w:rsid w:val="000667F9"/>
    <w:rsid w:val="000A7BE1"/>
    <w:rsid w:val="000D0D2D"/>
    <w:rsid w:val="001436A3"/>
    <w:rsid w:val="00144068"/>
    <w:rsid w:val="00147731"/>
    <w:rsid w:val="001766A5"/>
    <w:rsid w:val="001B17B5"/>
    <w:rsid w:val="001C5252"/>
    <w:rsid w:val="001D181C"/>
    <w:rsid w:val="001D6F4D"/>
    <w:rsid w:val="001E0AE4"/>
    <w:rsid w:val="001E2D8D"/>
    <w:rsid w:val="001E3D2E"/>
    <w:rsid w:val="001E5C61"/>
    <w:rsid w:val="001F6D13"/>
    <w:rsid w:val="002035A1"/>
    <w:rsid w:val="002855B0"/>
    <w:rsid w:val="002C1ACC"/>
    <w:rsid w:val="003067A4"/>
    <w:rsid w:val="00326853"/>
    <w:rsid w:val="003271FC"/>
    <w:rsid w:val="003831F8"/>
    <w:rsid w:val="00422CE1"/>
    <w:rsid w:val="00442DC2"/>
    <w:rsid w:val="00444B56"/>
    <w:rsid w:val="0044602C"/>
    <w:rsid w:val="00491FE9"/>
    <w:rsid w:val="004A17AC"/>
    <w:rsid w:val="004F40D0"/>
    <w:rsid w:val="00510138"/>
    <w:rsid w:val="005121B3"/>
    <w:rsid w:val="005219EA"/>
    <w:rsid w:val="00527570"/>
    <w:rsid w:val="00541230"/>
    <w:rsid w:val="005430FB"/>
    <w:rsid w:val="00563B1B"/>
    <w:rsid w:val="0057063E"/>
    <w:rsid w:val="00584DCB"/>
    <w:rsid w:val="005D3A48"/>
    <w:rsid w:val="005E1843"/>
    <w:rsid w:val="005F2D5D"/>
    <w:rsid w:val="006063EB"/>
    <w:rsid w:val="006145A3"/>
    <w:rsid w:val="00682A14"/>
    <w:rsid w:val="006A5AA6"/>
    <w:rsid w:val="006A767F"/>
    <w:rsid w:val="006B2A86"/>
    <w:rsid w:val="006B3047"/>
    <w:rsid w:val="006F0446"/>
    <w:rsid w:val="00700175"/>
    <w:rsid w:val="007064D5"/>
    <w:rsid w:val="007635D2"/>
    <w:rsid w:val="00767D98"/>
    <w:rsid w:val="00781D45"/>
    <w:rsid w:val="00796A56"/>
    <w:rsid w:val="007A1BAA"/>
    <w:rsid w:val="00863FAE"/>
    <w:rsid w:val="0086478A"/>
    <w:rsid w:val="008946F0"/>
    <w:rsid w:val="008A4AB3"/>
    <w:rsid w:val="008D751A"/>
    <w:rsid w:val="00913AFC"/>
    <w:rsid w:val="00942EC7"/>
    <w:rsid w:val="009632B1"/>
    <w:rsid w:val="00995C72"/>
    <w:rsid w:val="009C7069"/>
    <w:rsid w:val="00A24F59"/>
    <w:rsid w:val="00A74340"/>
    <w:rsid w:val="00AA4843"/>
    <w:rsid w:val="00AC28CA"/>
    <w:rsid w:val="00AF04FB"/>
    <w:rsid w:val="00B006ED"/>
    <w:rsid w:val="00B10845"/>
    <w:rsid w:val="00B20C1A"/>
    <w:rsid w:val="00B826DE"/>
    <w:rsid w:val="00BC3774"/>
    <w:rsid w:val="00C27032"/>
    <w:rsid w:val="00C40528"/>
    <w:rsid w:val="00C44F06"/>
    <w:rsid w:val="00C82A4A"/>
    <w:rsid w:val="00CB05CE"/>
    <w:rsid w:val="00CB2116"/>
    <w:rsid w:val="00CB3A58"/>
    <w:rsid w:val="00CC7C15"/>
    <w:rsid w:val="00D017E0"/>
    <w:rsid w:val="00D35F7D"/>
    <w:rsid w:val="00D41406"/>
    <w:rsid w:val="00D568A4"/>
    <w:rsid w:val="00D70E70"/>
    <w:rsid w:val="00DD4A2B"/>
    <w:rsid w:val="00DD65FF"/>
    <w:rsid w:val="00DF008B"/>
    <w:rsid w:val="00E4404D"/>
    <w:rsid w:val="00EA1730"/>
    <w:rsid w:val="00EB13CD"/>
    <w:rsid w:val="00EF7757"/>
    <w:rsid w:val="00F0231F"/>
    <w:rsid w:val="00F36855"/>
    <w:rsid w:val="00F47A83"/>
    <w:rsid w:val="00F901E0"/>
    <w:rsid w:val="00FF1D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0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8CA"/>
    <w:pPr>
      <w:ind w:left="720"/>
      <w:contextualSpacing/>
    </w:pPr>
  </w:style>
  <w:style w:type="table" w:styleId="TableGrid">
    <w:name w:val="Table Grid"/>
    <w:basedOn w:val="TableNormal"/>
    <w:uiPriority w:val="59"/>
    <w:rsid w:val="001D18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442D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6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6A5"/>
    <w:rPr>
      <w:rFonts w:ascii="Tahoma" w:hAnsi="Tahoma" w:cs="Tahoma"/>
      <w:sz w:val="16"/>
      <w:szCs w:val="16"/>
    </w:rPr>
  </w:style>
  <w:style w:type="paragraph" w:styleId="Header">
    <w:name w:val="header"/>
    <w:basedOn w:val="Normal"/>
    <w:link w:val="HeaderChar"/>
    <w:uiPriority w:val="99"/>
    <w:unhideWhenUsed/>
    <w:rsid w:val="00894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6F0"/>
  </w:style>
  <w:style w:type="paragraph" w:styleId="Footer">
    <w:name w:val="footer"/>
    <w:basedOn w:val="Normal"/>
    <w:link w:val="FooterChar"/>
    <w:uiPriority w:val="99"/>
    <w:unhideWhenUsed/>
    <w:rsid w:val="00894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6F0"/>
  </w:style>
</w:styles>
</file>

<file path=word/webSettings.xml><?xml version="1.0" encoding="utf-8"?>
<w:webSettings xmlns:r="http://schemas.openxmlformats.org/officeDocument/2006/relationships" xmlns:w="http://schemas.openxmlformats.org/wordprocessingml/2006/main">
  <w:divs>
    <w:div w:id="14072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husein\Desktop\&#1608;&#1585;&#1602;&#1577;%20&#1575;&#1604;&#1605;&#1601;&#1607;&#1608;&#16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ar-SA"/>
  <c:chart>
    <c:plotArea>
      <c:layout/>
      <c:lineChart>
        <c:grouping val="standard"/>
        <c:ser>
          <c:idx val="0"/>
          <c:order val="0"/>
          <c:tx>
            <c:strRef>
              <c:f>Sheet1!$A$20</c:f>
              <c:strCache>
                <c:ptCount val="1"/>
                <c:pt idx="0">
                  <c:v>بيانات سابقة</c:v>
                </c:pt>
              </c:strCache>
            </c:strRef>
          </c:tx>
          <c:marker>
            <c:symbol val="none"/>
          </c:marker>
          <c:cat>
            <c:numRef>
              <c:f>Sheet1!$B$19:$P$19</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Sheet1!$B$20:$P$20</c:f>
              <c:numCache>
                <c:formatCode>General</c:formatCode>
                <c:ptCount val="15"/>
                <c:pt idx="0">
                  <c:v>7161.3862385904822</c:v>
                </c:pt>
                <c:pt idx="1">
                  <c:v>7874.882320935837</c:v>
                </c:pt>
                <c:pt idx="2">
                  <c:v>7567.7147927920932</c:v>
                </c:pt>
                <c:pt idx="3">
                  <c:v>8066.4721153472465</c:v>
                </c:pt>
                <c:pt idx="4">
                  <c:v>8556.8566191234968</c:v>
                </c:pt>
                <c:pt idx="5">
                  <c:v>9298.0973404324232</c:v>
                </c:pt>
                <c:pt idx="6">
                  <c:v>10051.158511782156</c:v>
                </c:pt>
                <c:pt idx="7">
                  <c:v>11298.87268275621</c:v>
                </c:pt>
                <c:pt idx="8">
                  <c:v>12008.920549790784</c:v>
                </c:pt>
                <c:pt idx="9">
                  <c:v>12275.209021543404</c:v>
                </c:pt>
                <c:pt idx="10">
                  <c:v>12252.88150479966</c:v>
                </c:pt>
                <c:pt idx="11">
                  <c:v>12673</c:v>
                </c:pt>
                <c:pt idx="12">
                  <c:v>13269.699999999999</c:v>
                </c:pt>
                <c:pt idx="13">
                  <c:v>14498.099999999999</c:v>
                </c:pt>
                <c:pt idx="14">
                  <c:v>14615.900000000001</c:v>
                </c:pt>
              </c:numCache>
            </c:numRef>
          </c:val>
        </c:ser>
        <c:ser>
          <c:idx val="1"/>
          <c:order val="1"/>
          <c:tx>
            <c:strRef>
              <c:f>Sheet1!$A$21</c:f>
              <c:strCache>
                <c:ptCount val="1"/>
                <c:pt idx="0">
                  <c:v>بيانات منقحة</c:v>
                </c:pt>
              </c:strCache>
            </c:strRef>
          </c:tx>
          <c:marker>
            <c:symbol val="none"/>
          </c:marker>
          <c:cat>
            <c:numRef>
              <c:f>Sheet1!$B$19:$P$19</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Sheet1!$B$21:$P$21</c:f>
              <c:numCache>
                <c:formatCode>General</c:formatCode>
                <c:ptCount val="15"/>
                <c:pt idx="0">
                  <c:v>7853.3377466429392</c:v>
                </c:pt>
                <c:pt idx="1">
                  <c:v>8740.2337988837025</c:v>
                </c:pt>
                <c:pt idx="2">
                  <c:v>8653.0913527832945</c:v>
                </c:pt>
                <c:pt idx="3">
                  <c:v>8980.7592145322687</c:v>
                </c:pt>
                <c:pt idx="4">
                  <c:v>9648.1241153493575</c:v>
                </c:pt>
                <c:pt idx="5">
                  <c:v>10477.151439617122</c:v>
                </c:pt>
                <c:pt idx="6">
                  <c:v>11082.303066462289</c:v>
                </c:pt>
                <c:pt idx="7">
                  <c:v>12146.351728696885</c:v>
                </c:pt>
                <c:pt idx="8">
                  <c:v>12886.88292863973</c:v>
                </c:pt>
                <c:pt idx="9">
                  <c:v>13492.443057728437</c:v>
                </c:pt>
                <c:pt idx="10">
                  <c:v>13470.8506689972</c:v>
                </c:pt>
                <c:pt idx="11">
                  <c:v>13972.379458842324</c:v>
                </c:pt>
                <c:pt idx="12">
                  <c:v>15211.286626002164</c:v>
                </c:pt>
                <c:pt idx="13">
                  <c:v>15426.854839957252</c:v>
                </c:pt>
                <c:pt idx="14">
                  <c:v>15615.987381458157</c:v>
                </c:pt>
              </c:numCache>
            </c:numRef>
          </c:val>
        </c:ser>
        <c:marker val="1"/>
        <c:axId val="119384704"/>
        <c:axId val="119388416"/>
      </c:lineChart>
      <c:catAx>
        <c:axId val="119384704"/>
        <c:scaling>
          <c:orientation val="minMax"/>
        </c:scaling>
        <c:axPos val="b"/>
        <c:numFmt formatCode="General" sourceLinked="1"/>
        <c:tickLblPos val="nextTo"/>
        <c:crossAx val="119388416"/>
        <c:crosses val="autoZero"/>
        <c:auto val="1"/>
        <c:lblAlgn val="ctr"/>
        <c:lblOffset val="100"/>
      </c:catAx>
      <c:valAx>
        <c:axId val="119388416"/>
        <c:scaling>
          <c:orientation val="minMax"/>
        </c:scaling>
        <c:axPos val="l"/>
        <c:numFmt formatCode="General" sourceLinked="1"/>
        <c:tickLblPos val="nextTo"/>
        <c:crossAx val="119384704"/>
        <c:crosses val="autoZero"/>
        <c:crossBetween val="between"/>
      </c:valAx>
    </c:plotArea>
    <c:legend>
      <c:legendPos val="b"/>
      <c:layout/>
      <c:txPr>
        <a:bodyPr/>
        <a:lstStyle/>
        <a:p>
          <a:pPr>
            <a:defRPr>
              <a:latin typeface="Simplified Arabic" pitchFamily="18" charset="-78"/>
              <a:cs typeface="Simplified Arabic" pitchFamily="18" charset="-78"/>
            </a:defRPr>
          </a:pPr>
          <a:endParaRPr lang="ar-SA"/>
        </a:p>
      </c:txPr>
    </c:legend>
    <c:plotVisOnly val="1"/>
  </c:chart>
  <c:spPr>
    <a:ln w="9525">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7.7668807243657517E-2"/>
          <c:y val="7.9245562415899959E-2"/>
          <c:w val="0.93464603077968322"/>
          <c:h val="0.78552159388923459"/>
        </c:manualLayout>
      </c:layout>
      <c:barChart>
        <c:barDir val="col"/>
        <c:grouping val="clustered"/>
        <c:ser>
          <c:idx val="0"/>
          <c:order val="0"/>
          <c:tx>
            <c:strRef>
              <c:f>B.1Pal!$A$72:$B$72</c:f>
              <c:strCache>
                <c:ptCount val="1"/>
                <c:pt idx="0">
                  <c:v>بيانات منقحة</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dLbl>
              <c:idx val="2"/>
              <c:layout>
                <c:manualLayout>
                  <c:x val="-1.3189207489600497E-2"/>
                  <c:y val="-4.0232295572420031E-3"/>
                </c:manualLayout>
              </c:layout>
              <c:showVal val="1"/>
            </c:dLbl>
            <c:dLbl>
              <c:idx val="3"/>
              <c:layout>
                <c:manualLayout>
                  <c:x val="-1.318920748960052E-2"/>
                  <c:y val="8.0464591144840079E-3"/>
                </c:manualLayout>
              </c:layout>
              <c:showVal val="1"/>
            </c:dLbl>
            <c:dLbl>
              <c:idx val="5"/>
              <c:layout>
                <c:manualLayout>
                  <c:x val="-1.318920748960052E-2"/>
                  <c:y val="0"/>
                </c:manualLayout>
              </c:layout>
              <c:showVal val="1"/>
            </c:dLbl>
            <c:dLbl>
              <c:idx val="7"/>
              <c:layout>
                <c:manualLayout>
                  <c:x val="-1.1736526380435777E-2"/>
                  <c:y val="-1.3900705907763562E-2"/>
                </c:manualLayout>
              </c:layout>
              <c:showVal val="1"/>
            </c:dLbl>
            <c:dLbl>
              <c:idx val="10"/>
              <c:layout>
                <c:manualLayout>
                  <c:x val="-1.0991006241333767E-2"/>
                  <c:y val="-0.12607756026291012"/>
                </c:manualLayout>
              </c:layout>
              <c:showVal val="1"/>
            </c:dLbl>
            <c:dLbl>
              <c:idx val="11"/>
              <c:layout>
                <c:manualLayout>
                  <c:x val="-3.0774817475734552E-2"/>
                  <c:y val="4.0232295572420031E-3"/>
                </c:manualLayout>
              </c:layout>
              <c:showVal val="1"/>
            </c:dLbl>
            <c:dLbl>
              <c:idx val="14"/>
              <c:layout>
                <c:manualLayout>
                  <c:x val="0"/>
                  <c:y val="-2.7801411815527113E-2"/>
                </c:manualLayout>
              </c:layout>
              <c:showVal val="1"/>
            </c:dLbl>
            <c:showVal val="1"/>
          </c:dLbls>
          <c:cat>
            <c:numRef>
              <c:f>B.1Pal!$C$71:$Q$71</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B.1Pal!$C$72:$Q$72</c:f>
              <c:numCache>
                <c:formatCode>0.0%</c:formatCode>
                <c:ptCount val="15"/>
                <c:pt idx="0">
                  <c:v>0.14988600346521477</c:v>
                </c:pt>
                <c:pt idx="1">
                  <c:v>0.12320092890124994</c:v>
                </c:pt>
                <c:pt idx="2">
                  <c:v>-3.796083710978327E-2</c:v>
                </c:pt>
                <c:pt idx="3">
                  <c:v>5.0366723726462684E-2</c:v>
                </c:pt>
                <c:pt idx="4">
                  <c:v>0.11032070803197569</c:v>
                </c:pt>
                <c:pt idx="5">
                  <c:v>9.1249008978122617E-2</c:v>
                </c:pt>
                <c:pt idx="6">
                  <c:v>6.5445977124343427E-2</c:v>
                </c:pt>
                <c:pt idx="7">
                  <c:v>0.10011887100192561</c:v>
                </c:pt>
                <c:pt idx="8">
                  <c:v>6.3575293585512949E-2</c:v>
                </c:pt>
                <c:pt idx="9">
                  <c:v>4.8796622983870788E-2</c:v>
                </c:pt>
                <c:pt idx="10">
                  <c:v>-2.2527257982158937E-3</c:v>
                </c:pt>
                <c:pt idx="11">
                  <c:v>3.6990487085315278E-2</c:v>
                </c:pt>
                <c:pt idx="12">
                  <c:v>8.6543499843378488E-2</c:v>
                </c:pt>
                <c:pt idx="13">
                  <c:v>2.290867050208201E-2</c:v>
                </c:pt>
                <c:pt idx="14">
                  <c:v>1.2E-2</c:v>
                </c:pt>
              </c:numCache>
            </c:numRef>
          </c:val>
        </c:ser>
        <c:ser>
          <c:idx val="1"/>
          <c:order val="1"/>
          <c:tx>
            <c:strRef>
              <c:f>B.1Pal!$A$73:$B$73</c:f>
              <c:strCache>
                <c:ptCount val="1"/>
                <c:pt idx="0">
                  <c:v>بيانات سابقة</c:v>
                </c:pt>
              </c:strCache>
            </c:strRef>
          </c:tx>
          <c:spPr>
            <a:solidFill>
              <a:srgbClr val="4F81BD"/>
            </a:solidFill>
          </c:spPr>
          <c:dPt>
            <c:idx val="8"/>
            <c:invertIfNegative val="1"/>
          </c:dPt>
          <c:dLbls>
            <c:dLbl>
              <c:idx val="1"/>
              <c:layout>
                <c:manualLayout>
                  <c:x val="1.0991006241333746E-2"/>
                  <c:y val="8.0464591144840461E-3"/>
                </c:manualLayout>
              </c:layout>
              <c:showVal val="1"/>
            </c:dLbl>
            <c:dLbl>
              <c:idx val="5"/>
              <c:layout>
                <c:manualLayout>
                  <c:x val="1.0991006241333767E-2"/>
                  <c:y val="0"/>
                </c:manualLayout>
              </c:layout>
              <c:showVal val="1"/>
            </c:dLbl>
            <c:dLbl>
              <c:idx val="8"/>
              <c:layout>
                <c:manualLayout>
                  <c:x val="2.1982012482667616E-2"/>
                  <c:y val="-4.0232295572420031E-3"/>
                </c:manualLayout>
              </c:layout>
              <c:showVal val="1"/>
            </c:dLbl>
            <c:dLbl>
              <c:idx val="10"/>
              <c:layout>
                <c:manualLayout>
                  <c:x val="6.5946037448003439E-3"/>
                  <c:y val="-0.11120523285945813"/>
                </c:manualLayout>
              </c:layout>
              <c:showVal val="1"/>
            </c:dLbl>
            <c:showVal val="1"/>
          </c:dLbls>
          <c:cat>
            <c:numRef>
              <c:f>B.1Pal!$C$71:$Q$71</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B.1Pal!$C$73:$Q$73</c:f>
              <c:numCache>
                <c:formatCode>0.0%</c:formatCode>
                <c:ptCount val="15"/>
                <c:pt idx="0">
                  <c:v>0.10343069786409731</c:v>
                </c:pt>
                <c:pt idx="1">
                  <c:v>0.10798761895962317</c:v>
                </c:pt>
                <c:pt idx="2">
                  <c:v>-3.9005983280171803E-2</c:v>
                </c:pt>
                <c:pt idx="3">
                  <c:v>6.5905935439083643E-2</c:v>
                </c:pt>
                <c:pt idx="4">
                  <c:v>6.0792933610127636E-2</c:v>
                </c:pt>
                <c:pt idx="5">
                  <c:v>8.6625352545039391E-2</c:v>
                </c:pt>
                <c:pt idx="6">
                  <c:v>8.0990889187089465E-2</c:v>
                </c:pt>
                <c:pt idx="7">
                  <c:v>0.12413635398461391</c:v>
                </c:pt>
                <c:pt idx="8">
                  <c:v>6.2842363744678234E-2</c:v>
                </c:pt>
                <c:pt idx="9">
                  <c:v>2.2174222125006755E-2</c:v>
                </c:pt>
                <c:pt idx="10">
                  <c:v>-1.818911328072548E-3</c:v>
                </c:pt>
                <c:pt idx="11">
                  <c:v>3.4287322132004146E-2</c:v>
                </c:pt>
                <c:pt idx="12">
                  <c:v>4.7084352560561753E-2</c:v>
                </c:pt>
                <c:pt idx="13">
                  <c:v>3.1402367800327242E-2</c:v>
                </c:pt>
                <c:pt idx="14">
                  <c:v>1.0000000000000002E-2</c:v>
                </c:pt>
              </c:numCache>
            </c:numRef>
          </c:val>
        </c:ser>
        <c:dLbls>
          <c:showVal val="1"/>
        </c:dLbls>
        <c:gapWidth val="75"/>
        <c:axId val="68833280"/>
        <c:axId val="68834816"/>
      </c:barChart>
      <c:catAx>
        <c:axId val="68833280"/>
        <c:scaling>
          <c:orientation val="minMax"/>
        </c:scaling>
        <c:axPos val="b"/>
        <c:numFmt formatCode="General" sourceLinked="1"/>
        <c:tickLblPos val="nextTo"/>
        <c:txPr>
          <a:bodyPr rot="-5400000" vert="horz"/>
          <a:lstStyle/>
          <a:p>
            <a:pPr>
              <a:defRPr b="1"/>
            </a:pPr>
            <a:endParaRPr lang="ar-SA"/>
          </a:p>
        </c:txPr>
        <c:crossAx val="68834816"/>
        <c:crosses val="autoZero"/>
        <c:auto val="1"/>
        <c:lblAlgn val="ctr"/>
        <c:lblOffset val="100"/>
      </c:catAx>
      <c:valAx>
        <c:axId val="68834816"/>
        <c:scaling>
          <c:orientation val="minMax"/>
        </c:scaling>
        <c:axPos val="l"/>
        <c:numFmt formatCode="0.0%" sourceLinked="1"/>
        <c:majorTickMark val="none"/>
        <c:tickLblPos val="nextTo"/>
        <c:crossAx val="68833280"/>
        <c:crosses val="autoZero"/>
        <c:crossBetween val="between"/>
      </c:valAx>
    </c:plotArea>
    <c:legend>
      <c:legendPos val="b"/>
      <c:layout/>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A2659351B194519B6E55E403374E903"/>
        <w:category>
          <w:name w:val="General"/>
          <w:gallery w:val="placeholder"/>
        </w:category>
        <w:types>
          <w:type w:val="bbPlcHdr"/>
        </w:types>
        <w:behaviors>
          <w:behavior w:val="content"/>
        </w:behaviors>
        <w:guid w:val="{19CC7C97-A687-429C-AB81-5B5F28CF2AFD}"/>
      </w:docPartPr>
      <w:docPartBody>
        <w:p w:rsidR="00D42750" w:rsidRDefault="003F0E68" w:rsidP="003F0E68">
          <w:pPr>
            <w:pStyle w:val="1A2659351B194519B6E55E403374E90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F0E68"/>
    <w:rsid w:val="00083771"/>
    <w:rsid w:val="00122758"/>
    <w:rsid w:val="002F255F"/>
    <w:rsid w:val="00315126"/>
    <w:rsid w:val="003C1552"/>
    <w:rsid w:val="003F0E68"/>
    <w:rsid w:val="004250B1"/>
    <w:rsid w:val="00442ED1"/>
    <w:rsid w:val="00571DAC"/>
    <w:rsid w:val="005C49DA"/>
    <w:rsid w:val="006B5D19"/>
    <w:rsid w:val="00834F1B"/>
    <w:rsid w:val="009E1F87"/>
    <w:rsid w:val="00A72E7C"/>
    <w:rsid w:val="00AC710B"/>
    <w:rsid w:val="00D42750"/>
    <w:rsid w:val="00E970C3"/>
    <w:rsid w:val="00F76F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75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2659351B194519B6E55E403374E903">
    <w:name w:val="1A2659351B194519B6E55E403374E903"/>
    <w:rsid w:val="003F0E68"/>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الجهاز المركزي للإحصاء الفلسطيني                     دائرة الحسابات القومية</vt:lpstr>
    </vt:vector>
  </TitlesOfParts>
  <Company>Hewlett-Packard Company</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الجهاز المركزي للإحصاء الفلسطيني                     دائرة الحسابات القومية</dc:title>
  <dc:creator>amina</dc:creator>
  <cp:lastModifiedBy>amina</cp:lastModifiedBy>
  <cp:revision>24</cp:revision>
  <cp:lastPrinted>2019-12-15T11:09:00Z</cp:lastPrinted>
  <dcterms:created xsi:type="dcterms:W3CDTF">2019-12-09T08:09:00Z</dcterms:created>
  <dcterms:modified xsi:type="dcterms:W3CDTF">2019-12-29T07:59:00Z</dcterms:modified>
</cp:coreProperties>
</file>