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C4" w:rsidRPr="00D2626A" w:rsidRDefault="000D0EC4" w:rsidP="006C3A9D">
      <w:pPr>
        <w:bidi w:val="0"/>
        <w:ind w:left="360" w:hanging="289"/>
        <w:jc w:val="center"/>
        <w:rPr>
          <w:rFonts w:ascii="Times New Roman" w:hAnsi="Times New Roman" w:cs="Times New Roman"/>
          <w:b/>
          <w:bCs/>
          <w:sz w:val="24"/>
          <w:szCs w:val="24"/>
          <w:u w:val="single"/>
        </w:rPr>
      </w:pPr>
      <w:r w:rsidRPr="00D2626A">
        <w:rPr>
          <w:rFonts w:ascii="Times New Roman" w:hAnsi="Times New Roman" w:cs="Times New Roman"/>
          <w:b/>
          <w:bCs/>
          <w:sz w:val="28"/>
          <w:szCs w:val="28"/>
        </w:rPr>
        <w:t xml:space="preserve">Concept Paper </w:t>
      </w:r>
      <w:r w:rsidR="006C3A9D">
        <w:rPr>
          <w:rFonts w:ascii="Times New Roman" w:hAnsi="Times New Roman" w:cs="Times New Roman"/>
          <w:b/>
          <w:bCs/>
          <w:sz w:val="28"/>
          <w:szCs w:val="28"/>
        </w:rPr>
        <w:t>on</w:t>
      </w:r>
      <w:r w:rsidRPr="00D2626A">
        <w:rPr>
          <w:rFonts w:ascii="Times New Roman" w:hAnsi="Times New Roman" w:cs="Times New Roman"/>
          <w:b/>
          <w:bCs/>
          <w:sz w:val="28"/>
          <w:szCs w:val="28"/>
        </w:rPr>
        <w:t xml:space="preserve"> Revising National Account</w:t>
      </w:r>
      <w:r w:rsidR="002C0530">
        <w:rPr>
          <w:rFonts w:ascii="Times New Roman" w:hAnsi="Times New Roman" w:cs="Times New Roman"/>
          <w:b/>
          <w:bCs/>
          <w:sz w:val="28"/>
          <w:szCs w:val="28"/>
        </w:rPr>
        <w:t>s</w:t>
      </w:r>
      <w:r w:rsidRPr="00D2626A">
        <w:rPr>
          <w:rFonts w:ascii="Times New Roman" w:hAnsi="Times New Roman" w:cs="Times New Roman"/>
          <w:b/>
          <w:bCs/>
          <w:sz w:val="28"/>
          <w:szCs w:val="28"/>
        </w:rPr>
        <w:t xml:space="preserve"> Data Series</w:t>
      </w:r>
      <w:r w:rsidR="00AD7FF5">
        <w:rPr>
          <w:rFonts w:ascii="Times New Roman" w:hAnsi="Times New Roman" w:cs="Times New Roman"/>
          <w:b/>
          <w:bCs/>
          <w:sz w:val="28"/>
          <w:szCs w:val="28"/>
        </w:rPr>
        <w:t xml:space="preserve"> 2004-2016</w:t>
      </w:r>
    </w:p>
    <w:p w:rsidR="000D0EC4" w:rsidRPr="00ED2379" w:rsidRDefault="000D0EC4" w:rsidP="000D0EC4">
      <w:pPr>
        <w:bidi w:val="0"/>
        <w:spacing w:after="0"/>
        <w:rPr>
          <w:rFonts w:ascii="Times New Roman" w:hAnsi="Times New Roman" w:cs="Times New Roman"/>
          <w:b/>
          <w:bCs/>
          <w:sz w:val="24"/>
          <w:szCs w:val="24"/>
          <w:u w:val="single"/>
          <w:rtl/>
        </w:rPr>
      </w:pPr>
      <w:r w:rsidRPr="00ED2379">
        <w:rPr>
          <w:rFonts w:ascii="Times New Roman" w:hAnsi="Times New Roman" w:cs="Times New Roman"/>
          <w:b/>
          <w:bCs/>
          <w:sz w:val="24"/>
          <w:szCs w:val="24"/>
          <w:u w:val="single"/>
        </w:rPr>
        <w:t>Introduction:</w:t>
      </w:r>
    </w:p>
    <w:p w:rsidR="000D0EC4" w:rsidRPr="00ED2379" w:rsidRDefault="000D0EC4" w:rsidP="0069184B">
      <w:pPr>
        <w:bidi w:val="0"/>
        <w:jc w:val="lowKashida"/>
        <w:rPr>
          <w:rFonts w:ascii="Times New Roman" w:hAnsi="Times New Roman" w:cs="Times New Roman"/>
          <w:sz w:val="24"/>
          <w:szCs w:val="24"/>
        </w:rPr>
      </w:pPr>
      <w:r w:rsidRPr="00ED2379">
        <w:rPr>
          <w:rFonts w:ascii="Times New Roman" w:hAnsi="Times New Roman" w:cs="Times New Roman"/>
          <w:sz w:val="24"/>
          <w:szCs w:val="24"/>
        </w:rPr>
        <w:t>The preparation of national accounts in any country represents the peak of efforts made in creating a modern and integrated economic statistic</w:t>
      </w:r>
      <w:r w:rsidR="00AD7FF5" w:rsidRPr="00ED2379">
        <w:rPr>
          <w:rFonts w:ascii="Times New Roman" w:hAnsi="Times New Roman" w:cs="Times New Roman"/>
          <w:sz w:val="24"/>
          <w:szCs w:val="24"/>
        </w:rPr>
        <w:t>al</w:t>
      </w:r>
      <w:r w:rsidRPr="00ED2379">
        <w:rPr>
          <w:rFonts w:ascii="Times New Roman" w:hAnsi="Times New Roman" w:cs="Times New Roman"/>
          <w:sz w:val="24"/>
          <w:szCs w:val="24"/>
        </w:rPr>
        <w:t xml:space="preserve"> system. Thus, providing key and mean data that are necessary to prepare national accounts and developing the work on available resources to achieve a comprehensive cover for data, which, in return, constitutes one of the most significant goals in initiating </w:t>
      </w:r>
      <w:r w:rsidR="00157003" w:rsidRPr="00ED2379">
        <w:rPr>
          <w:rFonts w:ascii="Times New Roman" w:hAnsi="Times New Roman" w:cs="Times New Roman"/>
          <w:sz w:val="24"/>
          <w:szCs w:val="24"/>
        </w:rPr>
        <w:t xml:space="preserve">the </w:t>
      </w:r>
      <w:r w:rsidRPr="00ED2379">
        <w:rPr>
          <w:rFonts w:ascii="Times New Roman" w:hAnsi="Times New Roman" w:cs="Times New Roman"/>
          <w:sz w:val="24"/>
          <w:szCs w:val="24"/>
        </w:rPr>
        <w:t>establish</w:t>
      </w:r>
      <w:r w:rsidR="00157003" w:rsidRPr="00ED2379">
        <w:rPr>
          <w:rFonts w:ascii="Times New Roman" w:hAnsi="Times New Roman" w:cs="Times New Roman"/>
          <w:sz w:val="24"/>
          <w:szCs w:val="24"/>
        </w:rPr>
        <w:t xml:space="preserve">ment of </w:t>
      </w:r>
      <w:r w:rsidRPr="00ED2379">
        <w:rPr>
          <w:rFonts w:ascii="Times New Roman" w:hAnsi="Times New Roman" w:cs="Times New Roman"/>
          <w:sz w:val="24"/>
          <w:szCs w:val="24"/>
        </w:rPr>
        <w:t>economic statistical databases of various types and ramifications. Accordingly, national accounts provide an organized statistical description for economy as a whole, and in the same time, national accounts help in providing detailed statistical data regarding transactions happening between the different parties in the local economy on one hand, and on the other hand, the rest of the world, as well as exploring the growth directions in the national economy from one year to another, and observing its fluctuations through the years. Thus, the preparation of a consistent and coherent t</w:t>
      </w:r>
      <w:r w:rsidR="00F506F0" w:rsidRPr="00ED2379">
        <w:rPr>
          <w:rFonts w:ascii="Times New Roman" w:hAnsi="Times New Roman" w:cs="Times New Roman"/>
          <w:sz w:val="24"/>
          <w:szCs w:val="24"/>
        </w:rPr>
        <w:t>i</w:t>
      </w:r>
      <w:r w:rsidRPr="00ED2379">
        <w:rPr>
          <w:rFonts w:ascii="Times New Roman" w:hAnsi="Times New Roman" w:cs="Times New Roman"/>
          <w:sz w:val="24"/>
          <w:szCs w:val="24"/>
        </w:rPr>
        <w:t xml:space="preserve">me series for national accounts with the current and </w:t>
      </w:r>
      <w:r w:rsidR="00F506F0" w:rsidRPr="00ED2379">
        <w:rPr>
          <w:rFonts w:ascii="Times New Roman" w:hAnsi="Times New Roman" w:cs="Times New Roman"/>
          <w:sz w:val="24"/>
          <w:szCs w:val="24"/>
        </w:rPr>
        <w:t>constant</w:t>
      </w:r>
      <w:r w:rsidRPr="00ED2379">
        <w:rPr>
          <w:rFonts w:ascii="Times New Roman" w:hAnsi="Times New Roman" w:cs="Times New Roman"/>
          <w:sz w:val="24"/>
          <w:szCs w:val="24"/>
        </w:rPr>
        <w:t xml:space="preserve"> prices has a great </w:t>
      </w:r>
      <w:r w:rsidR="001318F9" w:rsidRPr="00ED2379">
        <w:rPr>
          <w:rFonts w:ascii="Times New Roman" w:hAnsi="Times New Roman" w:cs="Times New Roman"/>
          <w:sz w:val="24"/>
          <w:szCs w:val="24"/>
        </w:rPr>
        <w:t>importance because it opens up/</w:t>
      </w:r>
      <w:r w:rsidRPr="00ED2379">
        <w:rPr>
          <w:rFonts w:ascii="Times New Roman" w:hAnsi="Times New Roman" w:cs="Times New Roman"/>
          <w:sz w:val="24"/>
          <w:szCs w:val="24"/>
        </w:rPr>
        <w:t>unlock</w:t>
      </w:r>
      <w:r w:rsidR="0069184B" w:rsidRPr="00ED2379">
        <w:rPr>
          <w:rFonts w:ascii="Times New Roman" w:hAnsi="Times New Roman" w:cs="Times New Roman"/>
          <w:sz w:val="24"/>
          <w:szCs w:val="24"/>
        </w:rPr>
        <w:t>s</w:t>
      </w:r>
      <w:r w:rsidRPr="00ED2379">
        <w:rPr>
          <w:rFonts w:ascii="Times New Roman" w:hAnsi="Times New Roman" w:cs="Times New Roman"/>
          <w:sz w:val="24"/>
          <w:szCs w:val="24"/>
        </w:rPr>
        <w:t xml:space="preserve"> avenues of comparison, measurement and  economic analysis. </w:t>
      </w:r>
    </w:p>
    <w:p w:rsidR="000D0EC4" w:rsidRPr="00ED2379" w:rsidRDefault="000D0EC4" w:rsidP="001318F9">
      <w:pPr>
        <w:bidi w:val="0"/>
        <w:jc w:val="lowKashida"/>
        <w:rPr>
          <w:rFonts w:ascii="Times New Roman" w:hAnsi="Times New Roman" w:cs="Times New Roman"/>
          <w:sz w:val="24"/>
          <w:szCs w:val="24"/>
        </w:rPr>
      </w:pPr>
      <w:r w:rsidRPr="00ED2379">
        <w:rPr>
          <w:rFonts w:ascii="Times New Roman" w:hAnsi="Times New Roman" w:cs="Times New Roman"/>
          <w:sz w:val="24"/>
          <w:szCs w:val="24"/>
        </w:rPr>
        <w:t xml:space="preserve">The Domestic Product is considered an indicator </w:t>
      </w:r>
      <w:r w:rsidR="001318F9" w:rsidRPr="00ED2379">
        <w:rPr>
          <w:rFonts w:ascii="Times New Roman" w:hAnsi="Times New Roman" w:cs="Times New Roman"/>
          <w:sz w:val="24"/>
          <w:szCs w:val="24"/>
        </w:rPr>
        <w:t xml:space="preserve">that </w:t>
      </w:r>
      <w:r w:rsidRPr="00ED2379">
        <w:rPr>
          <w:rFonts w:ascii="Times New Roman" w:hAnsi="Times New Roman" w:cs="Times New Roman"/>
          <w:sz w:val="24"/>
          <w:szCs w:val="24"/>
        </w:rPr>
        <w:t>measur</w:t>
      </w:r>
      <w:r w:rsidR="001318F9" w:rsidRPr="00ED2379">
        <w:rPr>
          <w:rFonts w:ascii="Times New Roman" w:hAnsi="Times New Roman" w:cs="Times New Roman"/>
          <w:sz w:val="24"/>
          <w:szCs w:val="24"/>
        </w:rPr>
        <w:t>es</w:t>
      </w:r>
      <w:r w:rsidRPr="00ED2379">
        <w:rPr>
          <w:rFonts w:ascii="Times New Roman" w:hAnsi="Times New Roman" w:cs="Times New Roman"/>
          <w:sz w:val="24"/>
          <w:szCs w:val="24"/>
        </w:rPr>
        <w:t xml:space="preserve"> the gross added value for all economic activities through outputs of goods and services for final use that any economy produces by residents and non – residents, (elements of local production of land, workers and capital) and regardless of distributing this production on local or external levels.</w:t>
      </w:r>
    </w:p>
    <w:p w:rsidR="000D0EC4" w:rsidRPr="00ED2379" w:rsidRDefault="000D0EC4" w:rsidP="00817B1F">
      <w:pPr>
        <w:bidi w:val="0"/>
        <w:jc w:val="lowKashida"/>
        <w:rPr>
          <w:rFonts w:ascii="Times New Roman" w:hAnsi="Times New Roman" w:cs="Times New Roman"/>
          <w:sz w:val="24"/>
          <w:szCs w:val="24"/>
        </w:rPr>
      </w:pPr>
      <w:r w:rsidRPr="00ED2379">
        <w:rPr>
          <w:rFonts w:ascii="Times New Roman" w:hAnsi="Times New Roman" w:cs="Times New Roman"/>
          <w:sz w:val="24"/>
          <w:szCs w:val="24"/>
        </w:rPr>
        <w:t xml:space="preserve">The Palestinian Central Bureau of Statistics (PCBS) </w:t>
      </w:r>
      <w:r w:rsidR="003C4271" w:rsidRPr="00ED2379">
        <w:rPr>
          <w:rFonts w:ascii="Times New Roman" w:hAnsi="Times New Roman" w:cs="Times New Roman"/>
          <w:sz w:val="24"/>
          <w:szCs w:val="24"/>
        </w:rPr>
        <w:t>started</w:t>
      </w:r>
      <w:r w:rsidRPr="00ED2379">
        <w:rPr>
          <w:rFonts w:ascii="Times New Roman" w:hAnsi="Times New Roman" w:cs="Times New Roman"/>
          <w:sz w:val="24"/>
          <w:szCs w:val="24"/>
        </w:rPr>
        <w:t xml:space="preserve"> to prepare national accounts  data with the current and </w:t>
      </w:r>
      <w:r w:rsidR="003C4271" w:rsidRPr="00ED2379">
        <w:rPr>
          <w:rFonts w:ascii="Times New Roman" w:hAnsi="Times New Roman" w:cs="Times New Roman"/>
          <w:sz w:val="24"/>
          <w:szCs w:val="24"/>
        </w:rPr>
        <w:t>constant</w:t>
      </w:r>
      <w:r w:rsidRPr="00ED2379">
        <w:rPr>
          <w:rFonts w:ascii="Times New Roman" w:hAnsi="Times New Roman" w:cs="Times New Roman"/>
          <w:sz w:val="24"/>
          <w:szCs w:val="24"/>
        </w:rPr>
        <w:t xml:space="preserve"> prices. </w:t>
      </w:r>
      <w:r w:rsidR="003C4271" w:rsidRPr="00ED2379">
        <w:rPr>
          <w:rFonts w:ascii="Times New Roman" w:hAnsi="Times New Roman" w:cs="Times New Roman"/>
          <w:sz w:val="24"/>
          <w:szCs w:val="24"/>
        </w:rPr>
        <w:t>PCBS</w:t>
      </w:r>
      <w:r w:rsidRPr="00ED2379">
        <w:rPr>
          <w:rFonts w:ascii="Times New Roman" w:hAnsi="Times New Roman" w:cs="Times New Roman"/>
          <w:sz w:val="24"/>
          <w:szCs w:val="24"/>
        </w:rPr>
        <w:t xml:space="preserve"> has always been keen to achieving the best cover</w:t>
      </w:r>
      <w:r w:rsidR="00817B1F" w:rsidRPr="00ED2379">
        <w:rPr>
          <w:rFonts w:ascii="Times New Roman" w:hAnsi="Times New Roman" w:cs="Times New Roman"/>
          <w:sz w:val="24"/>
          <w:szCs w:val="24"/>
        </w:rPr>
        <w:t>age</w:t>
      </w:r>
      <w:r w:rsidRPr="00ED2379">
        <w:rPr>
          <w:rFonts w:ascii="Times New Roman" w:hAnsi="Times New Roman" w:cs="Times New Roman"/>
          <w:sz w:val="24"/>
          <w:szCs w:val="24"/>
        </w:rPr>
        <w:t xml:space="preserve"> levels for data on the gross domestic product in order to reflect a clear picture of the Palestinian economy. Subsequently, the stated fact was the mean reason behind having national accounts subject to continuous data revisions in order to reinforce the objective in a manner that goes in line the international recommendations, which stress on the necessity of having, on a constant basis, a revision for national accounts in light of adopting new methodology or the availability of additional data sources. </w:t>
      </w:r>
    </w:p>
    <w:p w:rsidR="000D0EC4" w:rsidRPr="00ED2379" w:rsidRDefault="000D0EC4" w:rsidP="000D0EC4">
      <w:pPr>
        <w:bidi w:val="0"/>
        <w:jc w:val="lowKashida"/>
        <w:rPr>
          <w:rFonts w:ascii="Times New Roman" w:hAnsi="Times New Roman" w:cs="Times New Roman"/>
          <w:b/>
          <w:bCs/>
          <w:sz w:val="24"/>
          <w:szCs w:val="24"/>
          <w:u w:val="single"/>
        </w:rPr>
      </w:pPr>
      <w:r w:rsidRPr="00ED2379">
        <w:rPr>
          <w:rFonts w:ascii="Times New Roman" w:hAnsi="Times New Roman" w:cs="Times New Roman"/>
          <w:b/>
          <w:bCs/>
          <w:sz w:val="24"/>
          <w:szCs w:val="24"/>
          <w:u w:val="single"/>
        </w:rPr>
        <w:t>Revision Purposes:</w:t>
      </w:r>
    </w:p>
    <w:p w:rsidR="000D0EC4" w:rsidRPr="00ED2379" w:rsidRDefault="000D0EC4" w:rsidP="003D0207">
      <w:pPr>
        <w:bidi w:val="0"/>
        <w:jc w:val="lowKashida"/>
        <w:rPr>
          <w:rFonts w:ascii="Times New Roman" w:hAnsi="Times New Roman" w:cs="Times New Roman"/>
          <w:sz w:val="24"/>
          <w:szCs w:val="24"/>
        </w:rPr>
      </w:pPr>
      <w:r w:rsidRPr="00ED2379">
        <w:rPr>
          <w:rFonts w:ascii="Times New Roman" w:hAnsi="Times New Roman" w:cs="Times New Roman"/>
          <w:sz w:val="24"/>
          <w:szCs w:val="24"/>
        </w:rPr>
        <w:t xml:space="preserve">National accounts data has been revised for the years 2004 – 2016 </w:t>
      </w:r>
      <w:r w:rsidR="003D0207" w:rsidRPr="00ED2379">
        <w:rPr>
          <w:rFonts w:ascii="Times New Roman" w:hAnsi="Times New Roman" w:cs="Times New Roman"/>
          <w:sz w:val="24"/>
          <w:szCs w:val="24"/>
        </w:rPr>
        <w:t>due to</w:t>
      </w:r>
      <w:r w:rsidRPr="00ED2379">
        <w:rPr>
          <w:rFonts w:ascii="Times New Roman" w:hAnsi="Times New Roman" w:cs="Times New Roman"/>
          <w:sz w:val="24"/>
          <w:szCs w:val="24"/>
        </w:rPr>
        <w:t xml:space="preserve"> a set of elements necessitated revisions, which can be summarized as follows:</w:t>
      </w:r>
    </w:p>
    <w:p w:rsidR="000D0EC4" w:rsidRPr="00ED2379" w:rsidRDefault="000D0EC4" w:rsidP="000D0EC4">
      <w:pPr>
        <w:bidi w:val="0"/>
        <w:rPr>
          <w:rFonts w:ascii="Times New Roman" w:hAnsi="Times New Roman" w:cs="Times New Roman"/>
          <w:b/>
          <w:bCs/>
          <w:color w:val="000000" w:themeColor="text1"/>
          <w:sz w:val="24"/>
          <w:szCs w:val="24"/>
        </w:rPr>
      </w:pPr>
      <w:r w:rsidRPr="00ED2379">
        <w:rPr>
          <w:rFonts w:ascii="Times New Roman" w:hAnsi="Times New Roman" w:cs="Times New Roman"/>
          <w:b/>
          <w:bCs/>
          <w:color w:val="000000" w:themeColor="text1"/>
          <w:sz w:val="24"/>
          <w:szCs w:val="24"/>
        </w:rPr>
        <w:t xml:space="preserve">Firstly: Preparation of supply and use tables 2017 </w:t>
      </w:r>
    </w:p>
    <w:p w:rsidR="000D0EC4" w:rsidRPr="00ED2379" w:rsidRDefault="000D0EC4" w:rsidP="00CC625B">
      <w:pPr>
        <w:bidi w:val="0"/>
        <w:jc w:val="both"/>
        <w:rPr>
          <w:rFonts w:ascii="Times New Roman" w:hAnsi="Times New Roman" w:cs="Times New Roman"/>
          <w:sz w:val="24"/>
          <w:szCs w:val="24"/>
        </w:rPr>
      </w:pPr>
      <w:r w:rsidRPr="00ED2379">
        <w:rPr>
          <w:rFonts w:ascii="Times New Roman" w:hAnsi="Times New Roman" w:cs="Times New Roman"/>
          <w:sz w:val="24"/>
          <w:szCs w:val="24"/>
        </w:rPr>
        <w:t xml:space="preserve">Supply and Use tables are one of the important tools used in many </w:t>
      </w:r>
      <w:r w:rsidR="005271F3" w:rsidRPr="00ED2379">
        <w:rPr>
          <w:rFonts w:ascii="Times New Roman" w:hAnsi="Times New Roman" w:cs="Times New Roman"/>
          <w:sz w:val="24"/>
          <w:szCs w:val="24"/>
        </w:rPr>
        <w:t>national statistical offices</w:t>
      </w:r>
      <w:r w:rsidRPr="00ED2379">
        <w:rPr>
          <w:rFonts w:ascii="Times New Roman" w:hAnsi="Times New Roman" w:cs="Times New Roman"/>
          <w:sz w:val="24"/>
          <w:szCs w:val="24"/>
        </w:rPr>
        <w:t xml:space="preserve"> in order to follow the general co</w:t>
      </w:r>
      <w:r w:rsidR="00CC625B" w:rsidRPr="00ED2379">
        <w:rPr>
          <w:rFonts w:ascii="Times New Roman" w:hAnsi="Times New Roman" w:cs="Times New Roman"/>
          <w:sz w:val="24"/>
          <w:szCs w:val="24"/>
        </w:rPr>
        <w:t>nsistency</w:t>
      </w:r>
      <w:r w:rsidRPr="00ED2379">
        <w:rPr>
          <w:rFonts w:ascii="Times New Roman" w:hAnsi="Times New Roman" w:cs="Times New Roman"/>
          <w:sz w:val="24"/>
          <w:szCs w:val="24"/>
        </w:rPr>
        <w:t xml:space="preserve"> of data coming from different sources. The importance of such tables stem</w:t>
      </w:r>
      <w:r w:rsidR="00CC625B" w:rsidRPr="00ED2379">
        <w:rPr>
          <w:rFonts w:ascii="Times New Roman" w:hAnsi="Times New Roman" w:cs="Times New Roman"/>
          <w:sz w:val="24"/>
          <w:szCs w:val="24"/>
        </w:rPr>
        <w:t xml:space="preserve"> from their ability to measure/</w:t>
      </w:r>
      <w:r w:rsidRPr="00ED2379">
        <w:rPr>
          <w:rFonts w:ascii="Times New Roman" w:hAnsi="Times New Roman" w:cs="Times New Roman"/>
          <w:sz w:val="24"/>
          <w:szCs w:val="24"/>
        </w:rPr>
        <w:t xml:space="preserve">examine weaknesses </w:t>
      </w:r>
      <w:r w:rsidRPr="00ED2379">
        <w:rPr>
          <w:rFonts w:ascii="Times New Roman" w:hAnsi="Times New Roman" w:cs="Times New Roman"/>
          <w:sz w:val="24"/>
          <w:szCs w:val="24"/>
        </w:rPr>
        <w:lastRenderedPageBreak/>
        <w:t>an</w:t>
      </w:r>
      <w:r w:rsidR="00CC625B" w:rsidRPr="00ED2379">
        <w:rPr>
          <w:rFonts w:ascii="Times New Roman" w:hAnsi="Times New Roman" w:cs="Times New Roman"/>
          <w:sz w:val="24"/>
          <w:szCs w:val="24"/>
        </w:rPr>
        <w:t>d</w:t>
      </w:r>
      <w:r w:rsidRPr="00ED2379">
        <w:rPr>
          <w:rFonts w:ascii="Times New Roman" w:hAnsi="Times New Roman" w:cs="Times New Roman"/>
          <w:sz w:val="24"/>
          <w:szCs w:val="24"/>
        </w:rPr>
        <w:t xml:space="preserve"> monitor the important economic transactions and products within the tables of supply and use.  </w:t>
      </w:r>
    </w:p>
    <w:p w:rsidR="000D0EC4" w:rsidRPr="00ED2379" w:rsidRDefault="000D0EC4" w:rsidP="000D0EC4">
      <w:pPr>
        <w:bidi w:val="0"/>
        <w:jc w:val="both"/>
        <w:rPr>
          <w:rFonts w:ascii="Times New Roman" w:hAnsi="Times New Roman" w:cs="Times New Roman"/>
          <w:sz w:val="24"/>
          <w:szCs w:val="24"/>
        </w:rPr>
      </w:pPr>
      <w:r w:rsidRPr="00ED2379">
        <w:rPr>
          <w:rFonts w:ascii="Times New Roman" w:hAnsi="Times New Roman" w:cs="Times New Roman"/>
          <w:sz w:val="24"/>
          <w:szCs w:val="24"/>
        </w:rPr>
        <w:t>The supply aspect touches upon the gross of goods and services offered in the economy by local production or imports. Thus, the use aspect addresses the gross of goods and services used in the economy based on the final use or mediator, where such goods and services are used either as inputs to produce other goods and services, consumed by households, government and nonprofit organization, or as an investment or get exported.</w:t>
      </w:r>
    </w:p>
    <w:p w:rsidR="000D0EC4" w:rsidRPr="00ED2379" w:rsidRDefault="000D0EC4" w:rsidP="000D0EC4">
      <w:pPr>
        <w:bidi w:val="0"/>
        <w:jc w:val="both"/>
        <w:rPr>
          <w:rFonts w:ascii="Times New Roman" w:hAnsi="Times New Roman" w:cs="Times New Roman"/>
          <w:sz w:val="24"/>
          <w:szCs w:val="24"/>
        </w:rPr>
      </w:pPr>
      <w:r w:rsidRPr="00ED2379">
        <w:rPr>
          <w:rFonts w:ascii="Times New Roman" w:hAnsi="Times New Roman" w:cs="Times New Roman"/>
          <w:sz w:val="24"/>
          <w:szCs w:val="24"/>
        </w:rPr>
        <w:t xml:space="preserve">Accordingly, and in order to prepare supply and use tables, there is a need to provide data sources on a very detailed level that would serve the inputs and outputs matrix, and to use it as a tool to serve decision makers. </w:t>
      </w:r>
    </w:p>
    <w:p w:rsidR="000D0EC4" w:rsidRPr="00ED2379" w:rsidRDefault="000D0EC4" w:rsidP="00195460">
      <w:pPr>
        <w:bidi w:val="0"/>
        <w:jc w:val="both"/>
        <w:rPr>
          <w:rFonts w:ascii="Times New Roman" w:hAnsi="Times New Roman" w:cs="Times New Roman"/>
          <w:sz w:val="24"/>
          <w:szCs w:val="24"/>
        </w:rPr>
      </w:pPr>
      <w:r w:rsidRPr="00ED2379">
        <w:rPr>
          <w:rFonts w:ascii="Times New Roman" w:hAnsi="Times New Roman" w:cs="Times New Roman"/>
          <w:sz w:val="24"/>
          <w:szCs w:val="24"/>
        </w:rPr>
        <w:t xml:space="preserve">Historically, the preparation of supply and use tables in Palestine was through several </w:t>
      </w:r>
      <w:r w:rsidR="00B92541" w:rsidRPr="00ED2379">
        <w:rPr>
          <w:rFonts w:ascii="Times New Roman" w:hAnsi="Times New Roman" w:cs="Times New Roman"/>
          <w:sz w:val="24"/>
          <w:szCs w:val="24"/>
        </w:rPr>
        <w:t>rounds of the national accounts program at PCBS</w:t>
      </w:r>
      <w:r w:rsidRPr="00ED2379">
        <w:rPr>
          <w:rFonts w:ascii="Times New Roman" w:hAnsi="Times New Roman" w:cs="Times New Roman"/>
          <w:sz w:val="24"/>
          <w:szCs w:val="24"/>
        </w:rPr>
        <w:t>; the latest of which was in 2017,</w:t>
      </w:r>
      <w:r w:rsidR="00195460" w:rsidRPr="00ED2379">
        <w:rPr>
          <w:rFonts w:ascii="Times New Roman" w:hAnsi="Times New Roman" w:cs="Times New Roman"/>
          <w:sz w:val="24"/>
          <w:szCs w:val="24"/>
        </w:rPr>
        <w:t xml:space="preserve"> while it was done in 1997 and 2004</w:t>
      </w:r>
      <w:r w:rsidRPr="00ED2379">
        <w:rPr>
          <w:rFonts w:ascii="Times New Roman" w:hAnsi="Times New Roman" w:cs="Times New Roman"/>
          <w:sz w:val="24"/>
          <w:szCs w:val="24"/>
        </w:rPr>
        <w:t xml:space="preserve"> according to the availability of a proper data coverage.</w:t>
      </w:r>
    </w:p>
    <w:p w:rsidR="000D0EC4" w:rsidRPr="00ED2379" w:rsidRDefault="000D0EC4" w:rsidP="00ED2379">
      <w:pPr>
        <w:bidi w:val="0"/>
        <w:jc w:val="both"/>
        <w:rPr>
          <w:rFonts w:ascii="Times New Roman" w:hAnsi="Times New Roman" w:cs="Times New Roman"/>
          <w:sz w:val="24"/>
          <w:szCs w:val="24"/>
        </w:rPr>
      </w:pPr>
      <w:r w:rsidRPr="00ED2379">
        <w:rPr>
          <w:rFonts w:ascii="Times New Roman" w:hAnsi="Times New Roman" w:cs="Times New Roman"/>
          <w:sz w:val="24"/>
          <w:szCs w:val="24"/>
        </w:rPr>
        <w:t>Furthermore, the implementation of supply and use tables contributed in examining linkages in economy, and reversing transactions that appeared between supply and use aspects in a matter that would achieve economic balance between the two, and enhance the quality of economic statistics as well as improving coverage levels and comprehensiveness to all economic sectors, in addition to providing estimates to non-official activities (</w:t>
      </w:r>
      <w:r w:rsidR="00412F5B" w:rsidRPr="00ED2379">
        <w:rPr>
          <w:rFonts w:ascii="Times New Roman" w:hAnsi="Times New Roman" w:cs="Times New Roman"/>
          <w:sz w:val="24"/>
          <w:szCs w:val="24"/>
        </w:rPr>
        <w:t>Informal</w:t>
      </w:r>
      <w:r w:rsidRPr="00ED2379">
        <w:rPr>
          <w:rFonts w:ascii="Times New Roman" w:hAnsi="Times New Roman" w:cs="Times New Roman"/>
          <w:sz w:val="24"/>
          <w:szCs w:val="24"/>
        </w:rPr>
        <w:t xml:space="preserve"> Sector). </w:t>
      </w:r>
    </w:p>
    <w:p w:rsidR="000D0EC4" w:rsidRPr="00ED2379" w:rsidRDefault="000D0EC4" w:rsidP="00412F5B">
      <w:pPr>
        <w:bidi w:val="0"/>
        <w:jc w:val="both"/>
        <w:rPr>
          <w:rFonts w:ascii="Times New Roman" w:hAnsi="Times New Roman" w:cs="Times New Roman"/>
          <w:sz w:val="24"/>
          <w:szCs w:val="24"/>
        </w:rPr>
      </w:pPr>
      <w:r w:rsidRPr="00ED2379">
        <w:rPr>
          <w:rFonts w:ascii="Times New Roman" w:hAnsi="Times New Roman" w:cs="Times New Roman"/>
          <w:sz w:val="24"/>
          <w:szCs w:val="24"/>
        </w:rPr>
        <w:t xml:space="preserve">Hence, the implementation of supply and use tables in 2017 </w:t>
      </w:r>
      <w:r w:rsidR="00412F5B" w:rsidRPr="00ED2379">
        <w:rPr>
          <w:rFonts w:ascii="Times New Roman" w:hAnsi="Times New Roman" w:cs="Times New Roman"/>
          <w:sz w:val="24"/>
          <w:szCs w:val="24"/>
        </w:rPr>
        <w:t xml:space="preserve">was due to </w:t>
      </w:r>
      <w:r w:rsidRPr="00ED2379">
        <w:rPr>
          <w:rFonts w:ascii="Times New Roman" w:hAnsi="Times New Roman" w:cs="Times New Roman"/>
          <w:sz w:val="24"/>
          <w:szCs w:val="24"/>
        </w:rPr>
        <w:t>the following reasons:</w:t>
      </w:r>
    </w:p>
    <w:p w:rsidR="000D0EC4" w:rsidRPr="00ED2379" w:rsidRDefault="000D0EC4" w:rsidP="00417E66">
      <w:pPr>
        <w:pStyle w:val="ListParagraph"/>
        <w:numPr>
          <w:ilvl w:val="0"/>
          <w:numId w:val="1"/>
        </w:numPr>
        <w:bidi w:val="0"/>
        <w:jc w:val="both"/>
        <w:rPr>
          <w:rFonts w:ascii="Times New Roman" w:hAnsi="Times New Roman" w:cs="Times New Roman"/>
          <w:sz w:val="24"/>
          <w:szCs w:val="24"/>
        </w:rPr>
      </w:pPr>
      <w:r w:rsidRPr="00ED2379">
        <w:rPr>
          <w:rFonts w:ascii="Times New Roman" w:hAnsi="Times New Roman" w:cs="Times New Roman"/>
          <w:sz w:val="24"/>
          <w:szCs w:val="24"/>
        </w:rPr>
        <w:t xml:space="preserve">Implementing the Population, Housing and Establishments </w:t>
      </w:r>
      <w:r w:rsidR="00C7475F" w:rsidRPr="00ED2379">
        <w:rPr>
          <w:rFonts w:ascii="Times New Roman" w:hAnsi="Times New Roman" w:cs="Times New Roman"/>
          <w:sz w:val="24"/>
          <w:szCs w:val="24"/>
        </w:rPr>
        <w:t>C</w:t>
      </w:r>
      <w:r w:rsidRPr="00ED2379">
        <w:rPr>
          <w:rFonts w:ascii="Times New Roman" w:hAnsi="Times New Roman" w:cs="Times New Roman"/>
          <w:sz w:val="24"/>
          <w:szCs w:val="24"/>
        </w:rPr>
        <w:t xml:space="preserve">ensus 2017 as an important data source in providing a better and more updated/recent coverage. </w:t>
      </w:r>
    </w:p>
    <w:p w:rsidR="000D0EC4" w:rsidRPr="00ED2379" w:rsidRDefault="000D0EC4" w:rsidP="00ED2379">
      <w:pPr>
        <w:pStyle w:val="ListParagraph"/>
        <w:numPr>
          <w:ilvl w:val="0"/>
          <w:numId w:val="1"/>
        </w:numPr>
        <w:bidi w:val="0"/>
        <w:jc w:val="both"/>
        <w:rPr>
          <w:rFonts w:ascii="Times New Roman" w:hAnsi="Times New Roman" w:cs="Times New Roman"/>
          <w:sz w:val="24"/>
          <w:szCs w:val="24"/>
          <w:rtl/>
        </w:rPr>
      </w:pPr>
      <w:r w:rsidRPr="00ED2379">
        <w:rPr>
          <w:rFonts w:ascii="Times New Roman" w:hAnsi="Times New Roman" w:cs="Times New Roman"/>
          <w:sz w:val="24"/>
          <w:szCs w:val="24"/>
        </w:rPr>
        <w:t xml:space="preserve">Implementing Household Expenditure and </w:t>
      </w:r>
      <w:r w:rsidR="00417E66" w:rsidRPr="00ED2379">
        <w:rPr>
          <w:rFonts w:ascii="Times New Roman" w:hAnsi="Times New Roman" w:cs="Times New Roman"/>
          <w:sz w:val="24"/>
          <w:szCs w:val="24"/>
        </w:rPr>
        <w:t>C</w:t>
      </w:r>
      <w:r w:rsidRPr="00ED2379">
        <w:rPr>
          <w:rFonts w:ascii="Times New Roman" w:hAnsi="Times New Roman" w:cs="Times New Roman"/>
          <w:sz w:val="24"/>
          <w:szCs w:val="24"/>
        </w:rPr>
        <w:t xml:space="preserve">onsumption Survey 2017, </w:t>
      </w:r>
      <w:r w:rsidR="00F57520" w:rsidRPr="00ED2379">
        <w:rPr>
          <w:rFonts w:ascii="Times New Roman" w:hAnsi="Times New Roman" w:cs="Times New Roman"/>
          <w:sz w:val="24"/>
          <w:szCs w:val="24"/>
        </w:rPr>
        <w:t xml:space="preserve">which </w:t>
      </w:r>
      <w:r w:rsidRPr="00ED2379">
        <w:rPr>
          <w:rFonts w:ascii="Times New Roman" w:hAnsi="Times New Roman" w:cs="Times New Roman"/>
          <w:sz w:val="24"/>
          <w:szCs w:val="24"/>
        </w:rPr>
        <w:t>allow</w:t>
      </w:r>
      <w:r w:rsidR="00F57520" w:rsidRPr="00ED2379">
        <w:rPr>
          <w:rFonts w:ascii="Times New Roman" w:hAnsi="Times New Roman" w:cs="Times New Roman"/>
          <w:sz w:val="24"/>
          <w:szCs w:val="24"/>
        </w:rPr>
        <w:t>ed</w:t>
      </w:r>
      <w:r w:rsidRPr="00ED2379">
        <w:rPr>
          <w:rFonts w:ascii="Times New Roman" w:hAnsi="Times New Roman" w:cs="Times New Roman"/>
          <w:sz w:val="24"/>
          <w:szCs w:val="24"/>
        </w:rPr>
        <w:t xml:space="preserve"> to provide the requirements of the demand aspect for the presented products.    </w:t>
      </w:r>
    </w:p>
    <w:p w:rsidR="0085477F" w:rsidRPr="00ED2379" w:rsidRDefault="0085477F" w:rsidP="0085477F">
      <w:pPr>
        <w:pStyle w:val="ListParagraph"/>
        <w:bidi w:val="0"/>
        <w:spacing w:line="360" w:lineRule="auto"/>
        <w:ind w:left="-19"/>
        <w:jc w:val="both"/>
        <w:rPr>
          <w:rFonts w:asciiTheme="majorBidi" w:hAnsiTheme="majorBidi" w:cstheme="majorBidi"/>
          <w:b/>
          <w:bCs/>
          <w:sz w:val="24"/>
          <w:szCs w:val="24"/>
        </w:rPr>
      </w:pPr>
    </w:p>
    <w:p w:rsidR="0085477F" w:rsidRPr="00ED2379" w:rsidRDefault="0085477F" w:rsidP="00E8318E">
      <w:pPr>
        <w:pStyle w:val="ListParagraph"/>
        <w:bidi w:val="0"/>
        <w:spacing w:line="360" w:lineRule="auto"/>
        <w:ind w:left="-19"/>
        <w:jc w:val="both"/>
        <w:rPr>
          <w:rFonts w:asciiTheme="majorBidi" w:hAnsiTheme="majorBidi" w:cstheme="majorBidi"/>
          <w:b/>
          <w:bCs/>
          <w:sz w:val="24"/>
          <w:szCs w:val="24"/>
        </w:rPr>
      </w:pPr>
      <w:r w:rsidRPr="00ED2379">
        <w:rPr>
          <w:rFonts w:asciiTheme="majorBidi" w:hAnsiTheme="majorBidi" w:cstheme="majorBidi"/>
          <w:b/>
          <w:bCs/>
          <w:sz w:val="24"/>
          <w:szCs w:val="24"/>
        </w:rPr>
        <w:t xml:space="preserve">Secondly: Revising Economic Surveys for 2013 – 2016 based on the Population, Housing and Establishments </w:t>
      </w:r>
      <w:r w:rsidR="00E8318E" w:rsidRPr="00ED2379">
        <w:rPr>
          <w:rFonts w:asciiTheme="majorBidi" w:hAnsiTheme="majorBidi" w:cstheme="majorBidi"/>
          <w:b/>
          <w:bCs/>
          <w:sz w:val="24"/>
          <w:szCs w:val="24"/>
        </w:rPr>
        <w:t>C</w:t>
      </w:r>
      <w:r w:rsidRPr="00ED2379">
        <w:rPr>
          <w:rFonts w:asciiTheme="majorBidi" w:hAnsiTheme="majorBidi" w:cstheme="majorBidi"/>
          <w:b/>
          <w:bCs/>
          <w:sz w:val="24"/>
          <w:szCs w:val="24"/>
        </w:rPr>
        <w:t>ensus 2017</w:t>
      </w:r>
    </w:p>
    <w:p w:rsidR="0085477F" w:rsidRPr="00ED2379" w:rsidRDefault="0085477F" w:rsidP="0085477F">
      <w:pPr>
        <w:pStyle w:val="ListParagraph"/>
        <w:bidi w:val="0"/>
        <w:spacing w:line="360" w:lineRule="auto"/>
        <w:ind w:left="-19"/>
        <w:jc w:val="both"/>
        <w:rPr>
          <w:rFonts w:asciiTheme="majorBidi" w:hAnsiTheme="majorBidi" w:cstheme="majorBidi"/>
          <w:b/>
          <w:bCs/>
          <w:sz w:val="24"/>
          <w:szCs w:val="24"/>
        </w:rPr>
      </w:pPr>
    </w:p>
    <w:p w:rsidR="0085477F" w:rsidRPr="00ED2379" w:rsidRDefault="0085477F" w:rsidP="0085477F">
      <w:pPr>
        <w:pStyle w:val="ListParagraph"/>
        <w:bidi w:val="0"/>
        <w:spacing w:line="360" w:lineRule="auto"/>
        <w:ind w:left="-19"/>
        <w:jc w:val="both"/>
        <w:rPr>
          <w:rFonts w:asciiTheme="majorBidi" w:hAnsiTheme="majorBidi" w:cstheme="majorBidi"/>
          <w:sz w:val="24"/>
          <w:szCs w:val="24"/>
        </w:rPr>
      </w:pPr>
      <w:r w:rsidRPr="00ED2379">
        <w:rPr>
          <w:rFonts w:asciiTheme="majorBidi" w:hAnsiTheme="majorBidi" w:cstheme="majorBidi"/>
          <w:sz w:val="24"/>
          <w:szCs w:val="24"/>
        </w:rPr>
        <w:t xml:space="preserve">Economic surveys are considered one of the most important sources for National Accounts Data, where they cover data of establishments working in different activities; therefore, they build up an image about the performance of the private and nonprofit sector. </w:t>
      </w:r>
    </w:p>
    <w:p w:rsidR="0085477F" w:rsidRPr="00ED2379" w:rsidRDefault="0085477F" w:rsidP="00696A68">
      <w:pPr>
        <w:pStyle w:val="ListParagraph"/>
        <w:bidi w:val="0"/>
        <w:spacing w:line="360" w:lineRule="auto"/>
        <w:ind w:left="-19"/>
        <w:jc w:val="both"/>
        <w:rPr>
          <w:rFonts w:asciiTheme="majorBidi" w:hAnsiTheme="majorBidi" w:cstheme="majorBidi"/>
          <w:sz w:val="24"/>
          <w:szCs w:val="24"/>
        </w:rPr>
      </w:pPr>
      <w:r w:rsidRPr="00ED2379">
        <w:rPr>
          <w:rFonts w:asciiTheme="majorBidi" w:hAnsiTheme="majorBidi" w:cstheme="majorBidi"/>
          <w:sz w:val="24"/>
          <w:szCs w:val="24"/>
        </w:rPr>
        <w:t>Moreover, the sample for economic surveys i</w:t>
      </w:r>
      <w:r w:rsidR="006D250B" w:rsidRPr="00ED2379">
        <w:rPr>
          <w:rFonts w:asciiTheme="majorBidi" w:hAnsiTheme="majorBidi" w:cstheme="majorBidi"/>
          <w:sz w:val="24"/>
          <w:szCs w:val="24"/>
        </w:rPr>
        <w:t>s</w:t>
      </w:r>
      <w:r w:rsidRPr="00ED2379">
        <w:rPr>
          <w:rFonts w:asciiTheme="majorBidi" w:hAnsiTheme="majorBidi" w:cstheme="majorBidi"/>
          <w:sz w:val="24"/>
          <w:szCs w:val="24"/>
        </w:rPr>
        <w:t xml:space="preserve"> </w:t>
      </w:r>
      <w:r w:rsidR="006D250B" w:rsidRPr="00ED2379">
        <w:rPr>
          <w:rFonts w:asciiTheme="majorBidi" w:hAnsiTheme="majorBidi" w:cstheme="majorBidi"/>
          <w:sz w:val="24"/>
          <w:szCs w:val="24"/>
        </w:rPr>
        <w:t>selected</w:t>
      </w:r>
      <w:r w:rsidRPr="00ED2379">
        <w:rPr>
          <w:rFonts w:asciiTheme="majorBidi" w:hAnsiTheme="majorBidi" w:cstheme="majorBidi"/>
          <w:sz w:val="24"/>
          <w:szCs w:val="24"/>
        </w:rPr>
        <w:t xml:space="preserve"> based on the framework of</w:t>
      </w:r>
      <w:r w:rsidRPr="00ED2379">
        <w:rPr>
          <w:rFonts w:cs="Simplified Arabic"/>
          <w:sz w:val="24"/>
          <w:szCs w:val="24"/>
        </w:rPr>
        <w:t xml:space="preserve"> </w:t>
      </w:r>
      <w:r w:rsidRPr="00ED2379">
        <w:rPr>
          <w:rFonts w:asciiTheme="majorBidi" w:hAnsiTheme="majorBidi" w:cstheme="majorBidi"/>
          <w:sz w:val="24"/>
          <w:szCs w:val="24"/>
        </w:rPr>
        <w:t xml:space="preserve">the Population, Housing and Establishments </w:t>
      </w:r>
      <w:r w:rsidR="006D250B" w:rsidRPr="00ED2379">
        <w:rPr>
          <w:rFonts w:asciiTheme="majorBidi" w:hAnsiTheme="majorBidi" w:cstheme="majorBidi"/>
          <w:sz w:val="24"/>
          <w:szCs w:val="24"/>
        </w:rPr>
        <w:t>C</w:t>
      </w:r>
      <w:r w:rsidRPr="00ED2379">
        <w:rPr>
          <w:rFonts w:asciiTheme="majorBidi" w:hAnsiTheme="majorBidi" w:cstheme="majorBidi"/>
          <w:sz w:val="24"/>
          <w:szCs w:val="24"/>
        </w:rPr>
        <w:t xml:space="preserve">ensus 2017 as a sampling frame and </w:t>
      </w:r>
      <w:r w:rsidR="003C4B5D" w:rsidRPr="00ED2379">
        <w:rPr>
          <w:rFonts w:asciiTheme="majorBidi" w:hAnsiTheme="majorBidi" w:cstheme="majorBidi"/>
          <w:sz w:val="24"/>
          <w:szCs w:val="24"/>
        </w:rPr>
        <w:t>selecting</w:t>
      </w:r>
      <w:r w:rsidRPr="00ED2379">
        <w:rPr>
          <w:rFonts w:asciiTheme="majorBidi" w:hAnsiTheme="majorBidi" w:cstheme="majorBidi"/>
          <w:sz w:val="24"/>
          <w:szCs w:val="24"/>
        </w:rPr>
        <w:t xml:space="preserve"> </w:t>
      </w:r>
      <w:r w:rsidRPr="00ED2379">
        <w:rPr>
          <w:rFonts w:asciiTheme="majorBidi" w:hAnsiTheme="majorBidi" w:cstheme="majorBidi"/>
          <w:sz w:val="24"/>
          <w:szCs w:val="24"/>
        </w:rPr>
        <w:lastRenderedPageBreak/>
        <w:t xml:space="preserve">different </w:t>
      </w:r>
      <w:r w:rsidR="003C4B5D" w:rsidRPr="00ED2379">
        <w:rPr>
          <w:rFonts w:asciiTheme="majorBidi" w:hAnsiTheme="majorBidi" w:cstheme="majorBidi"/>
          <w:sz w:val="24"/>
          <w:szCs w:val="24"/>
        </w:rPr>
        <w:t xml:space="preserve">samples </w:t>
      </w:r>
      <w:r w:rsidRPr="00ED2379">
        <w:rPr>
          <w:rFonts w:asciiTheme="majorBidi" w:hAnsiTheme="majorBidi" w:cstheme="majorBidi"/>
          <w:sz w:val="24"/>
          <w:szCs w:val="24"/>
        </w:rPr>
        <w:t xml:space="preserve">according to the activity and the geographical distribution. According to the international recommendations, revising different surveys happens after the implementation of </w:t>
      </w:r>
      <w:r w:rsidR="003C4B5D" w:rsidRPr="00ED2379">
        <w:rPr>
          <w:rFonts w:asciiTheme="majorBidi" w:hAnsiTheme="majorBidi" w:cstheme="majorBidi"/>
          <w:sz w:val="24"/>
          <w:szCs w:val="24"/>
        </w:rPr>
        <w:t xml:space="preserve">the </w:t>
      </w:r>
      <w:r w:rsidRPr="00ED2379">
        <w:rPr>
          <w:rFonts w:asciiTheme="majorBidi" w:hAnsiTheme="majorBidi" w:cstheme="majorBidi"/>
          <w:sz w:val="24"/>
          <w:szCs w:val="24"/>
        </w:rPr>
        <w:t>Establishment Census, which provides a comprehensive cover</w:t>
      </w:r>
      <w:r w:rsidR="00C638B8" w:rsidRPr="00ED2379">
        <w:rPr>
          <w:rFonts w:asciiTheme="majorBidi" w:hAnsiTheme="majorBidi" w:cstheme="majorBidi"/>
          <w:sz w:val="24"/>
          <w:szCs w:val="24"/>
        </w:rPr>
        <w:t>age</w:t>
      </w:r>
      <w:r w:rsidRPr="00ED2379">
        <w:rPr>
          <w:rFonts w:asciiTheme="majorBidi" w:hAnsiTheme="majorBidi" w:cstheme="majorBidi"/>
          <w:sz w:val="24"/>
          <w:szCs w:val="24"/>
        </w:rPr>
        <w:t xml:space="preserve"> for establishment</w:t>
      </w:r>
      <w:r w:rsidR="00C638B8" w:rsidRPr="00ED2379">
        <w:rPr>
          <w:rFonts w:asciiTheme="majorBidi" w:hAnsiTheme="majorBidi" w:cstheme="majorBidi"/>
          <w:sz w:val="24"/>
          <w:szCs w:val="24"/>
        </w:rPr>
        <w:t>s</w:t>
      </w:r>
      <w:r w:rsidRPr="00ED2379">
        <w:rPr>
          <w:rFonts w:asciiTheme="majorBidi" w:hAnsiTheme="majorBidi" w:cstheme="majorBidi"/>
          <w:sz w:val="24"/>
          <w:szCs w:val="24"/>
        </w:rPr>
        <w:t xml:space="preserve"> data; knowingly that an establishment census for the year 2012 was implemented and followed by </w:t>
      </w:r>
      <w:r w:rsidR="00C638B8" w:rsidRPr="00ED2379">
        <w:rPr>
          <w:rFonts w:asciiTheme="majorBidi" w:hAnsiTheme="majorBidi" w:cstheme="majorBidi"/>
          <w:sz w:val="24"/>
          <w:szCs w:val="24"/>
        </w:rPr>
        <w:t xml:space="preserve">the </w:t>
      </w:r>
      <w:r w:rsidRPr="00ED2379">
        <w:rPr>
          <w:rFonts w:asciiTheme="majorBidi" w:hAnsiTheme="majorBidi" w:cstheme="majorBidi"/>
          <w:sz w:val="24"/>
          <w:szCs w:val="24"/>
        </w:rPr>
        <w:t xml:space="preserve">Population, Housing and Establishments </w:t>
      </w:r>
      <w:r w:rsidR="00C638B8" w:rsidRPr="00ED2379">
        <w:rPr>
          <w:rFonts w:asciiTheme="majorBidi" w:hAnsiTheme="majorBidi" w:cstheme="majorBidi"/>
          <w:sz w:val="24"/>
          <w:szCs w:val="24"/>
        </w:rPr>
        <w:t>C</w:t>
      </w:r>
      <w:r w:rsidRPr="00ED2379">
        <w:rPr>
          <w:rFonts w:asciiTheme="majorBidi" w:hAnsiTheme="majorBidi" w:cstheme="majorBidi"/>
          <w:sz w:val="24"/>
          <w:szCs w:val="24"/>
        </w:rPr>
        <w:t>ensus 2017. So, this required to modify data within the two censuses in order to find a more coherent and accurate time series th</w:t>
      </w:r>
      <w:r w:rsidR="00696A68" w:rsidRPr="00ED2379">
        <w:rPr>
          <w:rFonts w:asciiTheme="majorBidi" w:hAnsiTheme="majorBidi" w:cstheme="majorBidi"/>
          <w:sz w:val="24"/>
          <w:szCs w:val="24"/>
        </w:rPr>
        <w:t>at</w:t>
      </w:r>
      <w:r w:rsidRPr="00ED2379">
        <w:rPr>
          <w:rFonts w:asciiTheme="majorBidi" w:hAnsiTheme="majorBidi" w:cstheme="majorBidi"/>
          <w:sz w:val="24"/>
          <w:szCs w:val="24"/>
        </w:rPr>
        <w:t xml:space="preserve"> better reflect the economic status for the key economic indicators (Number of institut</w:t>
      </w:r>
      <w:r w:rsidR="00696A68" w:rsidRPr="00ED2379">
        <w:rPr>
          <w:rFonts w:asciiTheme="majorBidi" w:hAnsiTheme="majorBidi" w:cstheme="majorBidi"/>
          <w:sz w:val="24"/>
          <w:szCs w:val="24"/>
        </w:rPr>
        <w:t>ion</w:t>
      </w:r>
      <w:r w:rsidRPr="00ED2379">
        <w:rPr>
          <w:rFonts w:asciiTheme="majorBidi" w:hAnsiTheme="majorBidi" w:cstheme="majorBidi"/>
          <w:sz w:val="24"/>
          <w:szCs w:val="24"/>
        </w:rPr>
        <w:t xml:space="preserve">s, number of workers, workers compensations, production, intermediate consumption, value added and the total constant capital formation); hence, this included industrial activities, establishments, wholesale and retail trade, transport and storage, information and communication in addition to services.  </w:t>
      </w:r>
    </w:p>
    <w:p w:rsidR="0085477F" w:rsidRPr="00ED2379" w:rsidRDefault="0085477F" w:rsidP="0085477F">
      <w:pPr>
        <w:pStyle w:val="ListParagraph"/>
        <w:bidi w:val="0"/>
        <w:spacing w:line="360" w:lineRule="auto"/>
        <w:ind w:left="-19"/>
        <w:jc w:val="both"/>
        <w:rPr>
          <w:rFonts w:asciiTheme="majorBidi" w:hAnsiTheme="majorBidi" w:cstheme="majorBidi"/>
          <w:sz w:val="24"/>
          <w:szCs w:val="24"/>
        </w:rPr>
      </w:pPr>
    </w:p>
    <w:p w:rsidR="0085477F" w:rsidRPr="00ED2379" w:rsidRDefault="0085477F" w:rsidP="00476690">
      <w:pPr>
        <w:pStyle w:val="ListParagraph"/>
        <w:bidi w:val="0"/>
        <w:spacing w:line="360" w:lineRule="auto"/>
        <w:ind w:left="-19"/>
        <w:jc w:val="both"/>
        <w:rPr>
          <w:rFonts w:asciiTheme="majorBidi" w:hAnsiTheme="majorBidi" w:cstheme="majorBidi"/>
          <w:b/>
          <w:bCs/>
          <w:sz w:val="24"/>
          <w:szCs w:val="24"/>
        </w:rPr>
      </w:pPr>
      <w:r w:rsidRPr="00ED2379">
        <w:rPr>
          <w:rFonts w:asciiTheme="majorBidi" w:hAnsiTheme="majorBidi" w:cstheme="majorBidi"/>
          <w:b/>
          <w:bCs/>
          <w:sz w:val="24"/>
          <w:szCs w:val="24"/>
        </w:rPr>
        <w:t xml:space="preserve">Thirdly: Development in Methodologies Used in Economic Surveys </w:t>
      </w:r>
      <w:r w:rsidR="00476690" w:rsidRPr="00ED2379">
        <w:rPr>
          <w:rFonts w:asciiTheme="majorBidi" w:hAnsiTheme="majorBidi" w:cstheme="majorBidi"/>
          <w:b/>
          <w:bCs/>
          <w:sz w:val="24"/>
          <w:szCs w:val="24"/>
        </w:rPr>
        <w:t>t</w:t>
      </w:r>
      <w:r w:rsidRPr="00ED2379">
        <w:rPr>
          <w:rFonts w:asciiTheme="majorBidi" w:hAnsiTheme="majorBidi" w:cstheme="majorBidi"/>
          <w:b/>
          <w:bCs/>
          <w:sz w:val="24"/>
          <w:szCs w:val="24"/>
        </w:rPr>
        <w:t xml:space="preserve">owards </w:t>
      </w:r>
      <w:r w:rsidR="00476690" w:rsidRPr="00ED2379">
        <w:rPr>
          <w:rFonts w:asciiTheme="majorBidi" w:hAnsiTheme="majorBidi" w:cstheme="majorBidi"/>
          <w:b/>
          <w:bCs/>
          <w:sz w:val="24"/>
          <w:szCs w:val="24"/>
        </w:rPr>
        <w:t>U</w:t>
      </w:r>
      <w:r w:rsidRPr="00ED2379">
        <w:rPr>
          <w:rFonts w:asciiTheme="majorBidi" w:hAnsiTheme="majorBidi" w:cstheme="majorBidi"/>
          <w:b/>
          <w:bCs/>
          <w:sz w:val="24"/>
          <w:szCs w:val="24"/>
        </w:rPr>
        <w:t>sing  Administrative Records on a Larger Scale</w:t>
      </w:r>
    </w:p>
    <w:p w:rsidR="0085477F" w:rsidRPr="00ED2379" w:rsidRDefault="0085477F" w:rsidP="0085477F">
      <w:pPr>
        <w:pStyle w:val="ListParagraph"/>
        <w:bidi w:val="0"/>
        <w:spacing w:line="360" w:lineRule="auto"/>
        <w:ind w:left="-19"/>
        <w:jc w:val="both"/>
        <w:rPr>
          <w:rFonts w:asciiTheme="majorBidi" w:hAnsiTheme="majorBidi" w:cstheme="majorBidi"/>
          <w:b/>
          <w:bCs/>
          <w:sz w:val="24"/>
          <w:szCs w:val="24"/>
        </w:rPr>
      </w:pPr>
    </w:p>
    <w:p w:rsidR="0085477F" w:rsidRPr="00ED2379" w:rsidRDefault="0085477F" w:rsidP="007077D9">
      <w:pPr>
        <w:pStyle w:val="ListParagraph"/>
        <w:bidi w:val="0"/>
        <w:spacing w:line="360" w:lineRule="auto"/>
        <w:ind w:left="-19"/>
        <w:jc w:val="both"/>
        <w:rPr>
          <w:rFonts w:asciiTheme="majorBidi" w:hAnsiTheme="majorBidi" w:cstheme="majorBidi"/>
          <w:sz w:val="24"/>
          <w:szCs w:val="24"/>
        </w:rPr>
      </w:pPr>
      <w:r w:rsidRPr="00ED2379">
        <w:rPr>
          <w:rFonts w:asciiTheme="majorBidi" w:hAnsiTheme="majorBidi" w:cstheme="majorBidi"/>
          <w:sz w:val="24"/>
          <w:szCs w:val="24"/>
        </w:rPr>
        <w:t xml:space="preserve">This topic directly </w:t>
      </w:r>
      <w:r w:rsidR="003744A7" w:rsidRPr="00ED2379">
        <w:rPr>
          <w:rFonts w:asciiTheme="majorBidi" w:hAnsiTheme="majorBidi" w:cstheme="majorBidi"/>
          <w:sz w:val="24"/>
          <w:szCs w:val="24"/>
        </w:rPr>
        <w:t>related</w:t>
      </w:r>
      <w:r w:rsidRPr="00ED2379">
        <w:rPr>
          <w:rFonts w:asciiTheme="majorBidi" w:hAnsiTheme="majorBidi" w:cstheme="majorBidi"/>
          <w:sz w:val="24"/>
          <w:szCs w:val="24"/>
        </w:rPr>
        <w:t xml:space="preserve"> to the revision of economic surveys</w:t>
      </w:r>
      <w:r w:rsidR="00E205A1" w:rsidRPr="00ED2379">
        <w:rPr>
          <w:rFonts w:asciiTheme="majorBidi" w:hAnsiTheme="majorBidi" w:cstheme="majorBidi"/>
          <w:sz w:val="24"/>
          <w:szCs w:val="24"/>
        </w:rPr>
        <w:t xml:space="preserve"> series</w:t>
      </w:r>
      <w:r w:rsidRPr="00ED2379">
        <w:rPr>
          <w:rFonts w:asciiTheme="majorBidi" w:hAnsiTheme="majorBidi" w:cstheme="majorBidi"/>
          <w:sz w:val="24"/>
          <w:szCs w:val="24"/>
        </w:rPr>
        <w:t>. Within the</w:t>
      </w:r>
      <w:r w:rsidR="00E205A1" w:rsidRPr="00ED2379">
        <w:rPr>
          <w:rFonts w:asciiTheme="majorBidi" w:hAnsiTheme="majorBidi" w:cstheme="majorBidi"/>
          <w:sz w:val="24"/>
          <w:szCs w:val="24"/>
        </w:rPr>
        <w:t xml:space="preserve"> context of </w:t>
      </w:r>
      <w:r w:rsidR="00D40FE1" w:rsidRPr="00ED2379">
        <w:rPr>
          <w:rFonts w:asciiTheme="majorBidi" w:hAnsiTheme="majorBidi" w:cstheme="majorBidi"/>
          <w:sz w:val="24"/>
          <w:szCs w:val="24"/>
        </w:rPr>
        <w:t>its</w:t>
      </w:r>
      <w:r w:rsidRPr="00ED2379">
        <w:rPr>
          <w:rFonts w:asciiTheme="majorBidi" w:hAnsiTheme="majorBidi" w:cstheme="majorBidi"/>
          <w:sz w:val="24"/>
          <w:szCs w:val="24"/>
        </w:rPr>
        <w:t xml:space="preserve"> persistent efforts to develop work methodologies, PCBS embarked upon developing work on the economic surveys series as well as its keenness to gradually shift into administrative records through the lists of the registered companies in the administrative records in order to access data related to the private sector. Accordingly, this work showed an improvement in the coverage levels for covering data of registered companies and establishments, as well as accessing data through financial lists and comparing them with the same data that have been obtained from the economic surveys directly </w:t>
      </w:r>
      <w:r w:rsidR="007077D9" w:rsidRPr="00ED2379">
        <w:rPr>
          <w:rFonts w:asciiTheme="majorBidi" w:hAnsiTheme="majorBidi" w:cstheme="majorBidi"/>
          <w:sz w:val="24"/>
          <w:szCs w:val="24"/>
        </w:rPr>
        <w:t>from</w:t>
      </w:r>
      <w:r w:rsidRPr="00ED2379">
        <w:rPr>
          <w:rFonts w:asciiTheme="majorBidi" w:hAnsiTheme="majorBidi" w:cstheme="majorBidi"/>
          <w:sz w:val="24"/>
          <w:szCs w:val="24"/>
        </w:rPr>
        <w:t xml:space="preserve"> the field through a </w:t>
      </w:r>
      <w:r w:rsidR="007077D9" w:rsidRPr="00ED2379">
        <w:rPr>
          <w:rFonts w:asciiTheme="majorBidi" w:hAnsiTheme="majorBidi" w:cstheme="majorBidi"/>
          <w:sz w:val="24"/>
          <w:szCs w:val="24"/>
        </w:rPr>
        <w:t>selected</w:t>
      </w:r>
      <w:r w:rsidRPr="00ED2379">
        <w:rPr>
          <w:rFonts w:asciiTheme="majorBidi" w:hAnsiTheme="majorBidi" w:cstheme="majorBidi"/>
          <w:sz w:val="24"/>
          <w:szCs w:val="24"/>
        </w:rPr>
        <w:t xml:space="preserve"> sample from the census</w:t>
      </w:r>
      <w:r w:rsidR="007077D9" w:rsidRPr="00ED2379">
        <w:rPr>
          <w:rFonts w:asciiTheme="majorBidi" w:hAnsiTheme="majorBidi" w:cstheme="majorBidi"/>
          <w:sz w:val="24"/>
          <w:szCs w:val="24"/>
        </w:rPr>
        <w:t>.</w:t>
      </w:r>
      <w:r w:rsidRPr="00ED2379">
        <w:rPr>
          <w:rFonts w:asciiTheme="majorBidi" w:hAnsiTheme="majorBidi" w:cstheme="majorBidi"/>
          <w:sz w:val="24"/>
          <w:szCs w:val="24"/>
        </w:rPr>
        <w:t xml:space="preserve">  </w:t>
      </w:r>
    </w:p>
    <w:p w:rsidR="00710EC4" w:rsidRPr="00ED2379" w:rsidRDefault="00710EC4" w:rsidP="007077D9">
      <w:pPr>
        <w:pStyle w:val="ListParagraph"/>
        <w:bidi w:val="0"/>
        <w:spacing w:line="360" w:lineRule="auto"/>
        <w:ind w:left="-19"/>
        <w:jc w:val="both"/>
        <w:rPr>
          <w:rFonts w:asciiTheme="majorBidi" w:hAnsiTheme="majorBidi" w:cstheme="majorBidi"/>
          <w:b/>
          <w:bCs/>
          <w:sz w:val="24"/>
          <w:szCs w:val="24"/>
        </w:rPr>
      </w:pPr>
    </w:p>
    <w:p w:rsidR="0085477F" w:rsidRPr="00ED2379" w:rsidRDefault="00307F8E" w:rsidP="00307F8E">
      <w:pPr>
        <w:pStyle w:val="ListParagraph"/>
        <w:bidi w:val="0"/>
        <w:spacing w:line="360" w:lineRule="auto"/>
        <w:ind w:left="-19"/>
        <w:jc w:val="both"/>
        <w:rPr>
          <w:rFonts w:asciiTheme="majorBidi" w:hAnsiTheme="majorBidi" w:cstheme="majorBidi"/>
          <w:b/>
          <w:bCs/>
          <w:sz w:val="24"/>
          <w:szCs w:val="24"/>
        </w:rPr>
      </w:pPr>
      <w:r w:rsidRPr="00ED2379">
        <w:rPr>
          <w:rFonts w:asciiTheme="majorBidi" w:hAnsiTheme="majorBidi" w:cstheme="majorBidi"/>
          <w:b/>
          <w:bCs/>
          <w:sz w:val="24"/>
          <w:szCs w:val="24"/>
        </w:rPr>
        <w:t>Based on the</w:t>
      </w:r>
      <w:r w:rsidR="00AC3E94" w:rsidRPr="00ED2379">
        <w:rPr>
          <w:rFonts w:asciiTheme="majorBidi" w:hAnsiTheme="majorBidi" w:cstheme="majorBidi"/>
          <w:b/>
          <w:bCs/>
          <w:sz w:val="24"/>
          <w:szCs w:val="24"/>
        </w:rPr>
        <w:t xml:space="preserve"> above facts</w:t>
      </w:r>
      <w:r w:rsidR="0085477F" w:rsidRPr="00ED2379">
        <w:rPr>
          <w:rFonts w:asciiTheme="majorBidi" w:hAnsiTheme="majorBidi" w:cstheme="majorBidi"/>
          <w:b/>
          <w:bCs/>
          <w:sz w:val="24"/>
          <w:szCs w:val="24"/>
        </w:rPr>
        <w:t xml:space="preserve">, </w:t>
      </w:r>
      <w:r w:rsidRPr="00ED2379">
        <w:rPr>
          <w:rFonts w:asciiTheme="majorBidi" w:hAnsiTheme="majorBidi" w:cstheme="majorBidi"/>
          <w:b/>
          <w:bCs/>
          <w:sz w:val="24"/>
          <w:szCs w:val="24"/>
        </w:rPr>
        <w:t>the</w:t>
      </w:r>
      <w:r w:rsidR="0085477F" w:rsidRPr="00ED2379">
        <w:rPr>
          <w:rFonts w:asciiTheme="majorBidi" w:hAnsiTheme="majorBidi" w:cstheme="majorBidi"/>
          <w:b/>
          <w:bCs/>
          <w:sz w:val="24"/>
          <w:szCs w:val="24"/>
        </w:rPr>
        <w:t xml:space="preserve"> </w:t>
      </w:r>
      <w:r w:rsidRPr="00ED2379">
        <w:rPr>
          <w:rFonts w:asciiTheme="majorBidi" w:hAnsiTheme="majorBidi" w:cstheme="majorBidi"/>
          <w:b/>
          <w:bCs/>
          <w:sz w:val="24"/>
          <w:szCs w:val="24"/>
        </w:rPr>
        <w:t xml:space="preserve">following points </w:t>
      </w:r>
      <w:r w:rsidR="0085477F" w:rsidRPr="00ED2379">
        <w:rPr>
          <w:rFonts w:asciiTheme="majorBidi" w:hAnsiTheme="majorBidi" w:cstheme="majorBidi"/>
          <w:b/>
          <w:bCs/>
          <w:sz w:val="24"/>
          <w:szCs w:val="24"/>
        </w:rPr>
        <w:t>can be concluded:</w:t>
      </w:r>
    </w:p>
    <w:p w:rsidR="0085477F" w:rsidRPr="00ED2379" w:rsidRDefault="0085477F" w:rsidP="00710EC4">
      <w:pPr>
        <w:pStyle w:val="ListParagraph"/>
        <w:numPr>
          <w:ilvl w:val="0"/>
          <w:numId w:val="3"/>
        </w:numPr>
        <w:bidi w:val="0"/>
        <w:jc w:val="both"/>
        <w:rPr>
          <w:rFonts w:ascii="Times New Roman" w:hAnsi="Times New Roman" w:cs="Times New Roman"/>
          <w:sz w:val="24"/>
          <w:szCs w:val="24"/>
        </w:rPr>
      </w:pPr>
      <w:r w:rsidRPr="00ED2379">
        <w:rPr>
          <w:rFonts w:ascii="Times New Roman" w:hAnsi="Times New Roman" w:cs="Times New Roman"/>
          <w:sz w:val="24"/>
          <w:szCs w:val="24"/>
        </w:rPr>
        <w:t xml:space="preserve">The current revised series is considered more comprehensive and covers the different economic activities, which, in return, better represent the Palestinian economy.   </w:t>
      </w:r>
    </w:p>
    <w:p w:rsidR="0085477F" w:rsidRPr="00ED2379" w:rsidRDefault="0085477F" w:rsidP="00710EC4">
      <w:pPr>
        <w:pStyle w:val="ListParagraph"/>
        <w:numPr>
          <w:ilvl w:val="0"/>
          <w:numId w:val="3"/>
        </w:numPr>
        <w:bidi w:val="0"/>
        <w:jc w:val="both"/>
        <w:rPr>
          <w:rFonts w:ascii="Times New Roman" w:hAnsi="Times New Roman" w:cs="Times New Roman"/>
          <w:sz w:val="24"/>
          <w:szCs w:val="24"/>
        </w:rPr>
      </w:pPr>
      <w:r w:rsidRPr="00ED2379">
        <w:rPr>
          <w:rFonts w:ascii="Times New Roman" w:hAnsi="Times New Roman" w:cs="Times New Roman"/>
          <w:sz w:val="24"/>
          <w:szCs w:val="24"/>
        </w:rPr>
        <w:t>The economic narrative didn’t differ in terms of growth directions or the decrease on the gross domestic product with its various components, but the change was in the value of the gross domestic product which increased due to the improvement in coverage levels.</w:t>
      </w:r>
    </w:p>
    <w:p w:rsidR="0085477F" w:rsidRPr="00ED2379" w:rsidRDefault="0085477F" w:rsidP="00F93DA4">
      <w:pPr>
        <w:pStyle w:val="ListParagraph"/>
        <w:numPr>
          <w:ilvl w:val="0"/>
          <w:numId w:val="3"/>
        </w:numPr>
        <w:bidi w:val="0"/>
        <w:jc w:val="both"/>
        <w:rPr>
          <w:rFonts w:ascii="Times New Roman" w:hAnsi="Times New Roman" w:cs="Times New Roman"/>
          <w:sz w:val="24"/>
          <w:szCs w:val="24"/>
        </w:rPr>
      </w:pPr>
      <w:r w:rsidRPr="00ED2379">
        <w:rPr>
          <w:rFonts w:ascii="Times New Roman" w:hAnsi="Times New Roman" w:cs="Times New Roman"/>
          <w:sz w:val="24"/>
          <w:szCs w:val="24"/>
        </w:rPr>
        <w:t>The circumstances that the Palestin</w:t>
      </w:r>
      <w:r w:rsidR="00F93DA4" w:rsidRPr="00ED2379">
        <w:rPr>
          <w:rFonts w:ascii="Times New Roman" w:hAnsi="Times New Roman" w:cs="Times New Roman"/>
          <w:sz w:val="24"/>
          <w:szCs w:val="24"/>
        </w:rPr>
        <w:t xml:space="preserve">e </w:t>
      </w:r>
      <w:r w:rsidRPr="00ED2379">
        <w:rPr>
          <w:rFonts w:ascii="Times New Roman" w:hAnsi="Times New Roman" w:cs="Times New Roman"/>
          <w:sz w:val="24"/>
          <w:szCs w:val="24"/>
        </w:rPr>
        <w:t>witness</w:t>
      </w:r>
      <w:r w:rsidR="00F93DA4" w:rsidRPr="00ED2379">
        <w:rPr>
          <w:rFonts w:ascii="Times New Roman" w:hAnsi="Times New Roman" w:cs="Times New Roman"/>
          <w:sz w:val="24"/>
          <w:szCs w:val="24"/>
        </w:rPr>
        <w:t>es</w:t>
      </w:r>
      <w:r w:rsidRPr="00ED2379">
        <w:rPr>
          <w:rFonts w:ascii="Times New Roman" w:hAnsi="Times New Roman" w:cs="Times New Roman"/>
          <w:sz w:val="24"/>
          <w:szCs w:val="24"/>
        </w:rPr>
        <w:t xml:space="preserve"> in terms of being not able to control crossings, borders and geographical regions located out of controls and </w:t>
      </w:r>
      <w:r w:rsidRPr="00ED2379">
        <w:rPr>
          <w:rFonts w:ascii="Times New Roman" w:hAnsi="Times New Roman" w:cs="Times New Roman"/>
          <w:sz w:val="24"/>
          <w:szCs w:val="24"/>
        </w:rPr>
        <w:lastRenderedPageBreak/>
        <w:t>many other obstacles, are considered to be one of the most significant limitations that impede the possibility of achieving comprehensiveness to measuring economic indicators. Thus, there are persistent efforts in working with partners to obtain more comprehensive data continuously.</w:t>
      </w:r>
    </w:p>
    <w:p w:rsidR="0085477F" w:rsidRPr="00ED2379" w:rsidRDefault="0085477F" w:rsidP="00B803C8">
      <w:pPr>
        <w:pStyle w:val="ListParagraph"/>
        <w:numPr>
          <w:ilvl w:val="0"/>
          <w:numId w:val="3"/>
        </w:numPr>
        <w:bidi w:val="0"/>
        <w:jc w:val="both"/>
        <w:rPr>
          <w:rFonts w:ascii="Times New Roman" w:hAnsi="Times New Roman" w:cs="Times New Roman"/>
          <w:sz w:val="24"/>
          <w:szCs w:val="24"/>
          <w:rtl/>
        </w:rPr>
      </w:pPr>
      <w:r w:rsidRPr="00ED2379">
        <w:rPr>
          <w:rFonts w:ascii="Times New Roman" w:hAnsi="Times New Roman" w:cs="Times New Roman"/>
          <w:sz w:val="24"/>
          <w:szCs w:val="24"/>
        </w:rPr>
        <w:t xml:space="preserve">International recommendations </w:t>
      </w:r>
      <w:r w:rsidR="00B803C8" w:rsidRPr="00ED2379">
        <w:rPr>
          <w:rFonts w:ascii="Times New Roman" w:hAnsi="Times New Roman" w:cs="Times New Roman"/>
          <w:sz w:val="24"/>
          <w:szCs w:val="24"/>
        </w:rPr>
        <w:t>highlights</w:t>
      </w:r>
      <w:r w:rsidRPr="00ED2379">
        <w:rPr>
          <w:rFonts w:ascii="Times New Roman" w:hAnsi="Times New Roman" w:cs="Times New Roman"/>
          <w:sz w:val="24"/>
          <w:szCs w:val="24"/>
        </w:rPr>
        <w:t xml:space="preserve"> the necessity of performing constant/regular revisions for national accounts, in case of obtaining updated and more comprehensive data. </w:t>
      </w:r>
    </w:p>
    <w:p w:rsidR="00F45530" w:rsidRPr="00ED2379" w:rsidRDefault="00F45530" w:rsidP="009E52D9">
      <w:pPr>
        <w:bidi w:val="0"/>
        <w:spacing w:after="0" w:line="360" w:lineRule="auto"/>
        <w:jc w:val="both"/>
        <w:rPr>
          <w:rFonts w:ascii="Times New Roman" w:hAnsi="Times New Roman" w:cs="Times New Roman"/>
          <w:sz w:val="24"/>
          <w:szCs w:val="24"/>
          <w:rtl/>
        </w:rPr>
      </w:pPr>
    </w:p>
    <w:p w:rsidR="00F45530" w:rsidRPr="00ED2379" w:rsidRDefault="00F45530" w:rsidP="00B80E6B">
      <w:pPr>
        <w:bidi w:val="0"/>
        <w:spacing w:after="0" w:line="360" w:lineRule="auto"/>
        <w:jc w:val="both"/>
        <w:rPr>
          <w:rFonts w:ascii="Times New Roman" w:hAnsi="Times New Roman" w:cs="Times New Roman"/>
          <w:b/>
          <w:bCs/>
          <w:sz w:val="24"/>
          <w:szCs w:val="24"/>
        </w:rPr>
      </w:pPr>
      <w:r w:rsidRPr="00ED2379">
        <w:rPr>
          <w:rFonts w:ascii="Times New Roman" w:hAnsi="Times New Roman" w:cs="Times New Roman"/>
          <w:b/>
          <w:bCs/>
          <w:sz w:val="24"/>
          <w:szCs w:val="24"/>
        </w:rPr>
        <w:t>Fourthly: Agricultur</w:t>
      </w:r>
      <w:r w:rsidR="00B80E6B" w:rsidRPr="00ED2379">
        <w:rPr>
          <w:rFonts w:ascii="Times New Roman" w:hAnsi="Times New Roman" w:cs="Times New Roman"/>
          <w:b/>
          <w:bCs/>
          <w:sz w:val="24"/>
          <w:szCs w:val="24"/>
        </w:rPr>
        <w:t>e</w:t>
      </w:r>
      <w:r w:rsidRPr="00ED2379">
        <w:rPr>
          <w:rFonts w:ascii="Times New Roman" w:hAnsi="Times New Roman" w:cs="Times New Roman"/>
          <w:b/>
          <w:bCs/>
          <w:sz w:val="24"/>
          <w:szCs w:val="24"/>
        </w:rPr>
        <w:t xml:space="preserve"> Statistical Data 2013 – 2017</w:t>
      </w:r>
    </w:p>
    <w:p w:rsidR="00F45530" w:rsidRPr="00ED2379" w:rsidRDefault="000F646A" w:rsidP="00ED2379">
      <w:pPr>
        <w:bidi w:val="0"/>
        <w:spacing w:after="0" w:line="360" w:lineRule="auto"/>
        <w:jc w:val="both"/>
        <w:rPr>
          <w:rFonts w:ascii="Times New Roman" w:hAnsi="Times New Roman" w:cs="Times New Roman"/>
          <w:sz w:val="24"/>
          <w:szCs w:val="24"/>
        </w:rPr>
      </w:pPr>
      <w:r w:rsidRPr="00ED2379">
        <w:rPr>
          <w:rFonts w:ascii="Times New Roman" w:hAnsi="Times New Roman" w:cs="Times New Roman"/>
          <w:sz w:val="24"/>
          <w:szCs w:val="24"/>
        </w:rPr>
        <w:t>PCBS totally depended on the</w:t>
      </w:r>
      <w:r w:rsidR="00F45530" w:rsidRPr="00ED2379">
        <w:rPr>
          <w:rFonts w:ascii="Times New Roman" w:hAnsi="Times New Roman" w:cs="Times New Roman"/>
          <w:sz w:val="24"/>
          <w:szCs w:val="24"/>
        </w:rPr>
        <w:t xml:space="preserve"> da</w:t>
      </w:r>
      <w:r w:rsidRPr="00ED2379">
        <w:rPr>
          <w:rFonts w:ascii="Times New Roman" w:hAnsi="Times New Roman" w:cs="Times New Roman"/>
          <w:sz w:val="24"/>
          <w:szCs w:val="24"/>
        </w:rPr>
        <w:t>ta from Ministry of Agriculture</w:t>
      </w:r>
      <w:r w:rsidR="00F45530" w:rsidRPr="00ED2379">
        <w:rPr>
          <w:rFonts w:ascii="Times New Roman" w:hAnsi="Times New Roman" w:cs="Times New Roman"/>
          <w:sz w:val="24"/>
          <w:szCs w:val="24"/>
        </w:rPr>
        <w:t>, which</w:t>
      </w:r>
      <w:r w:rsidR="004C063D" w:rsidRPr="00ED2379">
        <w:rPr>
          <w:rFonts w:ascii="Times New Roman" w:hAnsi="Times New Roman" w:cs="Times New Roman"/>
          <w:sz w:val="24"/>
          <w:szCs w:val="24"/>
        </w:rPr>
        <w:t xml:space="preserve"> </w:t>
      </w:r>
      <w:r w:rsidR="00F45530" w:rsidRPr="00ED2379">
        <w:rPr>
          <w:rFonts w:ascii="Times New Roman" w:hAnsi="Times New Roman" w:cs="Times New Roman"/>
          <w:sz w:val="24"/>
          <w:szCs w:val="24"/>
        </w:rPr>
        <w:t>provided an updated database for agricultur</w:t>
      </w:r>
      <w:r w:rsidR="004C063D" w:rsidRPr="00ED2379">
        <w:rPr>
          <w:rFonts w:ascii="Times New Roman" w:hAnsi="Times New Roman" w:cs="Times New Roman"/>
          <w:sz w:val="24"/>
          <w:szCs w:val="24"/>
        </w:rPr>
        <w:t>e</w:t>
      </w:r>
      <w:r w:rsidR="00F45530" w:rsidRPr="00ED2379">
        <w:rPr>
          <w:rFonts w:ascii="Times New Roman" w:hAnsi="Times New Roman" w:cs="Times New Roman"/>
          <w:sz w:val="24"/>
          <w:szCs w:val="24"/>
        </w:rPr>
        <w:t xml:space="preserve"> statistics for 2013 – 2017. Thus, such data are based on estimates of agriculture directorates in the different governorates. Also, these data were examined through the linkage in supply and use tables, which confirmed the quality of these data.</w:t>
      </w:r>
    </w:p>
    <w:p w:rsidR="00F45530" w:rsidRPr="00ED2379" w:rsidRDefault="00F45530" w:rsidP="00B80E6B">
      <w:pPr>
        <w:bidi w:val="0"/>
        <w:spacing w:after="0" w:line="360" w:lineRule="auto"/>
        <w:jc w:val="both"/>
        <w:rPr>
          <w:rFonts w:ascii="Times New Roman" w:hAnsi="Times New Roman" w:cs="Times New Roman"/>
          <w:sz w:val="24"/>
          <w:szCs w:val="24"/>
        </w:rPr>
      </w:pPr>
      <w:r w:rsidRPr="00ED2379">
        <w:rPr>
          <w:rFonts w:ascii="Times New Roman" w:hAnsi="Times New Roman" w:cs="Times New Roman"/>
          <w:sz w:val="24"/>
          <w:szCs w:val="24"/>
        </w:rPr>
        <w:t>The availability of that database obtained from the ministry, as well as compatibility of agricultural production quantities from the Ministry of Agriculture with other sources through supply and use tables had a great impact on the intermediate production and consumption values for the agricultural activity. Thus, it, in return, helped in increasing the valued added for this activity, and therefore, increasing its contribution size in the gross domestic product.</w:t>
      </w:r>
    </w:p>
    <w:p w:rsidR="00F45530" w:rsidRPr="00ED2379" w:rsidRDefault="00F45530" w:rsidP="00B80E6B">
      <w:pPr>
        <w:bidi w:val="0"/>
        <w:spacing w:after="0" w:line="360" w:lineRule="auto"/>
        <w:jc w:val="both"/>
        <w:rPr>
          <w:rFonts w:ascii="Times New Roman" w:hAnsi="Times New Roman" w:cs="Times New Roman"/>
          <w:sz w:val="24"/>
          <w:szCs w:val="24"/>
        </w:rPr>
      </w:pPr>
      <w:r w:rsidRPr="00ED2379">
        <w:rPr>
          <w:rFonts w:ascii="Times New Roman" w:hAnsi="Times New Roman" w:cs="Times New Roman"/>
          <w:sz w:val="24"/>
          <w:szCs w:val="24"/>
        </w:rPr>
        <w:t xml:space="preserve">Subsequently, the availability of these data had to be directly and clearly reflected on the data of National Accounts, which required performing a revision process for the stated period in order to keeping pace with these developments on the database from the ministry. </w:t>
      </w:r>
    </w:p>
    <w:p w:rsidR="00F45530" w:rsidRPr="00ED2379" w:rsidRDefault="00F45530" w:rsidP="00415B8A">
      <w:pPr>
        <w:bidi w:val="0"/>
        <w:spacing w:after="0" w:line="360" w:lineRule="auto"/>
        <w:jc w:val="both"/>
        <w:rPr>
          <w:rFonts w:ascii="Times New Roman" w:hAnsi="Times New Roman" w:cs="Times New Roman"/>
          <w:sz w:val="24"/>
          <w:szCs w:val="24"/>
          <w:rtl/>
        </w:rPr>
      </w:pPr>
    </w:p>
    <w:p w:rsidR="00F45530" w:rsidRPr="00ED2379" w:rsidRDefault="00F45530" w:rsidP="00415B8A">
      <w:pPr>
        <w:bidi w:val="0"/>
        <w:spacing w:after="0" w:line="360" w:lineRule="auto"/>
        <w:jc w:val="both"/>
        <w:rPr>
          <w:rFonts w:ascii="Times New Roman" w:hAnsi="Times New Roman" w:cs="Times New Roman"/>
          <w:b/>
          <w:bCs/>
          <w:sz w:val="24"/>
          <w:szCs w:val="24"/>
        </w:rPr>
      </w:pPr>
      <w:r w:rsidRPr="00ED2379">
        <w:rPr>
          <w:rFonts w:ascii="Times New Roman" w:hAnsi="Times New Roman" w:cs="Times New Roman"/>
          <w:b/>
          <w:bCs/>
          <w:sz w:val="24"/>
          <w:szCs w:val="24"/>
        </w:rPr>
        <w:t xml:space="preserve">Fifthly: Government Expenditure </w:t>
      </w:r>
      <w:r w:rsidR="00415B8A" w:rsidRPr="00ED2379">
        <w:rPr>
          <w:rFonts w:ascii="Times New Roman" w:hAnsi="Times New Roman" w:cs="Times New Roman"/>
          <w:b/>
          <w:bCs/>
          <w:sz w:val="24"/>
          <w:szCs w:val="24"/>
        </w:rPr>
        <w:t>by</w:t>
      </w:r>
      <w:r w:rsidRPr="00ED2379">
        <w:rPr>
          <w:rFonts w:ascii="Times New Roman" w:hAnsi="Times New Roman" w:cs="Times New Roman"/>
          <w:b/>
          <w:bCs/>
          <w:sz w:val="24"/>
          <w:szCs w:val="24"/>
        </w:rPr>
        <w:t xml:space="preserve"> </w:t>
      </w:r>
      <w:r w:rsidR="00415B8A" w:rsidRPr="00ED2379">
        <w:rPr>
          <w:rFonts w:ascii="Times New Roman" w:hAnsi="Times New Roman" w:cs="Times New Roman"/>
          <w:b/>
          <w:bCs/>
          <w:sz w:val="24"/>
          <w:szCs w:val="24"/>
        </w:rPr>
        <w:t>R</w:t>
      </w:r>
      <w:r w:rsidRPr="00ED2379">
        <w:rPr>
          <w:rFonts w:ascii="Times New Roman" w:hAnsi="Times New Roman" w:cs="Times New Roman"/>
          <w:b/>
          <w:bCs/>
          <w:sz w:val="24"/>
          <w:szCs w:val="24"/>
        </w:rPr>
        <w:t>egion</w:t>
      </w:r>
    </w:p>
    <w:p w:rsidR="00D870EF" w:rsidRPr="00ED2379" w:rsidRDefault="00F45530" w:rsidP="009E52D9">
      <w:pPr>
        <w:bidi w:val="0"/>
        <w:spacing w:after="0" w:line="360" w:lineRule="auto"/>
        <w:jc w:val="both"/>
        <w:rPr>
          <w:rFonts w:ascii="Times New Roman" w:hAnsi="Times New Roman" w:cs="Times New Roman"/>
          <w:sz w:val="24"/>
          <w:szCs w:val="24"/>
        </w:rPr>
      </w:pPr>
      <w:r w:rsidRPr="00ED2379">
        <w:rPr>
          <w:rFonts w:ascii="Times New Roman" w:hAnsi="Times New Roman" w:cs="Times New Roman"/>
          <w:sz w:val="24"/>
          <w:szCs w:val="24"/>
        </w:rPr>
        <w:t xml:space="preserve">The availability of detailed data about government expenditure at the geographical region level (West Bank and Gaza Strip) contributed in </w:t>
      </w:r>
      <w:r w:rsidR="00415B8A" w:rsidRPr="00ED2379">
        <w:rPr>
          <w:rFonts w:ascii="Times New Roman" w:hAnsi="Times New Roman" w:cs="Times New Roman"/>
          <w:sz w:val="24"/>
          <w:szCs w:val="24"/>
        </w:rPr>
        <w:t xml:space="preserve">the </w:t>
      </w:r>
      <w:r w:rsidRPr="00ED2379">
        <w:rPr>
          <w:rFonts w:ascii="Times New Roman" w:hAnsi="Times New Roman" w:cs="Times New Roman"/>
          <w:sz w:val="24"/>
          <w:szCs w:val="24"/>
        </w:rPr>
        <w:t xml:space="preserve">redistribution </w:t>
      </w:r>
      <w:r w:rsidR="00415B8A" w:rsidRPr="00ED2379">
        <w:rPr>
          <w:rFonts w:ascii="Times New Roman" w:hAnsi="Times New Roman" w:cs="Times New Roman"/>
          <w:sz w:val="24"/>
          <w:szCs w:val="24"/>
        </w:rPr>
        <w:t xml:space="preserve">of </w:t>
      </w:r>
      <w:r w:rsidRPr="00ED2379">
        <w:rPr>
          <w:rFonts w:ascii="Times New Roman" w:hAnsi="Times New Roman" w:cs="Times New Roman"/>
          <w:sz w:val="24"/>
          <w:szCs w:val="24"/>
        </w:rPr>
        <w:t xml:space="preserve">the total of government expenditures at the geographical level, in a manner that would ensure the most appropriate representation, and to reflect the actual government expenditure accordingly; hence, this has been carried out through consultative meetings and complete coordination with the Ministry of Finance in this regards. </w:t>
      </w:r>
    </w:p>
    <w:p w:rsidR="00F45530" w:rsidRPr="00ED2379" w:rsidRDefault="00F45530" w:rsidP="00D870EF">
      <w:pPr>
        <w:bidi w:val="0"/>
        <w:spacing w:after="0" w:line="360" w:lineRule="auto"/>
        <w:jc w:val="both"/>
        <w:rPr>
          <w:rFonts w:ascii="Times New Roman" w:hAnsi="Times New Roman" w:cs="Times New Roman"/>
          <w:sz w:val="24"/>
          <w:szCs w:val="24"/>
        </w:rPr>
      </w:pPr>
      <w:r w:rsidRPr="00ED2379">
        <w:rPr>
          <w:rFonts w:ascii="Times New Roman" w:hAnsi="Times New Roman" w:cs="Times New Roman"/>
          <w:sz w:val="24"/>
          <w:szCs w:val="24"/>
        </w:rPr>
        <w:t xml:space="preserve">   </w:t>
      </w:r>
    </w:p>
    <w:p w:rsidR="003D233E" w:rsidRDefault="003D233E" w:rsidP="00F45530">
      <w:pPr>
        <w:bidi w:val="0"/>
        <w:spacing w:after="0" w:line="360" w:lineRule="auto"/>
        <w:jc w:val="both"/>
        <w:rPr>
          <w:rFonts w:ascii="Times New Roman" w:hAnsi="Times New Roman" w:cs="Times New Roman"/>
          <w:b/>
          <w:bCs/>
          <w:sz w:val="24"/>
          <w:szCs w:val="24"/>
        </w:rPr>
      </w:pPr>
    </w:p>
    <w:p w:rsidR="00F45530" w:rsidRPr="00ED2379" w:rsidRDefault="00F45530" w:rsidP="003D233E">
      <w:pPr>
        <w:bidi w:val="0"/>
        <w:spacing w:after="0" w:line="360" w:lineRule="auto"/>
        <w:jc w:val="both"/>
        <w:rPr>
          <w:rFonts w:ascii="Times New Roman" w:hAnsi="Times New Roman" w:cs="Times New Roman"/>
          <w:b/>
          <w:bCs/>
          <w:sz w:val="24"/>
          <w:szCs w:val="24"/>
        </w:rPr>
      </w:pPr>
      <w:r w:rsidRPr="00ED2379">
        <w:rPr>
          <w:rFonts w:ascii="Times New Roman" w:hAnsi="Times New Roman" w:cs="Times New Roman"/>
          <w:b/>
          <w:bCs/>
          <w:sz w:val="24"/>
          <w:szCs w:val="24"/>
        </w:rPr>
        <w:lastRenderedPageBreak/>
        <w:t>National Accounts Results:</w:t>
      </w:r>
    </w:p>
    <w:p w:rsidR="00F45530" w:rsidRPr="00ED2379" w:rsidRDefault="00F45530" w:rsidP="00ED2379">
      <w:pPr>
        <w:bidi w:val="0"/>
        <w:spacing w:after="0" w:line="360" w:lineRule="auto"/>
        <w:jc w:val="both"/>
        <w:rPr>
          <w:rFonts w:ascii="Times New Roman" w:hAnsi="Times New Roman" w:cs="Times New Roman"/>
          <w:b/>
          <w:bCs/>
          <w:sz w:val="24"/>
          <w:szCs w:val="24"/>
        </w:rPr>
      </w:pPr>
      <w:r w:rsidRPr="00ED2379">
        <w:rPr>
          <w:rFonts w:ascii="Times New Roman" w:hAnsi="Times New Roman" w:cs="Times New Roman"/>
          <w:sz w:val="24"/>
          <w:szCs w:val="24"/>
        </w:rPr>
        <w:t>The development happening in the work of achieving better coverage levels for data showed an increase in the value of the gross domestic product, especially in the years 2013 – 2016; thus, the following graph</w:t>
      </w:r>
      <w:r w:rsidR="00434A24" w:rsidRPr="00ED2379">
        <w:rPr>
          <w:rFonts w:ascii="Times New Roman" w:hAnsi="Times New Roman" w:cs="Times New Roman"/>
          <w:sz w:val="24"/>
          <w:szCs w:val="24"/>
        </w:rPr>
        <w:t>s</w:t>
      </w:r>
      <w:r w:rsidRPr="00ED2379">
        <w:rPr>
          <w:rFonts w:ascii="Times New Roman" w:hAnsi="Times New Roman" w:cs="Times New Roman"/>
          <w:sz w:val="24"/>
          <w:szCs w:val="24"/>
        </w:rPr>
        <w:t xml:space="preserve"> indicates the change in the value of GDP before and after revision:</w:t>
      </w:r>
    </w:p>
    <w:p w:rsidR="00F45530" w:rsidRPr="00ED2379" w:rsidRDefault="00F45530" w:rsidP="00F45530">
      <w:pPr>
        <w:bidi w:val="0"/>
        <w:spacing w:after="0" w:line="360" w:lineRule="auto"/>
        <w:jc w:val="both"/>
        <w:rPr>
          <w:rFonts w:ascii="Times New Roman" w:hAnsi="Times New Roman" w:cs="Times New Roman"/>
          <w:b/>
          <w:bCs/>
          <w:sz w:val="24"/>
          <w:szCs w:val="24"/>
        </w:rPr>
      </w:pPr>
    </w:p>
    <w:p w:rsidR="00F45530" w:rsidRPr="00ED2379" w:rsidRDefault="00F45530" w:rsidP="003D233E">
      <w:pPr>
        <w:spacing w:after="0" w:line="240" w:lineRule="auto"/>
        <w:jc w:val="center"/>
        <w:rPr>
          <w:rFonts w:ascii="Times New Roman" w:hAnsi="Times New Roman" w:cs="Times New Roman"/>
          <w:b/>
          <w:bCs/>
          <w:sz w:val="24"/>
          <w:szCs w:val="24"/>
          <w:rtl/>
        </w:rPr>
      </w:pPr>
      <w:r w:rsidRPr="00ED2379">
        <w:rPr>
          <w:rFonts w:ascii="Times New Roman" w:hAnsi="Times New Roman" w:cs="Times New Roman"/>
          <w:b/>
          <w:bCs/>
          <w:sz w:val="24"/>
          <w:szCs w:val="24"/>
        </w:rPr>
        <w:t>Compari</w:t>
      </w:r>
      <w:r w:rsidR="00BE612C" w:rsidRPr="00ED2379">
        <w:rPr>
          <w:rFonts w:ascii="Times New Roman" w:hAnsi="Times New Roman" w:cs="Times New Roman"/>
          <w:b/>
          <w:bCs/>
          <w:sz w:val="24"/>
          <w:szCs w:val="24"/>
        </w:rPr>
        <w:t>ng</w:t>
      </w:r>
      <w:r w:rsidR="008D447C" w:rsidRPr="00ED2379">
        <w:rPr>
          <w:rFonts w:ascii="Times New Roman" w:hAnsi="Times New Roman" w:cs="Times New Roman"/>
          <w:b/>
          <w:bCs/>
          <w:sz w:val="24"/>
          <w:szCs w:val="24"/>
        </w:rPr>
        <w:t xml:space="preserve"> </w:t>
      </w:r>
      <w:r w:rsidRPr="00ED2379">
        <w:rPr>
          <w:rFonts w:ascii="Times New Roman" w:hAnsi="Times New Roman" w:cs="Times New Roman"/>
          <w:b/>
          <w:bCs/>
          <w:sz w:val="24"/>
          <w:szCs w:val="24"/>
        </w:rPr>
        <w:t xml:space="preserve">GDP in Palestine for </w:t>
      </w:r>
      <w:r w:rsidR="003D233E">
        <w:rPr>
          <w:rFonts w:ascii="Times New Roman" w:hAnsi="Times New Roman" w:cs="Times New Roman"/>
          <w:b/>
          <w:bCs/>
          <w:sz w:val="24"/>
          <w:szCs w:val="24"/>
        </w:rPr>
        <w:t>2004</w:t>
      </w:r>
      <w:r w:rsidRPr="00ED2379">
        <w:rPr>
          <w:rFonts w:ascii="Times New Roman" w:hAnsi="Times New Roman" w:cs="Times New Roman"/>
          <w:b/>
          <w:bCs/>
          <w:sz w:val="24"/>
          <w:szCs w:val="24"/>
        </w:rPr>
        <w:t xml:space="preserve"> – </w:t>
      </w:r>
      <w:r w:rsidR="003D233E">
        <w:rPr>
          <w:rFonts w:ascii="Times New Roman" w:hAnsi="Times New Roman" w:cs="Times New Roman"/>
          <w:b/>
          <w:bCs/>
          <w:sz w:val="24"/>
          <w:szCs w:val="24"/>
        </w:rPr>
        <w:t>2018</w:t>
      </w:r>
      <w:r w:rsidRPr="00ED2379">
        <w:rPr>
          <w:rFonts w:ascii="Times New Roman" w:hAnsi="Times New Roman" w:cs="Times New Roman"/>
          <w:b/>
          <w:bCs/>
          <w:sz w:val="24"/>
          <w:szCs w:val="24"/>
        </w:rPr>
        <w:t xml:space="preserve"> with Constant Prices: Base Year 2015 (Revised data and previous data)</w:t>
      </w:r>
    </w:p>
    <w:p w:rsidR="00F45530" w:rsidRPr="00ED2379" w:rsidRDefault="00F45530" w:rsidP="00F45530">
      <w:pPr>
        <w:spacing w:after="0" w:line="240" w:lineRule="auto"/>
        <w:jc w:val="right"/>
        <w:rPr>
          <w:rFonts w:ascii="Simplified Arabic" w:hAnsi="Simplified Arabic" w:cs="Simplified Arabic"/>
          <w:vanish/>
          <w:sz w:val="20"/>
          <w:szCs w:val="20"/>
          <w:rtl/>
        </w:rPr>
      </w:pPr>
      <w:r w:rsidRPr="00ED2379">
        <w:rPr>
          <w:rFonts w:ascii="Times New Roman" w:hAnsi="Times New Roman" w:cs="Times New Roman"/>
          <w:sz w:val="20"/>
          <w:szCs w:val="20"/>
        </w:rPr>
        <w:t>Value in US dollar</w:t>
      </w:r>
    </w:p>
    <w:p w:rsidR="00F45530" w:rsidRPr="00ED2379" w:rsidRDefault="00F45530" w:rsidP="00AB7267">
      <w:pPr>
        <w:spacing w:after="0" w:line="360" w:lineRule="auto"/>
        <w:jc w:val="both"/>
        <w:rPr>
          <w:rFonts w:ascii="Simplified Arabic" w:hAnsi="Simplified Arabic" w:cs="Simplified Arabic"/>
          <w:b/>
          <w:bCs/>
          <w:sz w:val="24"/>
          <w:szCs w:val="24"/>
        </w:rPr>
      </w:pPr>
    </w:p>
    <w:p w:rsidR="00F45530" w:rsidRPr="00ED2379" w:rsidRDefault="00AB7267" w:rsidP="00BE612C">
      <w:pPr>
        <w:bidi w:val="0"/>
        <w:spacing w:line="240" w:lineRule="auto"/>
        <w:jc w:val="both"/>
        <w:rPr>
          <w:rFonts w:ascii="Times New Roman" w:hAnsi="Times New Roman" w:cs="Times New Roman"/>
          <w:b/>
          <w:bCs/>
          <w:sz w:val="24"/>
          <w:szCs w:val="24"/>
        </w:rPr>
      </w:pPr>
      <w:r w:rsidRPr="00ED2379">
        <w:rPr>
          <w:rFonts w:ascii="Times New Roman" w:hAnsi="Times New Roman" w:cs="Times New Roman"/>
          <w:b/>
          <w:bCs/>
          <w:noProof/>
          <w:sz w:val="24"/>
          <w:szCs w:val="24"/>
        </w:rPr>
        <w:drawing>
          <wp:inline distT="0" distB="0" distL="0" distR="0">
            <wp:extent cx="5267656" cy="3005593"/>
            <wp:effectExtent l="19050" t="0" r="28244" b="4307"/>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5530" w:rsidRPr="00ED2379" w:rsidRDefault="00F45530" w:rsidP="00BE612C">
      <w:pPr>
        <w:bidi w:val="0"/>
        <w:spacing w:line="240" w:lineRule="auto"/>
        <w:jc w:val="both"/>
        <w:rPr>
          <w:rFonts w:ascii="Times New Roman" w:hAnsi="Times New Roman" w:cs="Times New Roman"/>
          <w:b/>
          <w:bCs/>
          <w:sz w:val="24"/>
          <w:szCs w:val="24"/>
          <w:rtl/>
        </w:rPr>
      </w:pPr>
    </w:p>
    <w:p w:rsidR="00F45530" w:rsidRPr="00ED2379" w:rsidRDefault="00F45530" w:rsidP="00BE612C">
      <w:pPr>
        <w:bidi w:val="0"/>
        <w:spacing w:line="240" w:lineRule="auto"/>
        <w:jc w:val="both"/>
        <w:rPr>
          <w:rFonts w:ascii="Times New Roman" w:hAnsi="Times New Roman" w:cs="Times New Roman"/>
          <w:b/>
          <w:bCs/>
          <w:sz w:val="24"/>
          <w:szCs w:val="24"/>
        </w:rPr>
      </w:pPr>
    </w:p>
    <w:p w:rsidR="00AB7267" w:rsidRPr="00ED2379" w:rsidRDefault="00AB7267" w:rsidP="00AB7267">
      <w:pPr>
        <w:bidi w:val="0"/>
        <w:spacing w:line="240" w:lineRule="auto"/>
        <w:jc w:val="both"/>
        <w:rPr>
          <w:rFonts w:ascii="Times New Roman" w:hAnsi="Times New Roman" w:cs="Times New Roman"/>
          <w:b/>
          <w:bCs/>
          <w:sz w:val="24"/>
          <w:szCs w:val="24"/>
        </w:rPr>
      </w:pPr>
    </w:p>
    <w:p w:rsidR="00AB7267" w:rsidRPr="00ED2379" w:rsidRDefault="00AB7267" w:rsidP="00AB7267">
      <w:pPr>
        <w:bidi w:val="0"/>
        <w:spacing w:line="240" w:lineRule="auto"/>
        <w:jc w:val="both"/>
        <w:rPr>
          <w:rFonts w:ascii="Times New Roman" w:hAnsi="Times New Roman" w:cs="Times New Roman"/>
          <w:b/>
          <w:bCs/>
          <w:sz w:val="24"/>
          <w:szCs w:val="24"/>
        </w:rPr>
      </w:pPr>
    </w:p>
    <w:p w:rsidR="00AB7267" w:rsidRPr="00ED2379" w:rsidRDefault="00AB7267" w:rsidP="00AB7267">
      <w:pPr>
        <w:bidi w:val="0"/>
        <w:spacing w:line="240" w:lineRule="auto"/>
        <w:jc w:val="both"/>
        <w:rPr>
          <w:rFonts w:ascii="Times New Roman" w:hAnsi="Times New Roman" w:cs="Times New Roman"/>
          <w:b/>
          <w:bCs/>
          <w:sz w:val="24"/>
          <w:szCs w:val="24"/>
        </w:rPr>
      </w:pPr>
    </w:p>
    <w:p w:rsidR="00AB7267" w:rsidRPr="00ED2379" w:rsidRDefault="00AB7267" w:rsidP="00AB7267">
      <w:pPr>
        <w:bidi w:val="0"/>
        <w:spacing w:line="240" w:lineRule="auto"/>
        <w:jc w:val="both"/>
        <w:rPr>
          <w:rFonts w:ascii="Times New Roman" w:hAnsi="Times New Roman" w:cs="Times New Roman"/>
          <w:b/>
          <w:bCs/>
          <w:sz w:val="24"/>
          <w:szCs w:val="24"/>
        </w:rPr>
      </w:pPr>
    </w:p>
    <w:p w:rsidR="00AB7267" w:rsidRPr="00ED2379" w:rsidRDefault="00AB7267" w:rsidP="00AB7267">
      <w:pPr>
        <w:bidi w:val="0"/>
        <w:spacing w:line="240" w:lineRule="auto"/>
        <w:jc w:val="both"/>
        <w:rPr>
          <w:rFonts w:ascii="Times New Roman" w:hAnsi="Times New Roman" w:cs="Times New Roman"/>
          <w:b/>
          <w:bCs/>
          <w:sz w:val="24"/>
          <w:szCs w:val="24"/>
          <w:rtl/>
        </w:rPr>
      </w:pPr>
    </w:p>
    <w:p w:rsidR="00C32551" w:rsidRDefault="00C32551" w:rsidP="00BE612C">
      <w:pPr>
        <w:spacing w:line="240" w:lineRule="auto"/>
        <w:jc w:val="center"/>
        <w:rPr>
          <w:rFonts w:ascii="Times New Roman" w:hAnsi="Times New Roman" w:cs="Times New Roman"/>
          <w:b/>
          <w:bCs/>
          <w:sz w:val="24"/>
          <w:szCs w:val="24"/>
          <w:rtl/>
        </w:rPr>
      </w:pPr>
    </w:p>
    <w:p w:rsidR="00450E89" w:rsidRDefault="00450E89" w:rsidP="00BE612C">
      <w:pPr>
        <w:spacing w:line="240" w:lineRule="auto"/>
        <w:jc w:val="center"/>
        <w:rPr>
          <w:rFonts w:ascii="Times New Roman" w:hAnsi="Times New Roman" w:cs="Times New Roman"/>
          <w:b/>
          <w:bCs/>
          <w:sz w:val="24"/>
          <w:szCs w:val="24"/>
          <w:rtl/>
        </w:rPr>
      </w:pPr>
    </w:p>
    <w:p w:rsidR="00450E89" w:rsidRDefault="00450E89" w:rsidP="00BE612C">
      <w:pPr>
        <w:spacing w:line="240" w:lineRule="auto"/>
        <w:jc w:val="center"/>
        <w:rPr>
          <w:rFonts w:ascii="Times New Roman" w:hAnsi="Times New Roman" w:cs="Times New Roman"/>
          <w:b/>
          <w:bCs/>
          <w:sz w:val="24"/>
          <w:szCs w:val="24"/>
          <w:rtl/>
        </w:rPr>
      </w:pPr>
    </w:p>
    <w:p w:rsidR="00450E89" w:rsidRPr="00ED2379" w:rsidRDefault="00450E89" w:rsidP="003D233E">
      <w:pPr>
        <w:spacing w:line="240" w:lineRule="auto"/>
        <w:rPr>
          <w:rFonts w:ascii="Times New Roman" w:hAnsi="Times New Roman" w:cs="Times New Roman" w:hint="cs"/>
          <w:b/>
          <w:bCs/>
          <w:sz w:val="24"/>
          <w:szCs w:val="24"/>
        </w:rPr>
      </w:pPr>
    </w:p>
    <w:p w:rsidR="00F45530" w:rsidRPr="00ED2379" w:rsidRDefault="00F45530" w:rsidP="00BE612C">
      <w:pPr>
        <w:spacing w:line="240" w:lineRule="auto"/>
        <w:jc w:val="center"/>
        <w:rPr>
          <w:rFonts w:ascii="Times New Roman" w:hAnsi="Times New Roman" w:cs="Times New Roman"/>
          <w:b/>
          <w:bCs/>
          <w:sz w:val="24"/>
          <w:szCs w:val="24"/>
        </w:rPr>
      </w:pPr>
      <w:r w:rsidRPr="00ED2379">
        <w:rPr>
          <w:rFonts w:ascii="Times New Roman" w:hAnsi="Times New Roman" w:cs="Times New Roman"/>
          <w:b/>
          <w:bCs/>
          <w:sz w:val="24"/>
          <w:szCs w:val="24"/>
        </w:rPr>
        <w:lastRenderedPageBreak/>
        <w:t xml:space="preserve">Comparing the </w:t>
      </w:r>
      <w:r w:rsidR="00BE612C" w:rsidRPr="00ED2379">
        <w:rPr>
          <w:rFonts w:ascii="Times New Roman" w:hAnsi="Times New Roman" w:cs="Times New Roman"/>
          <w:b/>
          <w:bCs/>
          <w:sz w:val="24"/>
          <w:szCs w:val="24"/>
        </w:rPr>
        <w:t>C</w:t>
      </w:r>
      <w:r w:rsidRPr="00ED2379">
        <w:rPr>
          <w:rFonts w:ascii="Times New Roman" w:hAnsi="Times New Roman" w:cs="Times New Roman"/>
          <w:b/>
          <w:bCs/>
          <w:sz w:val="24"/>
          <w:szCs w:val="24"/>
        </w:rPr>
        <w:t xml:space="preserve">hange in GDP in Palestine during 2004 -2018 with Constant Prices: Base Year 2015, Previous and Revised Data (in percentage %) </w:t>
      </w:r>
    </w:p>
    <w:p w:rsidR="00450E89" w:rsidRPr="00450E89" w:rsidRDefault="00450E89" w:rsidP="00450E89">
      <w:pPr>
        <w:spacing w:line="240" w:lineRule="auto"/>
        <w:ind w:left="-341"/>
        <w:jc w:val="center"/>
        <w:rPr>
          <w:rFonts w:ascii="Times New Roman" w:hAnsi="Times New Roman" w:cs="Times New Roman"/>
          <w:b/>
          <w:bCs/>
          <w:sz w:val="24"/>
          <w:szCs w:val="24"/>
          <w:rtl/>
        </w:rPr>
      </w:pPr>
      <w:r w:rsidRPr="00ED2379">
        <w:rPr>
          <w:rFonts w:ascii="Times New Roman" w:hAnsi="Times New Roman" w:cs="Times New Roman"/>
          <w:b/>
          <w:bCs/>
          <w:noProof/>
          <w:sz w:val="24"/>
          <w:szCs w:val="24"/>
          <w:rtl/>
        </w:rPr>
        <w:drawing>
          <wp:inline distT="0" distB="0" distL="0" distR="0">
            <wp:extent cx="5784491" cy="3554233"/>
            <wp:effectExtent l="19050" t="0" r="25759" b="8117"/>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5530" w:rsidRPr="00C32551" w:rsidRDefault="00F45530" w:rsidP="00C32551">
      <w:pPr>
        <w:bidi w:val="0"/>
        <w:spacing w:line="360" w:lineRule="auto"/>
        <w:jc w:val="both"/>
        <w:rPr>
          <w:rFonts w:ascii="Times New Roman" w:hAnsi="Times New Roman" w:cs="Times New Roman"/>
          <w:sz w:val="20"/>
          <w:szCs w:val="20"/>
        </w:rPr>
      </w:pPr>
      <w:r w:rsidRPr="00ED2379">
        <w:rPr>
          <w:rFonts w:ascii="Times New Roman" w:hAnsi="Times New Roman" w:cs="Times New Roman"/>
          <w:b/>
          <w:bCs/>
          <w:sz w:val="20"/>
          <w:szCs w:val="20"/>
        </w:rPr>
        <w:t>Note</w:t>
      </w:r>
      <w:r w:rsidRPr="00ED2379">
        <w:rPr>
          <w:rFonts w:ascii="Times New Roman" w:hAnsi="Times New Roman" w:cs="Times New Roman"/>
          <w:sz w:val="20"/>
          <w:szCs w:val="20"/>
        </w:rPr>
        <w:t>: percentages of change for the years 2017 and 2018 in the aforementioned data depend on the national accounts quarterly estimates that were previously issued/published.</w:t>
      </w:r>
    </w:p>
    <w:p w:rsidR="00921718" w:rsidRPr="00F45530" w:rsidRDefault="00921718" w:rsidP="00C32551">
      <w:pPr>
        <w:bidi w:val="0"/>
        <w:rPr>
          <w:rtl/>
        </w:rPr>
      </w:pPr>
    </w:p>
    <w:sectPr w:rsidR="00921718" w:rsidRPr="00F45530" w:rsidSect="00450E89">
      <w:headerReference w:type="default" r:id="rId9"/>
      <w:pgSz w:w="11906" w:h="16838"/>
      <w:pgMar w:top="1440" w:right="1558"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0CE" w:rsidRDefault="00FE40CE" w:rsidP="002F22A8">
      <w:pPr>
        <w:spacing w:after="0" w:line="240" w:lineRule="auto"/>
      </w:pPr>
      <w:r>
        <w:separator/>
      </w:r>
    </w:p>
  </w:endnote>
  <w:endnote w:type="continuationSeparator" w:id="0">
    <w:p w:rsidR="00FE40CE" w:rsidRDefault="00FE40CE" w:rsidP="002F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0CE" w:rsidRDefault="00FE40CE" w:rsidP="002F22A8">
      <w:pPr>
        <w:spacing w:after="0" w:line="240" w:lineRule="auto"/>
      </w:pPr>
      <w:r>
        <w:separator/>
      </w:r>
    </w:p>
  </w:footnote>
  <w:footnote w:type="continuationSeparator" w:id="0">
    <w:p w:rsidR="00FE40CE" w:rsidRDefault="00FE40CE" w:rsidP="002F2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sz w:val="32"/>
        <w:szCs w:val="32"/>
        <w:rtl/>
      </w:rPr>
      <w:alias w:val="Title"/>
      <w:id w:val="77738743"/>
      <w:placeholder>
        <w:docPart w:val="6EA6306AA03F485284DC43130D05FF4D"/>
      </w:placeholder>
      <w:dataBinding w:prefixMappings="xmlns:ns0='http://schemas.openxmlformats.org/package/2006/metadata/core-properties' xmlns:ns1='http://purl.org/dc/elements/1.1/'" w:xpath="/ns0:coreProperties[1]/ns1:title[1]" w:storeItemID="{6C3C8BC8-F283-45AE-878A-BAB7291924A1}"/>
      <w:text/>
    </w:sdtPr>
    <w:sdtContent>
      <w:p w:rsidR="00FE40CE" w:rsidRDefault="003D233E" w:rsidP="002F22A8">
        <w:pPr>
          <w:pStyle w:val="Header"/>
          <w:pBdr>
            <w:bottom w:val="thickThinSmallGap" w:sz="24" w:space="1" w:color="622423" w:themeColor="accent2" w:themeShade="7F"/>
          </w:pBdr>
          <w:ind w:right="-1701" w:hanging="1475"/>
          <w:jc w:val="right"/>
          <w:rPr>
            <w:rFonts w:asciiTheme="majorHAnsi" w:eastAsiaTheme="majorEastAsia" w:hAnsiTheme="majorHAnsi" w:cstheme="majorBidi"/>
            <w:sz w:val="32"/>
            <w:szCs w:val="32"/>
          </w:rPr>
        </w:pPr>
        <w:r>
          <w:rPr>
            <w:rFonts w:asciiTheme="majorBidi" w:eastAsiaTheme="majorEastAsia" w:hAnsiTheme="majorBidi" w:cstheme="majorBidi"/>
            <w:b/>
            <w:bCs/>
            <w:sz w:val="32"/>
            <w:szCs w:val="32"/>
          </w:rPr>
          <w:t xml:space="preserve">    </w:t>
        </w:r>
        <w:r w:rsidR="00FE40CE" w:rsidRPr="000D0EC4">
          <w:rPr>
            <w:rFonts w:asciiTheme="majorBidi" w:eastAsiaTheme="majorEastAsia" w:hAnsiTheme="majorBidi" w:cstheme="majorBidi"/>
            <w:b/>
            <w:bCs/>
            <w:sz w:val="32"/>
            <w:szCs w:val="32"/>
          </w:rPr>
          <w:t>Palestinian Central Bureau of Statistics                 National Accounts Department</w:t>
        </w:r>
      </w:p>
    </w:sdtContent>
  </w:sdt>
  <w:p w:rsidR="00FE40CE" w:rsidRDefault="00FE40CE" w:rsidP="002F22A8">
    <w:pPr>
      <w:pStyle w:val="Header"/>
    </w:pPr>
  </w:p>
  <w:p w:rsidR="00FE40CE" w:rsidRDefault="00FE40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331"/>
    <w:multiLevelType w:val="hybridMultilevel"/>
    <w:tmpl w:val="94A6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EE4117"/>
    <w:multiLevelType w:val="hybridMultilevel"/>
    <w:tmpl w:val="8DAA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63721"/>
    <w:multiLevelType w:val="hybridMultilevel"/>
    <w:tmpl w:val="D95C2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2F22A8"/>
    <w:rsid w:val="00071DFB"/>
    <w:rsid w:val="000D0EC4"/>
    <w:rsid w:val="000F646A"/>
    <w:rsid w:val="0012709C"/>
    <w:rsid w:val="001318F9"/>
    <w:rsid w:val="00150FA7"/>
    <w:rsid w:val="00157003"/>
    <w:rsid w:val="00195460"/>
    <w:rsid w:val="00211EF7"/>
    <w:rsid w:val="002C0530"/>
    <w:rsid w:val="002F22A8"/>
    <w:rsid w:val="00301408"/>
    <w:rsid w:val="00307F8E"/>
    <w:rsid w:val="0036467D"/>
    <w:rsid w:val="003744A7"/>
    <w:rsid w:val="00377803"/>
    <w:rsid w:val="00381EAA"/>
    <w:rsid w:val="003C4271"/>
    <w:rsid w:val="003C4B5D"/>
    <w:rsid w:val="003D0207"/>
    <w:rsid w:val="003D233E"/>
    <w:rsid w:val="003E44A4"/>
    <w:rsid w:val="00412F5B"/>
    <w:rsid w:val="00415B8A"/>
    <w:rsid w:val="00417E66"/>
    <w:rsid w:val="00434A24"/>
    <w:rsid w:val="00450E89"/>
    <w:rsid w:val="00476690"/>
    <w:rsid w:val="00492372"/>
    <w:rsid w:val="004C063D"/>
    <w:rsid w:val="004C22C0"/>
    <w:rsid w:val="005271F3"/>
    <w:rsid w:val="00602F29"/>
    <w:rsid w:val="00620E9C"/>
    <w:rsid w:val="0069184B"/>
    <w:rsid w:val="00691C55"/>
    <w:rsid w:val="00696A68"/>
    <w:rsid w:val="006C3A9D"/>
    <w:rsid w:val="006D250B"/>
    <w:rsid w:val="006D2B87"/>
    <w:rsid w:val="007077D9"/>
    <w:rsid w:val="00710EC4"/>
    <w:rsid w:val="00773E36"/>
    <w:rsid w:val="007834F1"/>
    <w:rsid w:val="00785EEF"/>
    <w:rsid w:val="007A01CA"/>
    <w:rsid w:val="00811886"/>
    <w:rsid w:val="00817B1F"/>
    <w:rsid w:val="0085477F"/>
    <w:rsid w:val="008B2130"/>
    <w:rsid w:val="008D447C"/>
    <w:rsid w:val="008F0749"/>
    <w:rsid w:val="00921718"/>
    <w:rsid w:val="00991272"/>
    <w:rsid w:val="009C1C6C"/>
    <w:rsid w:val="009E52D9"/>
    <w:rsid w:val="00A13F7F"/>
    <w:rsid w:val="00A60F51"/>
    <w:rsid w:val="00AB7267"/>
    <w:rsid w:val="00AC3E94"/>
    <w:rsid w:val="00AD6C41"/>
    <w:rsid w:val="00AD7FF5"/>
    <w:rsid w:val="00B803C8"/>
    <w:rsid w:val="00B80E6B"/>
    <w:rsid w:val="00B84551"/>
    <w:rsid w:val="00B92541"/>
    <w:rsid w:val="00BE2AC6"/>
    <w:rsid w:val="00BE612C"/>
    <w:rsid w:val="00C32551"/>
    <w:rsid w:val="00C40B90"/>
    <w:rsid w:val="00C62F84"/>
    <w:rsid w:val="00C638B8"/>
    <w:rsid w:val="00C7475F"/>
    <w:rsid w:val="00C81504"/>
    <w:rsid w:val="00CC625B"/>
    <w:rsid w:val="00D25AF7"/>
    <w:rsid w:val="00D40FE1"/>
    <w:rsid w:val="00D42F0A"/>
    <w:rsid w:val="00D870EF"/>
    <w:rsid w:val="00D95B30"/>
    <w:rsid w:val="00DE7115"/>
    <w:rsid w:val="00E205A1"/>
    <w:rsid w:val="00E31D24"/>
    <w:rsid w:val="00E8318E"/>
    <w:rsid w:val="00EA1EC8"/>
    <w:rsid w:val="00ED2379"/>
    <w:rsid w:val="00F45530"/>
    <w:rsid w:val="00F506F0"/>
    <w:rsid w:val="00F53CEA"/>
    <w:rsid w:val="00F57520"/>
    <w:rsid w:val="00F7767C"/>
    <w:rsid w:val="00F93DA4"/>
    <w:rsid w:val="00FD11B3"/>
    <w:rsid w:val="00FE40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A8"/>
    <w:pPr>
      <w:ind w:left="720"/>
      <w:contextualSpacing/>
    </w:pPr>
  </w:style>
  <w:style w:type="paragraph" w:styleId="Header">
    <w:name w:val="header"/>
    <w:basedOn w:val="Normal"/>
    <w:link w:val="HeaderChar"/>
    <w:uiPriority w:val="99"/>
    <w:unhideWhenUsed/>
    <w:rsid w:val="002F22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22A8"/>
  </w:style>
  <w:style w:type="paragraph" w:styleId="Footer">
    <w:name w:val="footer"/>
    <w:basedOn w:val="Normal"/>
    <w:link w:val="FooterChar"/>
    <w:uiPriority w:val="99"/>
    <w:semiHidden/>
    <w:unhideWhenUsed/>
    <w:rsid w:val="002F22A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F22A8"/>
  </w:style>
  <w:style w:type="paragraph" w:styleId="BalloonText">
    <w:name w:val="Balloon Text"/>
    <w:basedOn w:val="Normal"/>
    <w:link w:val="BalloonTextChar"/>
    <w:uiPriority w:val="99"/>
    <w:semiHidden/>
    <w:unhideWhenUsed/>
    <w:rsid w:val="002F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2A8"/>
    <w:rPr>
      <w:rFonts w:ascii="Tahoma" w:hAnsi="Tahoma" w:cs="Tahoma"/>
      <w:sz w:val="16"/>
      <w:szCs w:val="16"/>
    </w:rPr>
  </w:style>
  <w:style w:type="character" w:styleId="CommentReference">
    <w:name w:val="annotation reference"/>
    <w:basedOn w:val="DefaultParagraphFont"/>
    <w:uiPriority w:val="99"/>
    <w:semiHidden/>
    <w:unhideWhenUsed/>
    <w:rsid w:val="00F45530"/>
    <w:rPr>
      <w:sz w:val="16"/>
      <w:szCs w:val="16"/>
    </w:rPr>
  </w:style>
  <w:style w:type="paragraph" w:styleId="CommentText">
    <w:name w:val="annotation text"/>
    <w:basedOn w:val="Normal"/>
    <w:link w:val="CommentTextChar"/>
    <w:uiPriority w:val="99"/>
    <w:semiHidden/>
    <w:unhideWhenUsed/>
    <w:rsid w:val="00F45530"/>
    <w:pPr>
      <w:spacing w:line="240" w:lineRule="auto"/>
    </w:pPr>
    <w:rPr>
      <w:sz w:val="20"/>
      <w:szCs w:val="20"/>
    </w:rPr>
  </w:style>
  <w:style w:type="character" w:customStyle="1" w:styleId="CommentTextChar">
    <w:name w:val="Comment Text Char"/>
    <w:basedOn w:val="DefaultParagraphFont"/>
    <w:link w:val="CommentText"/>
    <w:uiPriority w:val="99"/>
    <w:semiHidden/>
    <w:rsid w:val="00F45530"/>
    <w:rPr>
      <w:sz w:val="20"/>
      <w:szCs w:val="20"/>
    </w:rPr>
  </w:style>
  <w:style w:type="paragraph" w:styleId="CommentSubject">
    <w:name w:val="annotation subject"/>
    <w:basedOn w:val="CommentText"/>
    <w:next w:val="CommentText"/>
    <w:link w:val="CommentSubjectChar"/>
    <w:uiPriority w:val="99"/>
    <w:semiHidden/>
    <w:unhideWhenUsed/>
    <w:rsid w:val="00F45530"/>
    <w:rPr>
      <w:b/>
      <w:bCs/>
    </w:rPr>
  </w:style>
  <w:style w:type="character" w:customStyle="1" w:styleId="CommentSubjectChar">
    <w:name w:val="Comment Subject Char"/>
    <w:basedOn w:val="CommentTextChar"/>
    <w:link w:val="CommentSubject"/>
    <w:uiPriority w:val="99"/>
    <w:semiHidden/>
    <w:rsid w:val="00F455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Rhusein\Desktop\&#1608;&#1585;&#1602;&#1577;%20&#1575;&#1604;&#1605;&#1601;&#1607;&#1608;&#16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ar-SA"/>
  <c:chart>
    <c:plotArea>
      <c:layout/>
      <c:lineChart>
        <c:grouping val="standard"/>
        <c:ser>
          <c:idx val="0"/>
          <c:order val="0"/>
          <c:tx>
            <c:strRef>
              <c:f>Sheet1!$B$1</c:f>
              <c:strCache>
                <c:ptCount val="1"/>
                <c:pt idx="0">
                  <c:v>Revised Data</c:v>
                </c:pt>
              </c:strCache>
            </c:strRef>
          </c:tx>
          <c:spPr>
            <a:ln>
              <a:prstDash val="dash"/>
            </a:ln>
          </c:spPr>
          <c:marker>
            <c:symbol val="none"/>
          </c:marker>
          <c:cat>
            <c:numRef>
              <c:f>Sheet1!$A$2:$A$16</c:f>
              <c:numCache>
                <c:formatCode>General</c:formatCode>
                <c:ptCount val="15"/>
                <c:pt idx="0" formatCode="0">
                  <c:v>2004</c:v>
                </c:pt>
                <c:pt idx="1">
                  <c:v>2005</c:v>
                </c:pt>
                <c:pt idx="2" formatCode="0">
                  <c:v>2006</c:v>
                </c:pt>
                <c:pt idx="3">
                  <c:v>2007</c:v>
                </c:pt>
                <c:pt idx="4" formatCode="0">
                  <c:v>2008</c:v>
                </c:pt>
                <c:pt idx="5">
                  <c:v>2009</c:v>
                </c:pt>
                <c:pt idx="6" formatCode="0">
                  <c:v>2010</c:v>
                </c:pt>
                <c:pt idx="7">
                  <c:v>2011</c:v>
                </c:pt>
                <c:pt idx="8" formatCode="0">
                  <c:v>2012</c:v>
                </c:pt>
                <c:pt idx="9">
                  <c:v>2013</c:v>
                </c:pt>
                <c:pt idx="10" formatCode="0">
                  <c:v>2014</c:v>
                </c:pt>
                <c:pt idx="11">
                  <c:v>2015</c:v>
                </c:pt>
                <c:pt idx="12" formatCode="0">
                  <c:v>2016</c:v>
                </c:pt>
                <c:pt idx="13">
                  <c:v>2017</c:v>
                </c:pt>
                <c:pt idx="14" formatCode="0">
                  <c:v>2018</c:v>
                </c:pt>
              </c:numCache>
            </c:numRef>
          </c:cat>
          <c:val>
            <c:numRef>
              <c:f>Sheet1!$B$2:$B$16</c:f>
              <c:numCache>
                <c:formatCode>0</c:formatCode>
                <c:ptCount val="15"/>
                <c:pt idx="0">
                  <c:v>7853.3377466429392</c:v>
                </c:pt>
                <c:pt idx="1">
                  <c:v>8740.2337988837025</c:v>
                </c:pt>
                <c:pt idx="2">
                  <c:v>8653.0913527832945</c:v>
                </c:pt>
                <c:pt idx="3">
                  <c:v>8980.7592145322687</c:v>
                </c:pt>
                <c:pt idx="4">
                  <c:v>9648.1241153493575</c:v>
                </c:pt>
                <c:pt idx="5">
                  <c:v>10477.151439617122</c:v>
                </c:pt>
                <c:pt idx="6">
                  <c:v>11082.303066462289</c:v>
                </c:pt>
                <c:pt idx="7">
                  <c:v>12146.351728696885</c:v>
                </c:pt>
                <c:pt idx="8">
                  <c:v>12886.88292863973</c:v>
                </c:pt>
                <c:pt idx="9">
                  <c:v>13492.443057728437</c:v>
                </c:pt>
                <c:pt idx="10" formatCode="General">
                  <c:v>13470.8506689972</c:v>
                </c:pt>
                <c:pt idx="11" formatCode="General">
                  <c:v>13972.379458842324</c:v>
                </c:pt>
                <c:pt idx="12" formatCode="General">
                  <c:v>15211.286626002164</c:v>
                </c:pt>
                <c:pt idx="13" formatCode="General">
                  <c:v>15426.854839957252</c:v>
                </c:pt>
                <c:pt idx="14" formatCode="General">
                  <c:v>15615.987381458157</c:v>
                </c:pt>
              </c:numCache>
            </c:numRef>
          </c:val>
        </c:ser>
        <c:ser>
          <c:idx val="1"/>
          <c:order val="1"/>
          <c:tx>
            <c:strRef>
              <c:f>Sheet1!$C$1</c:f>
              <c:strCache>
                <c:ptCount val="1"/>
                <c:pt idx="0">
                  <c:v>Previous Data</c:v>
                </c:pt>
              </c:strCache>
            </c:strRef>
          </c:tx>
          <c:marker>
            <c:symbol val="none"/>
          </c:marker>
          <c:cat>
            <c:numRef>
              <c:f>Sheet1!$A$2:$A$16</c:f>
              <c:numCache>
                <c:formatCode>General</c:formatCode>
                <c:ptCount val="15"/>
                <c:pt idx="0" formatCode="0">
                  <c:v>2004</c:v>
                </c:pt>
                <c:pt idx="1">
                  <c:v>2005</c:v>
                </c:pt>
                <c:pt idx="2" formatCode="0">
                  <c:v>2006</c:v>
                </c:pt>
                <c:pt idx="3">
                  <c:v>2007</c:v>
                </c:pt>
                <c:pt idx="4" formatCode="0">
                  <c:v>2008</c:v>
                </c:pt>
                <c:pt idx="5">
                  <c:v>2009</c:v>
                </c:pt>
                <c:pt idx="6" formatCode="0">
                  <c:v>2010</c:v>
                </c:pt>
                <c:pt idx="7">
                  <c:v>2011</c:v>
                </c:pt>
                <c:pt idx="8" formatCode="0">
                  <c:v>2012</c:v>
                </c:pt>
                <c:pt idx="9">
                  <c:v>2013</c:v>
                </c:pt>
                <c:pt idx="10" formatCode="0">
                  <c:v>2014</c:v>
                </c:pt>
                <c:pt idx="11">
                  <c:v>2015</c:v>
                </c:pt>
                <c:pt idx="12" formatCode="0">
                  <c:v>2016</c:v>
                </c:pt>
                <c:pt idx="13">
                  <c:v>2017</c:v>
                </c:pt>
                <c:pt idx="14" formatCode="0">
                  <c:v>2018</c:v>
                </c:pt>
              </c:numCache>
            </c:numRef>
          </c:cat>
          <c:val>
            <c:numRef>
              <c:f>Sheet1!$C$2:$C$16</c:f>
              <c:numCache>
                <c:formatCode>0</c:formatCode>
                <c:ptCount val="15"/>
                <c:pt idx="0">
                  <c:v>7161.3862385904822</c:v>
                </c:pt>
                <c:pt idx="1">
                  <c:v>7874.882320935837</c:v>
                </c:pt>
                <c:pt idx="2">
                  <c:v>7567.7147927920932</c:v>
                </c:pt>
                <c:pt idx="3">
                  <c:v>8066.4721153472465</c:v>
                </c:pt>
                <c:pt idx="4">
                  <c:v>8556.8566191234968</c:v>
                </c:pt>
                <c:pt idx="5">
                  <c:v>9298.0973404324232</c:v>
                </c:pt>
                <c:pt idx="6">
                  <c:v>10051.158511782156</c:v>
                </c:pt>
                <c:pt idx="7">
                  <c:v>11298.87268275621</c:v>
                </c:pt>
                <c:pt idx="8">
                  <c:v>12008.920549790784</c:v>
                </c:pt>
                <c:pt idx="9">
                  <c:v>12275.209021543404</c:v>
                </c:pt>
                <c:pt idx="10" formatCode="General">
                  <c:v>12252.88150479966</c:v>
                </c:pt>
                <c:pt idx="11" formatCode="General">
                  <c:v>12673</c:v>
                </c:pt>
                <c:pt idx="12" formatCode="General">
                  <c:v>13269.699999999999</c:v>
                </c:pt>
                <c:pt idx="13" formatCode="General">
                  <c:v>14498.099999999999</c:v>
                </c:pt>
                <c:pt idx="14" formatCode="General">
                  <c:v>14615.900000000001</c:v>
                </c:pt>
              </c:numCache>
            </c:numRef>
          </c:val>
        </c:ser>
        <c:marker val="1"/>
        <c:axId val="78283136"/>
        <c:axId val="78284672"/>
      </c:lineChart>
      <c:catAx>
        <c:axId val="78283136"/>
        <c:scaling>
          <c:orientation val="minMax"/>
        </c:scaling>
        <c:axPos val="b"/>
        <c:numFmt formatCode="0" sourceLinked="1"/>
        <c:tickLblPos val="nextTo"/>
        <c:txPr>
          <a:bodyPr rot="5400000" vert="horz"/>
          <a:lstStyle/>
          <a:p>
            <a:pPr>
              <a:defRPr b="1"/>
            </a:pPr>
            <a:endParaRPr lang="ar-SA"/>
          </a:p>
        </c:txPr>
        <c:crossAx val="78284672"/>
        <c:crosses val="autoZero"/>
        <c:auto val="1"/>
        <c:lblAlgn val="ctr"/>
        <c:lblOffset val="100"/>
      </c:catAx>
      <c:valAx>
        <c:axId val="78284672"/>
        <c:scaling>
          <c:orientation val="minMax"/>
        </c:scaling>
        <c:axPos val="l"/>
        <c:numFmt formatCode="0" sourceLinked="1"/>
        <c:tickLblPos val="nextTo"/>
        <c:txPr>
          <a:bodyPr/>
          <a:lstStyle/>
          <a:p>
            <a:pPr>
              <a:defRPr b="1"/>
            </a:pPr>
            <a:endParaRPr lang="ar-SA"/>
          </a:p>
        </c:txPr>
        <c:crossAx val="78283136"/>
        <c:crosses val="autoZero"/>
        <c:crossBetween val="between"/>
      </c:valAx>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1.8256818814011182E-2"/>
          <c:y val="5.1444286992295869E-2"/>
          <c:w val="0.93464603077968333"/>
          <c:h val="0.78552159388923459"/>
        </c:manualLayout>
      </c:layout>
      <c:barChart>
        <c:barDir val="col"/>
        <c:grouping val="clustered"/>
        <c:ser>
          <c:idx val="0"/>
          <c:order val="0"/>
          <c:tx>
            <c:strRef>
              <c:f>B.1Pal!$A$67:$B$67</c:f>
              <c:strCache>
                <c:ptCount val="1"/>
                <c:pt idx="0">
                  <c:v>Revised Data</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dLbl>
              <c:idx val="2"/>
              <c:layout>
                <c:manualLayout>
                  <c:x val="-3.7323940861866675E-2"/>
                  <c:y val="-3.5729227656149734E-3"/>
                </c:manualLayout>
              </c:layout>
              <c:showVal val="1"/>
            </c:dLbl>
            <c:dLbl>
              <c:idx val="5"/>
              <c:layout>
                <c:manualLayout>
                  <c:x val="-1.9759733397458869E-2"/>
                  <c:y val="3.573204120270112E-3"/>
                </c:manualLayout>
              </c:layout>
              <c:showVal val="1"/>
            </c:dLbl>
            <c:dLbl>
              <c:idx val="7"/>
              <c:layout>
                <c:manualLayout>
                  <c:x val="-1.1736526380435781E-2"/>
                  <c:y val="-1.3900705907763565E-2"/>
                </c:manualLayout>
              </c:layout>
              <c:showVal val="1"/>
            </c:dLbl>
            <c:dLbl>
              <c:idx val="10"/>
              <c:layout>
                <c:manualLayout>
                  <c:x val="-1.9759733397458828E-2"/>
                  <c:y val="-0.11265778017366898"/>
                </c:manualLayout>
              </c:layout>
              <c:showVal val="1"/>
            </c:dLbl>
            <c:dLbl>
              <c:idx val="14"/>
              <c:layout>
                <c:manualLayout>
                  <c:x val="0"/>
                  <c:y val="-2.7801411815527123E-2"/>
                </c:manualLayout>
              </c:layout>
              <c:showVal val="1"/>
            </c:dLbl>
            <c:showVal val="1"/>
          </c:dLbls>
          <c:cat>
            <c:numRef>
              <c:f>B.1Pal!$C$66:$Q$66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B.1Pal!$C$67:$Q$67</c:f>
              <c:numCache>
                <c:formatCode>0.0%</c:formatCode>
                <c:ptCount val="15"/>
                <c:pt idx="0">
                  <c:v>0.1498860034652148</c:v>
                </c:pt>
                <c:pt idx="1">
                  <c:v>0.12320092890124998</c:v>
                </c:pt>
                <c:pt idx="2">
                  <c:v>-3.7960837109783277E-2</c:v>
                </c:pt>
                <c:pt idx="3">
                  <c:v>5.0366723726462691E-2</c:v>
                </c:pt>
                <c:pt idx="4">
                  <c:v>0.11032070803197569</c:v>
                </c:pt>
                <c:pt idx="5">
                  <c:v>9.1249008978122631E-2</c:v>
                </c:pt>
                <c:pt idx="6">
                  <c:v>6.5445977124343441E-2</c:v>
                </c:pt>
                <c:pt idx="7">
                  <c:v>0.10011887100192561</c:v>
                </c:pt>
                <c:pt idx="8">
                  <c:v>6.3575293585512949E-2</c:v>
                </c:pt>
                <c:pt idx="9">
                  <c:v>4.8796622983870809E-2</c:v>
                </c:pt>
                <c:pt idx="10">
                  <c:v>-2.2527257982158946E-3</c:v>
                </c:pt>
                <c:pt idx="11">
                  <c:v>3.6990487085315285E-2</c:v>
                </c:pt>
                <c:pt idx="12">
                  <c:v>8.6543499843378488E-2</c:v>
                </c:pt>
                <c:pt idx="13">
                  <c:v>2.290867050208201E-2</c:v>
                </c:pt>
                <c:pt idx="14">
                  <c:v>1.2E-2</c:v>
                </c:pt>
              </c:numCache>
            </c:numRef>
          </c:val>
        </c:ser>
        <c:ser>
          <c:idx val="1"/>
          <c:order val="1"/>
          <c:tx>
            <c:strRef>
              <c:f>B.1Pal!$A$68:$B$68</c:f>
              <c:strCache>
                <c:ptCount val="1"/>
                <c:pt idx="0">
                  <c:v>Previous Data</c:v>
                </c:pt>
              </c:strCache>
            </c:strRef>
          </c:tx>
          <c:spPr>
            <a:solidFill>
              <a:srgbClr val="4F81BD"/>
            </a:solidFill>
          </c:spPr>
          <c:dPt>
            <c:idx val="8"/>
            <c:invertIfNegative val="1"/>
          </c:dPt>
          <c:dLbls>
            <c:dLbl>
              <c:idx val="8"/>
              <c:layout>
                <c:manualLayout>
                  <c:x val="2.1955259330509801E-2"/>
                  <c:y val="3.573204120270112E-3"/>
                </c:manualLayout>
              </c:layout>
              <c:showVal val="1"/>
            </c:dLbl>
            <c:dLbl>
              <c:idx val="10"/>
              <c:layout>
                <c:manualLayout>
                  <c:x val="1.7564207464407847E-2"/>
                  <c:y val="-0.11477863156410963"/>
                </c:manualLayout>
              </c:layout>
              <c:showVal val="1"/>
            </c:dLbl>
            <c:showVal val="1"/>
          </c:dLbls>
          <c:cat>
            <c:numRef>
              <c:f>B.1Pal!$C$66:$Q$66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B.1Pal!$C$68:$Q$68</c:f>
              <c:numCache>
                <c:formatCode>0.0%</c:formatCode>
                <c:ptCount val="15"/>
                <c:pt idx="0">
                  <c:v>0.10343069786409731</c:v>
                </c:pt>
                <c:pt idx="1">
                  <c:v>0.10798761895962317</c:v>
                </c:pt>
                <c:pt idx="2">
                  <c:v>-3.900598328017181E-2</c:v>
                </c:pt>
                <c:pt idx="3">
                  <c:v>6.5905935439083657E-2</c:v>
                </c:pt>
                <c:pt idx="4">
                  <c:v>6.0792933610127657E-2</c:v>
                </c:pt>
                <c:pt idx="5">
                  <c:v>8.6625352545039447E-2</c:v>
                </c:pt>
                <c:pt idx="6">
                  <c:v>8.0990889187089493E-2</c:v>
                </c:pt>
                <c:pt idx="7">
                  <c:v>0.12413635398461395</c:v>
                </c:pt>
                <c:pt idx="8">
                  <c:v>6.2842363744678234E-2</c:v>
                </c:pt>
                <c:pt idx="9">
                  <c:v>2.2174222125006759E-2</c:v>
                </c:pt>
                <c:pt idx="10">
                  <c:v>-1.8189113280725482E-3</c:v>
                </c:pt>
                <c:pt idx="11">
                  <c:v>3.4287322132004153E-2</c:v>
                </c:pt>
                <c:pt idx="12">
                  <c:v>4.7084352560561746E-2</c:v>
                </c:pt>
                <c:pt idx="13">
                  <c:v>3.1402367800327249E-2</c:v>
                </c:pt>
                <c:pt idx="14">
                  <c:v>1.0000000000000004E-2</c:v>
                </c:pt>
              </c:numCache>
            </c:numRef>
          </c:val>
        </c:ser>
        <c:dLbls>
          <c:showVal val="1"/>
        </c:dLbls>
        <c:gapWidth val="75"/>
        <c:axId val="120134656"/>
        <c:axId val="120824576"/>
      </c:barChart>
      <c:catAx>
        <c:axId val="120134656"/>
        <c:scaling>
          <c:orientation val="minMax"/>
        </c:scaling>
        <c:axPos val="b"/>
        <c:numFmt formatCode="General" sourceLinked="1"/>
        <c:tickLblPos val="nextTo"/>
        <c:txPr>
          <a:bodyPr rot="-5400000" vert="horz"/>
          <a:lstStyle/>
          <a:p>
            <a:pPr>
              <a:defRPr b="1"/>
            </a:pPr>
            <a:endParaRPr lang="ar-SA"/>
          </a:p>
        </c:txPr>
        <c:crossAx val="120824576"/>
        <c:crosses val="autoZero"/>
        <c:auto val="1"/>
        <c:lblAlgn val="ctr"/>
        <c:lblOffset val="100"/>
      </c:catAx>
      <c:valAx>
        <c:axId val="120824576"/>
        <c:scaling>
          <c:orientation val="minMax"/>
        </c:scaling>
        <c:axPos val="l"/>
        <c:numFmt formatCode="0.0%" sourceLinked="1"/>
        <c:majorTickMark val="none"/>
        <c:tickLblPos val="nextTo"/>
        <c:crossAx val="120134656"/>
        <c:crosses val="autoZero"/>
        <c:crossBetween val="between"/>
      </c:valAx>
    </c:plotArea>
    <c:legend>
      <c:legendPos val="b"/>
      <c:layout/>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EA6306AA03F485284DC43130D05FF4D"/>
        <w:category>
          <w:name w:val="General"/>
          <w:gallery w:val="placeholder"/>
        </w:category>
        <w:types>
          <w:type w:val="bbPlcHdr"/>
        </w:types>
        <w:behaviors>
          <w:behavior w:val="content"/>
        </w:behaviors>
        <w:guid w:val="{240947BC-F562-4758-BC88-4750233357B8}"/>
      </w:docPartPr>
      <w:docPartBody>
        <w:p w:rsidR="00E109A6" w:rsidRDefault="00AA6C0F" w:rsidP="00AA6C0F">
          <w:pPr>
            <w:pStyle w:val="6EA6306AA03F485284DC43130D05FF4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F51C2"/>
    <w:rsid w:val="00011D8A"/>
    <w:rsid w:val="00163737"/>
    <w:rsid w:val="0024403C"/>
    <w:rsid w:val="00252168"/>
    <w:rsid w:val="002D74B8"/>
    <w:rsid w:val="002F51C2"/>
    <w:rsid w:val="004044F9"/>
    <w:rsid w:val="00481D64"/>
    <w:rsid w:val="00762730"/>
    <w:rsid w:val="00867DAB"/>
    <w:rsid w:val="00A81071"/>
    <w:rsid w:val="00AA6C0F"/>
    <w:rsid w:val="00BC4608"/>
    <w:rsid w:val="00D61362"/>
    <w:rsid w:val="00E109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B4230F4BA44A9AA38B599C2324B095">
    <w:name w:val="D9B4230F4BA44A9AA38B599C2324B095"/>
    <w:rsid w:val="002F51C2"/>
    <w:pPr>
      <w:bidi/>
    </w:pPr>
  </w:style>
  <w:style w:type="paragraph" w:customStyle="1" w:styleId="0732CC2E9D034EBCA084AFC9652522C5">
    <w:name w:val="0732CC2E9D034EBCA084AFC9652522C5"/>
    <w:rsid w:val="00867DAB"/>
    <w:pPr>
      <w:bidi/>
    </w:pPr>
  </w:style>
  <w:style w:type="paragraph" w:customStyle="1" w:styleId="6EA6306AA03F485284DC43130D05FF4D">
    <w:name w:val="6EA6306AA03F485284DC43130D05FF4D"/>
    <w:rsid w:val="00AA6C0F"/>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Palestinian Central Bureau of Statistics                 National Accounts Department</vt:lpstr>
    </vt:vector>
  </TitlesOfParts>
  <Company>Hewlett-Packard Company</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Palestinian Central Bureau of Statistics                 National Accounts Department</dc:title>
  <dc:creator>inashata</dc:creator>
  <cp:lastModifiedBy>amina</cp:lastModifiedBy>
  <cp:revision>7</cp:revision>
  <dcterms:created xsi:type="dcterms:W3CDTF">2019-12-22T11:01:00Z</dcterms:created>
  <dcterms:modified xsi:type="dcterms:W3CDTF">2019-12-29T07:59:00Z</dcterms:modified>
</cp:coreProperties>
</file>