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D" w:rsidRPr="00B73D5D" w:rsidRDefault="00B73D5D" w:rsidP="00B73D5D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>Balance of Payments and International Investment Position Manual - sixth edition</w:t>
      </w:r>
    </w:p>
    <w:p w:rsidR="00B44713" w:rsidRDefault="00B44713" w:rsidP="00B44713">
      <w:pPr>
        <w:numPr>
          <w:ilvl w:val="0"/>
          <w:numId w:val="10"/>
        </w:numPr>
        <w:bidi w:val="0"/>
        <w:ind w:left="142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A34">
        <w:rPr>
          <w:rFonts w:ascii="Times New Roman" w:hAnsi="Times New Roman" w:cs="Times New Roman"/>
          <w:b/>
          <w:bCs/>
          <w:sz w:val="24"/>
          <w:szCs w:val="24"/>
        </w:rPr>
        <w:t>Classification Name in Arabic</w:t>
      </w:r>
      <w:r w:rsidRPr="00B44713">
        <w:rPr>
          <w:rFonts w:cs="Simplified Arabic" w:hint="cs"/>
          <w:sz w:val="24"/>
          <w:szCs w:val="24"/>
          <w:rtl/>
        </w:rPr>
        <w:t xml:space="preserve"> </w:t>
      </w:r>
      <w:r w:rsidRPr="00E42D10">
        <w:rPr>
          <w:rFonts w:cs="Simplified Arabic" w:hint="cs"/>
          <w:sz w:val="24"/>
          <w:szCs w:val="24"/>
          <w:rtl/>
        </w:rPr>
        <w:t>دليل ميزان المدفوعات</w:t>
      </w:r>
      <w:r>
        <w:rPr>
          <w:rFonts w:cs="Simplified Arabic" w:hint="cs"/>
          <w:sz w:val="24"/>
          <w:szCs w:val="24"/>
          <w:rtl/>
        </w:rPr>
        <w:t xml:space="preserve"> ووضع الاستثمار الدولي</w:t>
      </w:r>
      <w:r w:rsidRPr="00E42D10">
        <w:rPr>
          <w:rFonts w:cs="Simplified Arabic" w:hint="cs"/>
          <w:sz w:val="24"/>
          <w:szCs w:val="24"/>
          <w:rtl/>
        </w:rPr>
        <w:t xml:space="preserve"> (الطبعة </w:t>
      </w:r>
      <w:r>
        <w:rPr>
          <w:rFonts w:cs="Simplified Arabic" w:hint="cs"/>
          <w:sz w:val="24"/>
          <w:szCs w:val="24"/>
          <w:rtl/>
        </w:rPr>
        <w:t>السادسة</w:t>
      </w:r>
      <w:r w:rsidRPr="00E42D10">
        <w:rPr>
          <w:rFonts w:cs="Simplified Arabic" w:hint="cs"/>
          <w:sz w:val="24"/>
          <w:szCs w:val="24"/>
          <w:rtl/>
        </w:rPr>
        <w:t>)</w:t>
      </w:r>
      <w:r>
        <w:rPr>
          <w:rFonts w:cs="Simplified Arabic" w:hint="cs"/>
          <w:sz w:val="24"/>
          <w:szCs w:val="24"/>
          <w:rtl/>
        </w:rPr>
        <w:t xml:space="preserve"> </w:t>
      </w:r>
    </w:p>
    <w:p w:rsidR="006B7B72" w:rsidRDefault="00B73D5D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sz w:val="24"/>
          <w:szCs w:val="24"/>
          <w:rtl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Classification Name in in English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Balance of Payments and International Investment Position Manual - sixth edition </w:t>
      </w:r>
    </w:p>
    <w:p w:rsidR="00B73D5D" w:rsidRPr="00B44713" w:rsidRDefault="00B73D5D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Abbreviation of Classification 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4713">
        <w:rPr>
          <w:rFonts w:ascii="Times New Roman" w:hAnsi="Times New Roman" w:cs="Times New Roman"/>
          <w:sz w:val="24"/>
          <w:szCs w:val="24"/>
        </w:rPr>
        <w:t>(BPM6).</w:t>
      </w:r>
    </w:p>
    <w:p w:rsidR="00B73D5D" w:rsidRDefault="00B44713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D5D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Edition and Publishing Year: </w:t>
      </w:r>
      <w:r w:rsidR="00B73D5D">
        <w:rPr>
          <w:rFonts w:ascii="Times New Roman" w:hAnsi="Times New Roman" w:cs="Times New Roman" w:hint="cs"/>
          <w:sz w:val="24"/>
          <w:szCs w:val="24"/>
          <w:rtl/>
        </w:rPr>
        <w:t>2009</w:t>
      </w:r>
      <w:r w:rsidR="00B73D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73D5D" w:rsidRPr="00104A34" w:rsidRDefault="00B73D5D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A glimpse on  Classification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616B" w:rsidRPr="00B73D5D" w:rsidRDefault="009A616B" w:rsidP="00941CC0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73D5D">
        <w:rPr>
          <w:rFonts w:asciiTheme="majorBidi" w:hAnsiTheme="majorBidi" w:cstheme="majorBidi"/>
          <w:sz w:val="24"/>
          <w:szCs w:val="24"/>
        </w:rPr>
        <w:t xml:space="preserve">The International Monetary Fund (IMF) issued the first edition of the balance of payments manual in 1948, and then issued another edition in 1977. </w:t>
      </w:r>
      <w:r w:rsidR="008632CF" w:rsidRPr="00B73D5D">
        <w:rPr>
          <w:rFonts w:asciiTheme="majorBidi" w:hAnsiTheme="majorBidi" w:cstheme="majorBidi"/>
          <w:sz w:val="24"/>
          <w:szCs w:val="24"/>
        </w:rPr>
        <w:t xml:space="preserve">Due to the </w:t>
      </w:r>
      <w:r w:rsidRPr="00B73D5D">
        <w:rPr>
          <w:rFonts w:asciiTheme="majorBidi" w:hAnsiTheme="majorBidi" w:cstheme="majorBidi"/>
          <w:sz w:val="24"/>
          <w:szCs w:val="24"/>
        </w:rPr>
        <w:t>important relationships between dome</w:t>
      </w:r>
      <w:r w:rsidR="00BD2B8B" w:rsidRPr="00B73D5D">
        <w:rPr>
          <w:rFonts w:asciiTheme="majorBidi" w:hAnsiTheme="majorBidi" w:cstheme="majorBidi"/>
          <w:sz w:val="24"/>
          <w:szCs w:val="24"/>
        </w:rPr>
        <w:t>stic and international economic</w:t>
      </w:r>
      <w:r w:rsidR="008632CF" w:rsidRPr="00B73D5D">
        <w:rPr>
          <w:rFonts w:asciiTheme="majorBidi" w:hAnsiTheme="majorBidi" w:cstheme="majorBidi"/>
          <w:sz w:val="24"/>
          <w:szCs w:val="24"/>
        </w:rPr>
        <w:t>s</w:t>
      </w:r>
      <w:r w:rsidRPr="00B73D5D">
        <w:rPr>
          <w:rFonts w:asciiTheme="majorBidi" w:hAnsiTheme="majorBidi" w:cstheme="majorBidi"/>
          <w:sz w:val="24"/>
          <w:szCs w:val="24"/>
        </w:rPr>
        <w:t>, Which are essential in economic analysis and policy</w:t>
      </w:r>
      <w:r w:rsidR="00BD2B8B" w:rsidRPr="00B73D5D">
        <w:rPr>
          <w:rFonts w:asciiTheme="majorBidi" w:hAnsiTheme="majorBidi" w:cstheme="majorBidi"/>
          <w:sz w:val="24"/>
          <w:szCs w:val="24"/>
        </w:rPr>
        <w:t>. So</w:t>
      </w:r>
      <w:r w:rsidR="00933E0E" w:rsidRPr="00B73D5D">
        <w:rPr>
          <w:rFonts w:asciiTheme="majorBidi" w:hAnsiTheme="majorBidi" w:cstheme="majorBidi"/>
          <w:sz w:val="24"/>
          <w:szCs w:val="24"/>
        </w:rPr>
        <w:t>, the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balance of payments statistics </w:t>
      </w:r>
      <w:r w:rsidR="00933E0E" w:rsidRPr="00B73D5D">
        <w:rPr>
          <w:rFonts w:asciiTheme="majorBidi" w:hAnsiTheme="majorBidi" w:cstheme="majorBidi"/>
          <w:sz w:val="24"/>
          <w:szCs w:val="24"/>
        </w:rPr>
        <w:t xml:space="preserve">should be prepared </w:t>
      </w:r>
      <w:r w:rsidR="00BD2B8B" w:rsidRPr="00B73D5D">
        <w:rPr>
          <w:rFonts w:asciiTheme="majorBidi" w:hAnsiTheme="majorBidi" w:cstheme="majorBidi"/>
          <w:sz w:val="24"/>
          <w:szCs w:val="24"/>
        </w:rPr>
        <w:t>systematically</w:t>
      </w:r>
      <w:r w:rsidR="00B840BD" w:rsidRPr="00B73D5D">
        <w:rPr>
          <w:rFonts w:asciiTheme="majorBidi" w:hAnsiTheme="majorBidi" w:cstheme="majorBidi"/>
          <w:sz w:val="24"/>
          <w:szCs w:val="24"/>
        </w:rPr>
        <w:t>,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</w:t>
      </w:r>
      <w:r w:rsidR="00933E0E" w:rsidRPr="00B73D5D">
        <w:rPr>
          <w:rFonts w:asciiTheme="majorBidi" w:hAnsiTheme="majorBidi" w:cstheme="majorBidi"/>
          <w:sz w:val="24"/>
          <w:szCs w:val="24"/>
        </w:rPr>
        <w:t xml:space="preserve">at the same time it should be </w:t>
      </w:r>
      <w:r w:rsidR="00BD2B8B" w:rsidRPr="00B73D5D">
        <w:rPr>
          <w:rFonts w:asciiTheme="majorBidi" w:hAnsiTheme="majorBidi" w:cstheme="majorBidi"/>
          <w:sz w:val="24"/>
          <w:szCs w:val="24"/>
        </w:rPr>
        <w:t>highly reliable</w:t>
      </w:r>
      <w:r w:rsidR="00933E0E" w:rsidRPr="00B73D5D">
        <w:rPr>
          <w:rFonts w:asciiTheme="majorBidi" w:hAnsiTheme="majorBidi" w:cstheme="majorBidi"/>
          <w:sz w:val="24"/>
          <w:szCs w:val="24"/>
        </w:rPr>
        <w:t>, on time, and comprehensive, Th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e International Monetary Fund (IMF) issued </w:t>
      </w:r>
      <w:r w:rsidR="00933E0E" w:rsidRPr="00B73D5D">
        <w:rPr>
          <w:rFonts w:asciiTheme="majorBidi" w:hAnsiTheme="majorBidi" w:cstheme="majorBidi"/>
          <w:sz w:val="24"/>
          <w:szCs w:val="24"/>
        </w:rPr>
        <w:t xml:space="preserve">the 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fifth edition of the Balance of Payments Manual in 1993. It </w:t>
      </w:r>
      <w:r w:rsidR="00B840BD" w:rsidRPr="00B73D5D">
        <w:rPr>
          <w:rFonts w:asciiTheme="majorBidi" w:hAnsiTheme="majorBidi" w:cstheme="majorBidi"/>
          <w:sz w:val="24"/>
          <w:szCs w:val="24"/>
        </w:rPr>
        <w:t>included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many important changes and improvements which occurred in the international transactions, as well as </w:t>
      </w:r>
      <w:r w:rsidR="00941CC0" w:rsidRPr="00B73D5D">
        <w:rPr>
          <w:rFonts w:asciiTheme="majorBidi" w:hAnsiTheme="majorBidi" w:cstheme="majorBidi"/>
          <w:sz w:val="24"/>
          <w:szCs w:val="24"/>
        </w:rPr>
        <w:t>focused more on the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international investment </w:t>
      </w:r>
      <w:r w:rsidR="002C2AC8" w:rsidRPr="00B73D5D">
        <w:rPr>
          <w:rFonts w:asciiTheme="majorBidi" w:hAnsiTheme="majorBidi" w:cstheme="majorBidi"/>
          <w:sz w:val="24"/>
          <w:szCs w:val="24"/>
        </w:rPr>
        <w:t>positions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statistics. In addition, the concepts </w:t>
      </w:r>
      <w:r w:rsidR="00941CC0" w:rsidRPr="00B73D5D">
        <w:rPr>
          <w:rFonts w:asciiTheme="majorBidi" w:hAnsiTheme="majorBidi" w:cstheme="majorBidi"/>
          <w:sz w:val="24"/>
          <w:szCs w:val="24"/>
        </w:rPr>
        <w:t xml:space="preserve">which were listed in this </w:t>
      </w:r>
      <w:r w:rsidR="00D9421C" w:rsidRPr="00B73D5D">
        <w:rPr>
          <w:rFonts w:asciiTheme="majorBidi" w:hAnsiTheme="majorBidi" w:cstheme="majorBidi"/>
          <w:sz w:val="24"/>
          <w:szCs w:val="24"/>
        </w:rPr>
        <w:t xml:space="preserve">manual </w:t>
      </w:r>
      <w:r w:rsidR="00941CC0" w:rsidRPr="00B73D5D">
        <w:rPr>
          <w:rFonts w:asciiTheme="majorBidi" w:hAnsiTheme="majorBidi" w:cstheme="majorBidi"/>
          <w:sz w:val="24"/>
          <w:szCs w:val="24"/>
        </w:rPr>
        <w:t>are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harmonized with those in the </w:t>
      </w:r>
      <w:r w:rsidR="00D9421C" w:rsidRPr="00B73D5D">
        <w:rPr>
          <w:rFonts w:asciiTheme="majorBidi" w:hAnsiTheme="majorBidi" w:cstheme="majorBidi"/>
          <w:sz w:val="24"/>
          <w:szCs w:val="24"/>
        </w:rPr>
        <w:t>System of National Accounts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</w:t>
      </w:r>
      <w:r w:rsidR="00D9421C" w:rsidRPr="00B73D5D">
        <w:rPr>
          <w:rFonts w:asciiTheme="majorBidi" w:hAnsiTheme="majorBidi" w:cstheme="majorBidi"/>
          <w:sz w:val="24"/>
          <w:szCs w:val="24"/>
        </w:rPr>
        <w:t>(</w:t>
      </w:r>
      <w:r w:rsidR="00BD2B8B" w:rsidRPr="00B73D5D">
        <w:rPr>
          <w:rFonts w:asciiTheme="majorBidi" w:hAnsiTheme="majorBidi" w:cstheme="majorBidi"/>
          <w:sz w:val="24"/>
          <w:szCs w:val="24"/>
        </w:rPr>
        <w:t>SNA</w:t>
      </w:r>
      <w:r w:rsidR="00941CC0" w:rsidRPr="00B73D5D">
        <w:rPr>
          <w:rFonts w:asciiTheme="majorBidi" w:hAnsiTheme="majorBidi" w:cstheme="majorBidi"/>
          <w:sz w:val="24"/>
          <w:szCs w:val="24"/>
        </w:rPr>
        <w:t xml:space="preserve"> 2008</w:t>
      </w:r>
      <w:r w:rsidR="00D9421C" w:rsidRPr="00B73D5D">
        <w:rPr>
          <w:rFonts w:asciiTheme="majorBidi" w:hAnsiTheme="majorBidi" w:cstheme="majorBidi"/>
          <w:sz w:val="24"/>
          <w:szCs w:val="24"/>
        </w:rPr>
        <w:t>)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and</w:t>
      </w:r>
      <w:r w:rsidR="00D9421C" w:rsidRPr="00B73D5D">
        <w:rPr>
          <w:rFonts w:asciiTheme="majorBidi" w:hAnsiTheme="majorBidi" w:cstheme="majorBidi"/>
          <w:sz w:val="24"/>
          <w:szCs w:val="24"/>
        </w:rPr>
        <w:t xml:space="preserve"> with the 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methodology </w:t>
      </w:r>
      <w:r w:rsidR="00D9421C" w:rsidRPr="00B73D5D">
        <w:rPr>
          <w:rFonts w:asciiTheme="majorBidi" w:hAnsiTheme="majorBidi" w:cstheme="majorBidi"/>
          <w:sz w:val="24"/>
          <w:szCs w:val="24"/>
        </w:rPr>
        <w:t>of the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 </w:t>
      </w:r>
      <w:r w:rsidR="00941CC0" w:rsidRPr="00B73D5D">
        <w:rPr>
          <w:rFonts w:asciiTheme="majorBidi" w:hAnsiTheme="majorBidi" w:cstheme="majorBidi"/>
          <w:sz w:val="24"/>
          <w:szCs w:val="24"/>
        </w:rPr>
        <w:t>F</w:t>
      </w:r>
      <w:r w:rsidR="00D9421C" w:rsidRPr="00B73D5D">
        <w:rPr>
          <w:rFonts w:asciiTheme="majorBidi" w:hAnsiTheme="majorBidi" w:cstheme="majorBidi"/>
          <w:sz w:val="24"/>
          <w:szCs w:val="24"/>
        </w:rPr>
        <w:t xml:space="preserve">inancial and </w:t>
      </w:r>
      <w:r w:rsidR="00BD2B8B" w:rsidRPr="00B73D5D">
        <w:rPr>
          <w:rFonts w:asciiTheme="majorBidi" w:hAnsiTheme="majorBidi" w:cstheme="majorBidi"/>
          <w:sz w:val="24"/>
          <w:szCs w:val="24"/>
        </w:rPr>
        <w:t xml:space="preserve">Monetary </w:t>
      </w:r>
      <w:r w:rsidR="001C47B9" w:rsidRPr="00B73D5D">
        <w:rPr>
          <w:rFonts w:asciiTheme="majorBidi" w:hAnsiTheme="majorBidi" w:cstheme="majorBidi"/>
          <w:sz w:val="24"/>
          <w:szCs w:val="24"/>
        </w:rPr>
        <w:t>Statistics</w:t>
      </w:r>
      <w:r w:rsidR="00941CC0" w:rsidRPr="00B73D5D">
        <w:rPr>
          <w:rFonts w:asciiTheme="majorBidi" w:hAnsiTheme="majorBidi" w:cstheme="majorBidi"/>
          <w:sz w:val="24"/>
          <w:szCs w:val="24"/>
        </w:rPr>
        <w:t>, which was adopted by IMF</w:t>
      </w:r>
      <w:r w:rsidR="00D9421C" w:rsidRPr="00B73D5D">
        <w:rPr>
          <w:rFonts w:asciiTheme="majorBidi" w:hAnsiTheme="majorBidi" w:cstheme="majorBidi"/>
          <w:sz w:val="24"/>
          <w:szCs w:val="24"/>
        </w:rPr>
        <w:t>.</w:t>
      </w:r>
    </w:p>
    <w:p w:rsidR="00D9421C" w:rsidRPr="00B73D5D" w:rsidRDefault="005F43D8" w:rsidP="005F43D8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B73D5D">
        <w:rPr>
          <w:rFonts w:asciiTheme="majorBidi" w:hAnsiTheme="majorBidi" w:cstheme="majorBidi"/>
          <w:sz w:val="24"/>
          <w:szCs w:val="24"/>
        </w:rPr>
        <w:t>T</w:t>
      </w:r>
      <w:r w:rsidR="00D9421C" w:rsidRPr="00B73D5D">
        <w:rPr>
          <w:rFonts w:asciiTheme="majorBidi" w:hAnsiTheme="majorBidi" w:cstheme="majorBidi"/>
          <w:sz w:val="24"/>
          <w:szCs w:val="24"/>
        </w:rPr>
        <w:t>he Statistics</w:t>
      </w:r>
      <w:r w:rsidRPr="00B73D5D">
        <w:rPr>
          <w:rFonts w:asciiTheme="majorBidi" w:hAnsiTheme="majorBidi" w:cstheme="majorBidi"/>
          <w:sz w:val="24"/>
          <w:szCs w:val="24"/>
        </w:rPr>
        <w:t xml:space="preserve"> Department at</w:t>
      </w:r>
      <w:r w:rsidR="00D9421C" w:rsidRPr="00B73D5D">
        <w:rPr>
          <w:rFonts w:asciiTheme="majorBidi" w:hAnsiTheme="majorBidi" w:cstheme="majorBidi"/>
          <w:sz w:val="24"/>
          <w:szCs w:val="24"/>
        </w:rPr>
        <w:t xml:space="preserve"> the International Monetary Fund (IMF)</w:t>
      </w:r>
      <w:r w:rsidRPr="00B73D5D">
        <w:rPr>
          <w:rFonts w:asciiTheme="majorBidi" w:hAnsiTheme="majorBidi" w:cstheme="majorBidi"/>
          <w:sz w:val="24"/>
          <w:szCs w:val="24"/>
        </w:rPr>
        <w:t xml:space="preserve"> had</w:t>
      </w:r>
      <w:r w:rsidR="00D9421C" w:rsidRPr="00B73D5D">
        <w:rPr>
          <w:rFonts w:asciiTheme="majorBidi" w:hAnsiTheme="majorBidi" w:cstheme="majorBidi"/>
          <w:sz w:val="24"/>
          <w:szCs w:val="24"/>
        </w:rPr>
        <w:br/>
        <w:t xml:space="preserve">Prepared the </w:t>
      </w:r>
      <w:r w:rsidRPr="00B73D5D">
        <w:rPr>
          <w:rFonts w:asciiTheme="majorBidi" w:hAnsiTheme="majorBidi" w:cstheme="majorBidi"/>
          <w:sz w:val="24"/>
          <w:szCs w:val="24"/>
        </w:rPr>
        <w:t>BPM6</w:t>
      </w:r>
      <w:r w:rsidR="00D9421C" w:rsidRPr="00B73D5D">
        <w:rPr>
          <w:rFonts w:asciiTheme="majorBidi" w:hAnsiTheme="majorBidi" w:cstheme="majorBidi"/>
          <w:sz w:val="24"/>
          <w:szCs w:val="24"/>
        </w:rPr>
        <w:t xml:space="preserve"> in cooperation with balance of payments </w:t>
      </w:r>
      <w:r w:rsidRPr="00B73D5D">
        <w:rPr>
          <w:rFonts w:asciiTheme="majorBidi" w:hAnsiTheme="majorBidi" w:cstheme="majorBidi"/>
          <w:sz w:val="24"/>
          <w:szCs w:val="24"/>
        </w:rPr>
        <w:t xml:space="preserve">technical </w:t>
      </w:r>
      <w:r w:rsidR="00D9421C" w:rsidRPr="00B73D5D">
        <w:rPr>
          <w:rFonts w:asciiTheme="majorBidi" w:hAnsiTheme="majorBidi" w:cstheme="majorBidi"/>
          <w:sz w:val="24"/>
          <w:szCs w:val="24"/>
        </w:rPr>
        <w:t xml:space="preserve">experts </w:t>
      </w:r>
      <w:r w:rsidRPr="00B73D5D">
        <w:rPr>
          <w:rFonts w:asciiTheme="majorBidi" w:hAnsiTheme="majorBidi" w:cstheme="majorBidi"/>
          <w:sz w:val="24"/>
          <w:szCs w:val="24"/>
        </w:rPr>
        <w:t xml:space="preserve">group </w:t>
      </w:r>
      <w:r w:rsidR="00D9421C" w:rsidRPr="00B73D5D">
        <w:rPr>
          <w:rFonts w:asciiTheme="majorBidi" w:hAnsiTheme="majorBidi" w:cstheme="majorBidi"/>
          <w:sz w:val="24"/>
          <w:szCs w:val="24"/>
        </w:rPr>
        <w:t xml:space="preserve">and </w:t>
      </w:r>
      <w:r w:rsidRPr="00B73D5D">
        <w:rPr>
          <w:rFonts w:asciiTheme="majorBidi" w:hAnsiTheme="majorBidi" w:cstheme="majorBidi"/>
          <w:sz w:val="24"/>
          <w:szCs w:val="24"/>
        </w:rPr>
        <w:t xml:space="preserve">other </w:t>
      </w:r>
      <w:r w:rsidR="00D9421C" w:rsidRPr="00B73D5D">
        <w:rPr>
          <w:rFonts w:asciiTheme="majorBidi" w:hAnsiTheme="majorBidi" w:cstheme="majorBidi"/>
          <w:sz w:val="24"/>
          <w:szCs w:val="24"/>
        </w:rPr>
        <w:t>international and regional organizations.</w:t>
      </w:r>
    </w:p>
    <w:p w:rsidR="009A616B" w:rsidRPr="008E3CFB" w:rsidRDefault="009A616B" w:rsidP="006B7B72">
      <w:pPr>
        <w:spacing w:after="0"/>
        <w:jc w:val="both"/>
        <w:rPr>
          <w:rFonts w:cs="Simplified Arabic"/>
          <w:b/>
          <w:bCs/>
          <w:sz w:val="24"/>
          <w:szCs w:val="24"/>
          <w:rtl/>
        </w:rPr>
      </w:pPr>
    </w:p>
    <w:p w:rsidR="00B73D5D" w:rsidRDefault="006B7B72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4471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73D5D">
        <w:rPr>
          <w:rFonts w:ascii="Times New Roman" w:hAnsi="Times New Roman" w:cs="Times New Roman"/>
          <w:b/>
          <w:bCs/>
          <w:sz w:val="24"/>
          <w:szCs w:val="24"/>
        </w:rPr>
        <w:t>Structural  classification:</w:t>
      </w:r>
    </w:p>
    <w:p w:rsidR="00B73D5D" w:rsidRDefault="00B73D5D" w:rsidP="00B73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B73D5D">
        <w:rPr>
          <w:rFonts w:ascii="Simplified Arabic" w:hAnsi="Simplified Arabic" w:cs="Simplified Arabic"/>
          <w:sz w:val="24"/>
          <w:szCs w:val="24"/>
        </w:rPr>
        <w:t>The Manual has 14 chapters and 9 appendixes.</w:t>
      </w:r>
      <w:r>
        <w:rPr>
          <w:rFonts w:ascii="Simplified Arabic" w:hAnsi="Simplified Arabic" w:cs="Simplified Arabic"/>
          <w:sz w:val="24"/>
          <w:szCs w:val="24"/>
        </w:rPr>
        <w:t xml:space="preserve">  </w:t>
      </w:r>
      <w:r w:rsidRPr="00B73D5D">
        <w:rPr>
          <w:rFonts w:ascii="Simplified Arabic" w:hAnsi="Simplified Arabic" w:cs="Simplified Arabic"/>
          <w:sz w:val="24"/>
          <w:szCs w:val="24"/>
        </w:rPr>
        <w:t>The introductory chapters deal with issues that cut across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the accounts (Chapters 1</w:t>
      </w:r>
      <w:r w:rsidRPr="00B73D5D">
        <w:rPr>
          <w:rFonts w:ascii="Simplified Arabic" w:hAnsi="Simplified Arabic" w:cs="Simplified Arabic" w:hint="cs"/>
          <w:sz w:val="24"/>
          <w:szCs w:val="24"/>
        </w:rPr>
        <w:t>–</w:t>
      </w:r>
      <w:r w:rsidRPr="00B73D5D">
        <w:rPr>
          <w:rFonts w:ascii="Simplified Arabic" w:hAnsi="Simplified Arabic" w:cs="Simplified Arabic"/>
          <w:sz w:val="24"/>
          <w:szCs w:val="24"/>
        </w:rPr>
        <w:t>6) and are followed by chapters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that cover respectively each main account (Chapters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7</w:t>
      </w:r>
      <w:r w:rsidRPr="00B73D5D">
        <w:rPr>
          <w:rFonts w:ascii="Simplified Arabic" w:hAnsi="Simplified Arabic" w:cs="Simplified Arabic" w:hint="cs"/>
          <w:sz w:val="24"/>
          <w:szCs w:val="24"/>
        </w:rPr>
        <w:t>–</w:t>
      </w:r>
      <w:r w:rsidRPr="00B73D5D">
        <w:rPr>
          <w:rFonts w:ascii="Simplified Arabic" w:hAnsi="Simplified Arabic" w:cs="Simplified Arabic"/>
          <w:sz w:val="24"/>
          <w:szCs w:val="24"/>
        </w:rPr>
        <w:t>13), closing with a chapter on analysis of data. The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Manual states general principles that are intended to be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applicable in a wide range of circumstances. As well, it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applies the principles to some specific topics that have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been identified as needing additional guidance. Definitions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B73D5D">
        <w:rPr>
          <w:rFonts w:ascii="Simplified Arabic" w:hAnsi="Simplified Arabic" w:cs="Simplified Arabic"/>
          <w:sz w:val="24"/>
          <w:szCs w:val="24"/>
        </w:rPr>
        <w:t>are given throughout the text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B73D5D" w:rsidRDefault="00B73D5D" w:rsidP="00B73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EE551F" w:rsidRPr="00EE551F" w:rsidRDefault="00EE551F" w:rsidP="00EE551F">
      <w:pPr>
        <w:bidi w:val="0"/>
        <w:spacing w:after="0" w:line="240" w:lineRule="auto"/>
        <w:ind w:left="720"/>
        <w:jc w:val="both"/>
        <w:rPr>
          <w:rFonts w:cs="Simplified Arabic"/>
          <w:sz w:val="24"/>
          <w:szCs w:val="24"/>
        </w:rPr>
      </w:pPr>
    </w:p>
    <w:p w:rsidR="00EE551F" w:rsidRPr="00EE551F" w:rsidRDefault="00EE551F" w:rsidP="00EE551F">
      <w:pPr>
        <w:bidi w:val="0"/>
        <w:spacing w:after="0" w:line="240" w:lineRule="auto"/>
        <w:ind w:left="720"/>
        <w:jc w:val="both"/>
        <w:rPr>
          <w:rFonts w:cs="Simplified Arabic"/>
          <w:sz w:val="24"/>
          <w:szCs w:val="24"/>
        </w:rPr>
      </w:pPr>
    </w:p>
    <w:p w:rsidR="00AB78F8" w:rsidRDefault="00AB78F8" w:rsidP="00EE551F">
      <w:pPr>
        <w:numPr>
          <w:ilvl w:val="0"/>
          <w:numId w:val="2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lastRenderedPageBreak/>
        <w:t>CURRENT ACCOUNT (net</w:t>
      </w:r>
      <w:r>
        <w:rPr>
          <w:rFonts w:cs="Simplified Arabic" w:hint="cs"/>
          <w:sz w:val="24"/>
          <w:szCs w:val="24"/>
          <w:rtl/>
        </w:rPr>
        <w:t>(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>
        <w:rPr>
          <w:rFonts w:cs="Simplified Arabic"/>
          <w:sz w:val="24"/>
          <w:szCs w:val="24"/>
        </w:rPr>
        <w:t xml:space="preserve">Goods and </w:t>
      </w:r>
      <w:r w:rsidRPr="00AB78F8">
        <w:rPr>
          <w:rFonts w:cs="Simplified Arabic"/>
          <w:sz w:val="24"/>
          <w:szCs w:val="24"/>
        </w:rPr>
        <w:t>Services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>
        <w:rPr>
          <w:rFonts w:cs="Simplified Arabic"/>
          <w:sz w:val="24"/>
          <w:szCs w:val="24"/>
        </w:rPr>
        <w:t xml:space="preserve">Primary Income 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Secondary Income transfers</w:t>
      </w:r>
    </w:p>
    <w:p w:rsidR="00AB78F8" w:rsidRDefault="00AB78F8" w:rsidP="00AB78F8">
      <w:pPr>
        <w:numPr>
          <w:ilvl w:val="0"/>
          <w:numId w:val="2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>
        <w:rPr>
          <w:rFonts w:cs="Simplified Arabic"/>
          <w:sz w:val="24"/>
          <w:szCs w:val="24"/>
        </w:rPr>
        <w:t>Capital account (net)</w:t>
      </w:r>
    </w:p>
    <w:p w:rsidR="00AB78F8" w:rsidRDefault="00AB78F8" w:rsidP="00AB78F8">
      <w:pPr>
        <w:numPr>
          <w:ilvl w:val="0"/>
          <w:numId w:val="2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Net lending (+) / net borrowing (-) (balance from current and capital account)</w:t>
      </w:r>
    </w:p>
    <w:p w:rsidR="00AB78F8" w:rsidRDefault="00AB78F8" w:rsidP="00AB78F8">
      <w:pPr>
        <w:numPr>
          <w:ilvl w:val="0"/>
          <w:numId w:val="2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Net lending (+) / net borrowing (-) (balance from finan</w:t>
      </w:r>
      <w:r>
        <w:rPr>
          <w:rFonts w:cs="Simplified Arabic"/>
          <w:sz w:val="24"/>
          <w:szCs w:val="24"/>
        </w:rPr>
        <w:t>cial account)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Direct investment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Portfolio investment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Financial derivatives (other than reserves) and employee stock options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Other investment</w:t>
      </w:r>
    </w:p>
    <w:p w:rsidR="00AB78F8" w:rsidRDefault="00AB78F8" w:rsidP="00AB78F8">
      <w:pPr>
        <w:numPr>
          <w:ilvl w:val="0"/>
          <w:numId w:val="8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 w:rsidRPr="00AB78F8">
        <w:rPr>
          <w:rFonts w:cs="Simplified Arabic"/>
          <w:sz w:val="24"/>
          <w:szCs w:val="24"/>
        </w:rPr>
        <w:t>Change in  Reserve Assets</w:t>
      </w:r>
    </w:p>
    <w:p w:rsidR="00AB78F8" w:rsidRDefault="00AB78F8" w:rsidP="00AB78F8">
      <w:pPr>
        <w:numPr>
          <w:ilvl w:val="0"/>
          <w:numId w:val="2"/>
        </w:num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  <w:r>
        <w:rPr>
          <w:rFonts w:cs="Simplified Arabic"/>
          <w:sz w:val="24"/>
          <w:szCs w:val="24"/>
        </w:rPr>
        <w:t>Errors and omissions, (net)</w:t>
      </w:r>
    </w:p>
    <w:p w:rsidR="00B73D5D" w:rsidRDefault="00B73D5D" w:rsidP="00B73D5D">
      <w:pPr>
        <w:bidi w:val="0"/>
        <w:spacing w:after="0" w:line="240" w:lineRule="auto"/>
        <w:jc w:val="both"/>
        <w:rPr>
          <w:rFonts w:cs="Simplified Arabic"/>
          <w:sz w:val="24"/>
          <w:szCs w:val="24"/>
        </w:rPr>
      </w:pPr>
    </w:p>
    <w:p w:rsidR="00B73D5D" w:rsidRDefault="00B73D5D" w:rsidP="00B73D5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3D5D" w:rsidRPr="00B73D5D" w:rsidRDefault="00B73D5D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 of</w:t>
      </w:r>
      <w:r w:rsidRPr="00B73D5D">
        <w:rPr>
          <w:rFonts w:ascii="Times New Roman" w:hAnsi="Times New Roman" w:cs="Times New Roman"/>
          <w:b/>
          <w:bCs/>
          <w:sz w:val="24"/>
          <w:szCs w:val="24"/>
        </w:rPr>
        <w:t xml:space="preserve"> Classification:</w:t>
      </w:r>
    </w:p>
    <w:p w:rsidR="00B73D5D" w:rsidRDefault="00B73D5D" w:rsidP="00B73D5D">
      <w:pPr>
        <w:bidi w:val="0"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</w:rPr>
        <w:t>Balance of payments is an</w:t>
      </w:r>
      <w:r w:rsidRPr="0068326E">
        <w:rPr>
          <w:rFonts w:ascii="Simplified Arabic" w:hAnsi="Simplified Arabic" w:cs="Simplified Arabic"/>
          <w:sz w:val="24"/>
          <w:szCs w:val="24"/>
        </w:rPr>
        <w:t xml:space="preserve"> account records the value of the rights and debts between a country and the </w:t>
      </w:r>
      <w:r>
        <w:rPr>
          <w:rFonts w:ascii="Simplified Arabic" w:hAnsi="Simplified Arabic" w:cs="Simplified Arabic"/>
          <w:sz w:val="24"/>
          <w:szCs w:val="24"/>
        </w:rPr>
        <w:t>rest of the</w:t>
      </w:r>
      <w:r w:rsidRPr="0068326E">
        <w:rPr>
          <w:rFonts w:ascii="Simplified Arabic" w:hAnsi="Simplified Arabic" w:cs="Simplified Arabic"/>
          <w:sz w:val="24"/>
          <w:szCs w:val="24"/>
        </w:rPr>
        <w:t xml:space="preserve"> world</w:t>
      </w:r>
      <w:r>
        <w:rPr>
          <w:rFonts w:ascii="Simplified Arabic" w:hAnsi="Simplified Arabic" w:cs="Simplified Arabic"/>
          <w:sz w:val="24"/>
          <w:szCs w:val="24"/>
        </w:rPr>
        <w:t>,</w:t>
      </w:r>
      <w:r w:rsidRPr="0068326E">
        <w:rPr>
          <w:rFonts w:ascii="Simplified Arabic" w:hAnsi="Simplified Arabic" w:cs="Simplified Arabic"/>
          <w:sz w:val="24"/>
          <w:szCs w:val="24"/>
        </w:rPr>
        <w:t xml:space="preserve"> as a result of exchanges and transactions between residents of this country and </w:t>
      </w:r>
      <w:r>
        <w:rPr>
          <w:rFonts w:ascii="Simplified Arabic" w:hAnsi="Simplified Arabic" w:cs="Simplified Arabic"/>
          <w:sz w:val="24"/>
          <w:szCs w:val="24"/>
        </w:rPr>
        <w:t>non-residents</w:t>
      </w:r>
      <w:r w:rsidRPr="0068326E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</w:rPr>
        <w:t xml:space="preserve">during </w:t>
      </w:r>
      <w:r w:rsidRPr="0068326E">
        <w:rPr>
          <w:rFonts w:ascii="Simplified Arabic" w:hAnsi="Simplified Arabic" w:cs="Simplified Arabic"/>
          <w:sz w:val="24"/>
          <w:szCs w:val="24"/>
        </w:rPr>
        <w:t>a period of time, usually one ye</w:t>
      </w:r>
      <w:r>
        <w:rPr>
          <w:rFonts w:ascii="Simplified Arabic" w:hAnsi="Simplified Arabic" w:cs="Simplified Arabic"/>
          <w:sz w:val="24"/>
          <w:szCs w:val="24"/>
        </w:rPr>
        <w:t>ar.</w:t>
      </w:r>
    </w:p>
    <w:p w:rsidR="00B44713" w:rsidRDefault="00B44713" w:rsidP="00B44713">
      <w:pPr>
        <w:bidi w:val="0"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</w:p>
    <w:p w:rsidR="00B44713" w:rsidRDefault="00B44713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Name the corresponding International Standard Classification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4713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4713" w:rsidRPr="00B44713" w:rsidRDefault="00B44713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Link of International Standard Classification on the Internet</w:t>
      </w:r>
      <w:r w:rsidRPr="00B447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44713" w:rsidRDefault="00F0552A" w:rsidP="00B44713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B44713" w:rsidRPr="00F33CED">
          <w:rPr>
            <w:rStyle w:val="Hyperlink"/>
            <w:b/>
            <w:bCs/>
            <w:sz w:val="24"/>
            <w:szCs w:val="24"/>
          </w:rPr>
          <w:t>https://www.imf.org/external/ns/search.aspx?lan=eng&amp;NewQuery=BPM6&amp;col=SITENG&amp;page=8&amp;sort=Score&amp;Filter_Val=N&amp;iso=&amp;requestfrom=country&amp;countryname</w:t>
        </w:r>
      </w:hyperlink>
      <w:r w:rsidR="00B4471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B44713" w:rsidRDefault="00B44713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Date of commencement of the use of the current version</w:t>
      </w:r>
      <w:r w:rsidRPr="00B447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4713">
        <w:rPr>
          <w:rFonts w:ascii="Times New Roman" w:hAnsi="Times New Roman" w:cs="Times New Roman" w:hint="cs"/>
          <w:sz w:val="24"/>
          <w:szCs w:val="24"/>
          <w:rtl/>
        </w:rPr>
        <w:t>2009</w:t>
      </w:r>
    </w:p>
    <w:p w:rsidR="00B44713" w:rsidRDefault="00B44713" w:rsidP="00B44713">
      <w:pPr>
        <w:numPr>
          <w:ilvl w:val="0"/>
          <w:numId w:val="10"/>
        </w:numPr>
        <w:bidi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Previous local versions of the classification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4713">
        <w:rPr>
          <w:rFonts w:ascii="Times New Roman" w:hAnsi="Times New Roman" w:cs="Times New Roman"/>
          <w:sz w:val="24"/>
          <w:szCs w:val="24"/>
        </w:rPr>
        <w:t>N 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470B" w:rsidRDefault="00B44713" w:rsidP="008447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470B">
        <w:rPr>
          <w:rFonts w:ascii="Times New Roman" w:hAnsi="Times New Roman" w:cs="Times New Roman"/>
          <w:b/>
          <w:bCs/>
          <w:sz w:val="24"/>
          <w:szCs w:val="24"/>
        </w:rPr>
        <w:t>Previous International standard versions of classification:</w:t>
      </w:r>
    </w:p>
    <w:p w:rsidR="0084470B" w:rsidRDefault="0084470B" w:rsidP="008447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70B" w:rsidRPr="0084470B" w:rsidRDefault="0084470B" w:rsidP="008447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470B">
        <w:rPr>
          <w:rFonts w:ascii="Times New Roman" w:hAnsi="Times New Roman" w:cs="Times New Roman"/>
          <w:i/>
          <w:iCs/>
          <w:sz w:val="24"/>
          <w:szCs w:val="24"/>
        </w:rPr>
        <w:t>BALANCEOF PAYMENTS MANUAL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fifth Edition 1993 </w:t>
      </w:r>
    </w:p>
    <w:p w:rsidR="001174FC" w:rsidRPr="00EE551F" w:rsidRDefault="001174FC" w:rsidP="00EE551F">
      <w:pPr>
        <w:bidi w:val="0"/>
        <w:rPr>
          <w:rFonts w:cs="Simplified Arabic"/>
          <w:sz w:val="24"/>
          <w:szCs w:val="24"/>
          <w:rtl/>
        </w:rPr>
      </w:pPr>
    </w:p>
    <w:p w:rsidR="006B7B72" w:rsidRDefault="006B7B72" w:rsidP="006B7B72">
      <w:pPr>
        <w:jc w:val="both"/>
        <w:rPr>
          <w:sz w:val="24"/>
          <w:szCs w:val="24"/>
          <w:rtl/>
        </w:rPr>
      </w:pPr>
    </w:p>
    <w:p w:rsidR="002E21CE" w:rsidRPr="006B7B72" w:rsidRDefault="002E21CE" w:rsidP="006B7B72">
      <w:pPr>
        <w:rPr>
          <w:sz w:val="24"/>
          <w:rtl/>
        </w:rPr>
      </w:pPr>
    </w:p>
    <w:sectPr w:rsidR="002E21CE" w:rsidRPr="006B7B72" w:rsidSect="007964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527"/>
    <w:multiLevelType w:val="hybridMultilevel"/>
    <w:tmpl w:val="CB3E7E62"/>
    <w:lvl w:ilvl="0" w:tplc="3E48DB6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E65CF"/>
    <w:multiLevelType w:val="hybridMultilevel"/>
    <w:tmpl w:val="2A6E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DE6"/>
    <w:multiLevelType w:val="hybridMultilevel"/>
    <w:tmpl w:val="70F290FA"/>
    <w:lvl w:ilvl="0" w:tplc="77BE3C7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70BF"/>
    <w:multiLevelType w:val="hybridMultilevel"/>
    <w:tmpl w:val="AAEE14E8"/>
    <w:lvl w:ilvl="0" w:tplc="DA126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742C2"/>
    <w:multiLevelType w:val="hybridMultilevel"/>
    <w:tmpl w:val="C29E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A48A7"/>
    <w:multiLevelType w:val="hybridMultilevel"/>
    <w:tmpl w:val="D4CA0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72EEE"/>
    <w:multiLevelType w:val="hybridMultilevel"/>
    <w:tmpl w:val="1884E400"/>
    <w:lvl w:ilvl="0" w:tplc="3E48DB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4E7668"/>
    <w:multiLevelType w:val="hybridMultilevel"/>
    <w:tmpl w:val="C834E580"/>
    <w:lvl w:ilvl="0" w:tplc="6A8E652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D13D4"/>
    <w:multiLevelType w:val="hybridMultilevel"/>
    <w:tmpl w:val="D3920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430DF2"/>
    <w:multiLevelType w:val="hybridMultilevel"/>
    <w:tmpl w:val="78A0154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1A3D"/>
    <w:rsid w:val="0005517C"/>
    <w:rsid w:val="00061E33"/>
    <w:rsid w:val="001174FC"/>
    <w:rsid w:val="00153D16"/>
    <w:rsid w:val="001C47B9"/>
    <w:rsid w:val="001C67F2"/>
    <w:rsid w:val="001E1C95"/>
    <w:rsid w:val="001E52C0"/>
    <w:rsid w:val="001F07B5"/>
    <w:rsid w:val="002121E2"/>
    <w:rsid w:val="0023740D"/>
    <w:rsid w:val="00253F44"/>
    <w:rsid w:val="00266AB6"/>
    <w:rsid w:val="002C2AC8"/>
    <w:rsid w:val="002E21CE"/>
    <w:rsid w:val="00323B05"/>
    <w:rsid w:val="003C1E7C"/>
    <w:rsid w:val="003D5AC1"/>
    <w:rsid w:val="00523049"/>
    <w:rsid w:val="00525406"/>
    <w:rsid w:val="0053546B"/>
    <w:rsid w:val="005F43D8"/>
    <w:rsid w:val="005F5CC0"/>
    <w:rsid w:val="0060691C"/>
    <w:rsid w:val="00607EAC"/>
    <w:rsid w:val="00625DB9"/>
    <w:rsid w:val="006379DC"/>
    <w:rsid w:val="0067422B"/>
    <w:rsid w:val="0068326E"/>
    <w:rsid w:val="006A31F3"/>
    <w:rsid w:val="006B7B72"/>
    <w:rsid w:val="006E7B58"/>
    <w:rsid w:val="00704102"/>
    <w:rsid w:val="00734E3F"/>
    <w:rsid w:val="00753785"/>
    <w:rsid w:val="00786E58"/>
    <w:rsid w:val="00787074"/>
    <w:rsid w:val="007964C6"/>
    <w:rsid w:val="00826C71"/>
    <w:rsid w:val="0084470B"/>
    <w:rsid w:val="008555CA"/>
    <w:rsid w:val="008632CF"/>
    <w:rsid w:val="00863EC0"/>
    <w:rsid w:val="0089642B"/>
    <w:rsid w:val="008C0BB6"/>
    <w:rsid w:val="008D2F4D"/>
    <w:rsid w:val="008D402B"/>
    <w:rsid w:val="00907326"/>
    <w:rsid w:val="00933E0E"/>
    <w:rsid w:val="00941CC0"/>
    <w:rsid w:val="00945414"/>
    <w:rsid w:val="009A616B"/>
    <w:rsid w:val="009B1F65"/>
    <w:rsid w:val="009D0026"/>
    <w:rsid w:val="00AA60B4"/>
    <w:rsid w:val="00AB78F8"/>
    <w:rsid w:val="00B44713"/>
    <w:rsid w:val="00B5788E"/>
    <w:rsid w:val="00B73D5D"/>
    <w:rsid w:val="00B840BD"/>
    <w:rsid w:val="00BA5F43"/>
    <w:rsid w:val="00BD2B8B"/>
    <w:rsid w:val="00BD6372"/>
    <w:rsid w:val="00BE3FD5"/>
    <w:rsid w:val="00C173B9"/>
    <w:rsid w:val="00C75AC3"/>
    <w:rsid w:val="00C955E1"/>
    <w:rsid w:val="00CC24BE"/>
    <w:rsid w:val="00CF47EB"/>
    <w:rsid w:val="00D565CA"/>
    <w:rsid w:val="00D81A3D"/>
    <w:rsid w:val="00D82588"/>
    <w:rsid w:val="00D878A6"/>
    <w:rsid w:val="00D9421C"/>
    <w:rsid w:val="00D9651E"/>
    <w:rsid w:val="00DB0E2B"/>
    <w:rsid w:val="00DD371D"/>
    <w:rsid w:val="00DF59D6"/>
    <w:rsid w:val="00E20F53"/>
    <w:rsid w:val="00E42D10"/>
    <w:rsid w:val="00E817E7"/>
    <w:rsid w:val="00E83350"/>
    <w:rsid w:val="00E85C0A"/>
    <w:rsid w:val="00EA5ED7"/>
    <w:rsid w:val="00EE551F"/>
    <w:rsid w:val="00F02BF1"/>
    <w:rsid w:val="00F0552A"/>
    <w:rsid w:val="00F136A6"/>
    <w:rsid w:val="00F31345"/>
    <w:rsid w:val="00F73A19"/>
    <w:rsid w:val="00F80735"/>
    <w:rsid w:val="00FA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C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F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7EAC"/>
    <w:rPr>
      <w:color w:val="800080"/>
      <w:u w:val="single"/>
    </w:rPr>
  </w:style>
  <w:style w:type="table" w:styleId="TableGrid">
    <w:name w:val="Table Grid"/>
    <w:basedOn w:val="TableNormal"/>
    <w:uiPriority w:val="59"/>
    <w:rsid w:val="0052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7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9A6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03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46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8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84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9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35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f.org/external/ns/search.aspx?lan=eng&amp;NewQuery=BPM6&amp;col=SITENG&amp;page=8&amp;sort=Score&amp;Filter_Val=N&amp;iso=&amp;requestfrom=country&amp;countryna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5806-CA94-4BB5-B422-01EEC970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hmugamis</dc:creator>
  <cp:lastModifiedBy>maherit</cp:lastModifiedBy>
  <cp:revision>2</cp:revision>
  <dcterms:created xsi:type="dcterms:W3CDTF">2019-02-04T09:21:00Z</dcterms:created>
  <dcterms:modified xsi:type="dcterms:W3CDTF">2019-02-04T09:21:00Z</dcterms:modified>
</cp:coreProperties>
</file>