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97" w:rsidRDefault="005F5797" w:rsidP="005F5797">
      <w:pPr>
        <w:bidi w:val="0"/>
        <w:jc w:val="center"/>
        <w:rPr>
          <w:color w:val="000000"/>
        </w:rPr>
      </w:pPr>
      <w:r>
        <w:rPr>
          <w:color w:val="000000"/>
        </w:rPr>
        <w:t>Chapter One</w:t>
      </w:r>
    </w:p>
    <w:p w:rsidR="00221A2C" w:rsidRDefault="00221A2C" w:rsidP="005F5797">
      <w:pPr>
        <w:rPr>
          <w:color w:val="000000"/>
          <w:rtl/>
        </w:rPr>
      </w:pPr>
    </w:p>
    <w:p w:rsidR="00221A2C" w:rsidRDefault="00FB72EF" w:rsidP="00FB72EF">
      <w:pPr>
        <w:pStyle w:val="Heading2"/>
        <w:rPr>
          <w:color w:val="000000"/>
          <w:rtl/>
          <w:lang w:val="en-GB"/>
        </w:rPr>
      </w:pPr>
      <w:r>
        <w:rPr>
          <w:color w:val="000000"/>
        </w:rPr>
        <w:t>Terms</w:t>
      </w:r>
      <w:r w:rsidR="007F6F31">
        <w:rPr>
          <w:color w:val="000000"/>
        </w:rPr>
        <w:t>,</w:t>
      </w:r>
      <w:r w:rsidR="00221A2C">
        <w:rPr>
          <w:color w:val="000000"/>
        </w:rPr>
        <w:t xml:space="preserve"> </w:t>
      </w:r>
      <w:r>
        <w:rPr>
          <w:color w:val="000000"/>
        </w:rPr>
        <w:t>Indicators</w:t>
      </w:r>
      <w:r w:rsidR="007F6F31">
        <w:rPr>
          <w:color w:val="000000"/>
        </w:rPr>
        <w:t xml:space="preserve"> and Classifications</w:t>
      </w:r>
    </w:p>
    <w:p w:rsidR="00221A2C" w:rsidRDefault="00221A2C" w:rsidP="00221A2C">
      <w:pPr>
        <w:rPr>
          <w:color w:val="000000"/>
          <w:rtl/>
          <w:lang w:val="en-GB"/>
        </w:rPr>
      </w:pPr>
    </w:p>
    <w:p w:rsidR="007F6F31" w:rsidRPr="00A528FD" w:rsidRDefault="00883E2D" w:rsidP="00FB72EF">
      <w:pPr>
        <w:pStyle w:val="Heading2"/>
        <w:jc w:val="left"/>
        <w:rPr>
          <w:color w:val="000000" w:themeColor="text1"/>
          <w:sz w:val="24"/>
          <w:szCs w:val="24"/>
          <w:rtl/>
        </w:rPr>
      </w:pPr>
      <w:r w:rsidRPr="00A528FD">
        <w:rPr>
          <w:color w:val="000000" w:themeColor="text1"/>
          <w:sz w:val="24"/>
          <w:szCs w:val="24"/>
        </w:rPr>
        <w:t>1</w:t>
      </w:r>
      <w:r w:rsidR="00221A2C" w:rsidRPr="00A528FD">
        <w:rPr>
          <w:color w:val="000000" w:themeColor="text1"/>
          <w:sz w:val="24"/>
          <w:szCs w:val="24"/>
        </w:rPr>
        <w:t>.1</w:t>
      </w:r>
      <w:r w:rsidR="007F6F31" w:rsidRPr="00A528FD">
        <w:rPr>
          <w:color w:val="000000" w:themeColor="text1"/>
          <w:sz w:val="24"/>
          <w:szCs w:val="24"/>
        </w:rPr>
        <w:t xml:space="preserve"> </w:t>
      </w:r>
      <w:r w:rsidR="00221A2C" w:rsidRPr="00A528FD">
        <w:rPr>
          <w:color w:val="000000" w:themeColor="text1"/>
          <w:sz w:val="24"/>
          <w:szCs w:val="24"/>
        </w:rPr>
        <w:t xml:space="preserve"> </w:t>
      </w:r>
      <w:r w:rsidR="00FB72EF" w:rsidRPr="00A528FD">
        <w:rPr>
          <w:color w:val="000000" w:themeColor="text1"/>
          <w:sz w:val="24"/>
          <w:szCs w:val="24"/>
        </w:rPr>
        <w:t>Terms</w:t>
      </w:r>
      <w:r w:rsidR="007F6F31" w:rsidRPr="00A528FD">
        <w:rPr>
          <w:color w:val="000000" w:themeColor="text1"/>
          <w:sz w:val="24"/>
          <w:szCs w:val="24"/>
        </w:rPr>
        <w:t xml:space="preserve"> and </w:t>
      </w:r>
      <w:r w:rsidR="00FB72EF" w:rsidRPr="00A528FD">
        <w:rPr>
          <w:color w:val="000000" w:themeColor="text1"/>
          <w:sz w:val="24"/>
          <w:szCs w:val="24"/>
        </w:rPr>
        <w:t>Indicators</w:t>
      </w:r>
    </w:p>
    <w:p w:rsidR="007F6F31" w:rsidRPr="00502FAA" w:rsidRDefault="007F6F31" w:rsidP="00221A2C">
      <w:pPr>
        <w:bidi w:val="0"/>
        <w:ind w:left="-540" w:firstLine="540"/>
        <w:rPr>
          <w:b/>
          <w:bCs/>
          <w:color w:val="000000" w:themeColor="text1"/>
          <w:sz w:val="16"/>
          <w:szCs w:val="16"/>
        </w:rPr>
      </w:pPr>
    </w:p>
    <w:p w:rsidR="00221A2C" w:rsidRPr="00A528FD" w:rsidRDefault="007F6F31" w:rsidP="007F6F31">
      <w:pPr>
        <w:bidi w:val="0"/>
        <w:ind w:left="-540" w:firstLine="540"/>
        <w:rPr>
          <w:b/>
          <w:bCs/>
          <w:color w:val="000000" w:themeColor="text1"/>
        </w:rPr>
      </w:pPr>
      <w:r w:rsidRPr="00A528FD">
        <w:rPr>
          <w:b/>
          <w:bCs/>
          <w:color w:val="000000" w:themeColor="text1"/>
        </w:rPr>
        <w:t xml:space="preserve">1.1.1 </w:t>
      </w:r>
      <w:r w:rsidR="00C36779">
        <w:rPr>
          <w:b/>
          <w:bCs/>
          <w:color w:val="000000" w:themeColor="text1"/>
        </w:rPr>
        <w:t xml:space="preserve"> </w:t>
      </w:r>
      <w:r w:rsidR="00221A2C" w:rsidRPr="00A528FD">
        <w:rPr>
          <w:b/>
          <w:bCs/>
          <w:color w:val="000000" w:themeColor="text1"/>
        </w:rPr>
        <w:t xml:space="preserve">General Concepts </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Health Accounts:</w:t>
      </w:r>
    </w:p>
    <w:p w:rsidR="00221A2C" w:rsidRPr="00A528FD" w:rsidRDefault="00221A2C" w:rsidP="00B55B97">
      <w:pPr>
        <w:autoSpaceDE w:val="0"/>
        <w:autoSpaceDN w:val="0"/>
        <w:bidi w:val="0"/>
        <w:adjustRightInd w:val="0"/>
        <w:jc w:val="both"/>
        <w:rPr>
          <w:color w:val="000000" w:themeColor="text1"/>
        </w:rPr>
      </w:pPr>
      <w:r w:rsidRPr="00A528FD">
        <w:rPr>
          <w:color w:val="000000" w:themeColor="text1"/>
        </w:rPr>
        <w:t xml:space="preserve">It proposes a framework for the systematic description of the financial flows related to health care. The aim of SHA is to describe the health care system from an expenditure perspective both for international and national purposes. It is an essential part of assessing the success of the health care system and of identifying opportunities for improvement.  </w:t>
      </w:r>
    </w:p>
    <w:p w:rsidR="00221A2C" w:rsidRPr="00A528FD" w:rsidRDefault="00221A2C" w:rsidP="00221A2C">
      <w:pPr>
        <w:jc w:val="both"/>
        <w:rPr>
          <w:b/>
          <w:bCs/>
          <w:color w:val="000000" w:themeColor="text1"/>
          <w:sz w:val="16"/>
          <w:szCs w:val="16"/>
          <w:u w:val="single"/>
        </w:rPr>
      </w:pPr>
    </w:p>
    <w:p w:rsidR="00221A2C" w:rsidRPr="00A528FD" w:rsidRDefault="00221A2C" w:rsidP="00B55B97">
      <w:pPr>
        <w:bidi w:val="0"/>
        <w:jc w:val="both"/>
        <w:rPr>
          <w:color w:val="000000" w:themeColor="text1"/>
        </w:rPr>
      </w:pPr>
      <w:r w:rsidRPr="00A528FD">
        <w:rPr>
          <w:b/>
          <w:bCs/>
          <w:color w:val="000000" w:themeColor="text1"/>
        </w:rPr>
        <w:t>Current expenditure:</w:t>
      </w:r>
      <w:r w:rsidRPr="00A528FD">
        <w:rPr>
          <w:color w:val="000000" w:themeColor="text1"/>
        </w:rPr>
        <w:t xml:space="preserve"> </w:t>
      </w:r>
    </w:p>
    <w:p w:rsidR="00221A2C" w:rsidRPr="00A528FD" w:rsidRDefault="00221A2C" w:rsidP="00B55B97">
      <w:pPr>
        <w:bidi w:val="0"/>
        <w:jc w:val="both"/>
        <w:rPr>
          <w:color w:val="000000" w:themeColor="text1"/>
        </w:rPr>
      </w:pPr>
      <w:r w:rsidRPr="00A528FD">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A528FD" w:rsidRDefault="00221A2C" w:rsidP="00221A2C">
      <w:pPr>
        <w:bidi w:val="0"/>
        <w:ind w:right="71"/>
        <w:jc w:val="both"/>
        <w:rPr>
          <w:color w:val="000000" w:themeColor="text1"/>
          <w:sz w:val="16"/>
          <w:szCs w:val="16"/>
        </w:rPr>
      </w:pPr>
    </w:p>
    <w:p w:rsidR="00221A2C" w:rsidRPr="00A528FD" w:rsidRDefault="00221A2C" w:rsidP="00221A2C">
      <w:pPr>
        <w:autoSpaceDE w:val="0"/>
        <w:autoSpaceDN w:val="0"/>
        <w:bidi w:val="0"/>
        <w:adjustRightInd w:val="0"/>
        <w:rPr>
          <w:rFonts w:eastAsiaTheme="minorHAnsi"/>
          <w:color w:val="000000" w:themeColor="text1"/>
          <w:sz w:val="32"/>
          <w:szCs w:val="32"/>
          <w:lang w:eastAsia="en-US"/>
        </w:rPr>
      </w:pPr>
      <w:r w:rsidRPr="00A528FD">
        <w:rPr>
          <w:b/>
          <w:bCs/>
          <w:color w:val="000000" w:themeColor="text1"/>
        </w:rPr>
        <w:t>Capital</w:t>
      </w:r>
      <w:r w:rsidR="00474914" w:rsidRPr="00A528FD">
        <w:rPr>
          <w:b/>
          <w:bCs/>
          <w:color w:val="000000" w:themeColor="text1"/>
        </w:rPr>
        <w:t xml:space="preserve"> Formation</w:t>
      </w:r>
      <w:r w:rsidR="00F77DFF" w:rsidRPr="00A528FD">
        <w:rPr>
          <w:b/>
          <w:bCs/>
          <w:color w:val="000000" w:themeColor="text1"/>
        </w:rPr>
        <w:t xml:space="preserve"> for Health </w:t>
      </w:r>
      <w:r w:rsidR="002D640A" w:rsidRPr="00A528FD">
        <w:rPr>
          <w:b/>
          <w:bCs/>
          <w:color w:val="000000" w:themeColor="text1"/>
        </w:rPr>
        <w:t xml:space="preserve">Care </w:t>
      </w:r>
      <w:r w:rsidR="00F77DFF" w:rsidRPr="00A528FD">
        <w:rPr>
          <w:b/>
          <w:bCs/>
          <w:color w:val="000000" w:themeColor="text1"/>
        </w:rPr>
        <w:t>Providers</w:t>
      </w:r>
      <w:r w:rsidRPr="00A528FD">
        <w:rPr>
          <w:b/>
          <w:bCs/>
          <w:color w:val="000000" w:themeColor="text1"/>
        </w:rPr>
        <w:t>:</w:t>
      </w:r>
      <w:r w:rsidRPr="00A528FD">
        <w:rPr>
          <w:color w:val="000000" w:themeColor="text1"/>
        </w:rPr>
        <w:t xml:space="preserve"> </w:t>
      </w:r>
    </w:p>
    <w:p w:rsidR="00C54B6E" w:rsidRPr="00A528FD" w:rsidRDefault="002D640A" w:rsidP="00C54B6E">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A528FD">
        <w:rPr>
          <w:rFonts w:ascii="Times New Roman" w:eastAsiaTheme="minorEastAsia" w:hAnsi="Times New Roman" w:cs="Times New Roman"/>
          <w:color w:val="000000" w:themeColor="text1"/>
        </w:rPr>
        <w:t>C</w:t>
      </w:r>
      <w:r w:rsidR="00221A2C" w:rsidRPr="00A528FD">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A528FD">
        <w:rPr>
          <w:rFonts w:ascii="Times New Roman" w:eastAsiaTheme="minorEastAsia" w:hAnsi="Times New Roman" w:cs="Times New Roman"/>
          <w:color w:val="000000" w:themeColor="text1"/>
        </w:rPr>
        <w:t xml:space="preserve">d during the accounting period </w:t>
      </w:r>
      <w:r w:rsidR="00221A2C" w:rsidRPr="00A528FD">
        <w:rPr>
          <w:rFonts w:ascii="Times New Roman" w:eastAsiaTheme="minorEastAsia" w:hAnsi="Times New Roman" w:cs="Times New Roman"/>
          <w:color w:val="000000" w:themeColor="text1"/>
        </w:rPr>
        <w:t>less the value of the dispo</w:t>
      </w:r>
      <w:r w:rsidR="00A573AE" w:rsidRPr="00A528FD">
        <w:rPr>
          <w:rFonts w:ascii="Times New Roman" w:eastAsiaTheme="minorEastAsia" w:hAnsi="Times New Roman" w:cs="Times New Roman"/>
          <w:color w:val="000000" w:themeColor="text1"/>
        </w:rPr>
        <w:t>sals of assets of the same type</w:t>
      </w:r>
      <w:r w:rsidR="00221A2C" w:rsidRPr="00A528FD">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A528FD">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A528FD" w:rsidRDefault="00221A2C" w:rsidP="00221A2C">
      <w:pPr>
        <w:autoSpaceDE w:val="0"/>
        <w:autoSpaceDN w:val="0"/>
        <w:bidi w:val="0"/>
        <w:adjustRightInd w:val="0"/>
        <w:jc w:val="both"/>
        <w:rPr>
          <w:color w:val="000000" w:themeColor="text1"/>
          <w:sz w:val="16"/>
          <w:szCs w:val="16"/>
        </w:rPr>
      </w:pPr>
    </w:p>
    <w:p w:rsidR="00221A2C" w:rsidRPr="00A528FD" w:rsidRDefault="00221A2C" w:rsidP="00B55B97">
      <w:pPr>
        <w:bidi w:val="0"/>
        <w:rPr>
          <w:b/>
          <w:bCs/>
          <w:color w:val="000000" w:themeColor="text1"/>
        </w:rPr>
      </w:pPr>
      <w:r w:rsidRPr="00A528FD">
        <w:rPr>
          <w:b/>
          <w:bCs/>
          <w:color w:val="000000" w:themeColor="text1"/>
        </w:rPr>
        <w:t>Accrual Basis:</w:t>
      </w:r>
    </w:p>
    <w:p w:rsidR="00221A2C" w:rsidRPr="00A528FD" w:rsidRDefault="00221A2C" w:rsidP="00B55B97">
      <w:pPr>
        <w:bidi w:val="0"/>
        <w:jc w:val="both"/>
        <w:rPr>
          <w:color w:val="000000" w:themeColor="text1"/>
        </w:rPr>
      </w:pPr>
      <w:r w:rsidRPr="00A528FD">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A528FD" w:rsidRDefault="00221A2C" w:rsidP="00B55B97">
      <w:pPr>
        <w:autoSpaceDE w:val="0"/>
        <w:autoSpaceDN w:val="0"/>
        <w:bidi w:val="0"/>
        <w:adjustRightInd w:val="0"/>
        <w:jc w:val="both"/>
        <w:rPr>
          <w:color w:val="000000" w:themeColor="text1"/>
          <w:sz w:val="16"/>
          <w:szCs w:val="16"/>
          <w:rtl/>
        </w:rPr>
      </w:pPr>
    </w:p>
    <w:p w:rsidR="00221A2C" w:rsidRPr="00A528FD" w:rsidRDefault="00221A2C" w:rsidP="00B55B97">
      <w:pPr>
        <w:bidi w:val="0"/>
        <w:jc w:val="both"/>
        <w:rPr>
          <w:b/>
          <w:bCs/>
          <w:color w:val="000000" w:themeColor="text1"/>
        </w:rPr>
      </w:pPr>
      <w:r w:rsidRPr="00A528FD">
        <w:rPr>
          <w:b/>
          <w:bCs/>
          <w:color w:val="000000" w:themeColor="text1"/>
        </w:rPr>
        <w:t>Health Care:</w:t>
      </w:r>
    </w:p>
    <w:p w:rsidR="00221A2C" w:rsidRPr="00A528FD" w:rsidRDefault="00221A2C" w:rsidP="00B55B97">
      <w:pPr>
        <w:tabs>
          <w:tab w:val="left" w:pos="5952"/>
          <w:tab w:val="left" w:pos="8787"/>
        </w:tabs>
        <w:bidi w:val="0"/>
        <w:jc w:val="both"/>
        <w:rPr>
          <w:color w:val="000000" w:themeColor="text1"/>
        </w:rPr>
      </w:pPr>
      <w:r w:rsidRPr="00A528FD">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A528FD" w:rsidRDefault="00221A2C" w:rsidP="00221A2C">
      <w:pPr>
        <w:bidi w:val="0"/>
        <w:ind w:left="-540" w:firstLine="540"/>
        <w:rPr>
          <w:color w:val="000000" w:themeColor="text1"/>
          <w:sz w:val="16"/>
          <w:szCs w:val="16"/>
        </w:rPr>
      </w:pPr>
    </w:p>
    <w:p w:rsidR="00221A2C" w:rsidRPr="00A528FD" w:rsidRDefault="00221A2C" w:rsidP="00B55B97">
      <w:pPr>
        <w:bidi w:val="0"/>
        <w:rPr>
          <w:b/>
          <w:bCs/>
          <w:color w:val="000000" w:themeColor="text1"/>
        </w:rPr>
      </w:pPr>
      <w:r w:rsidRPr="00A528FD">
        <w:rPr>
          <w:b/>
          <w:bCs/>
          <w:color w:val="000000" w:themeColor="text1"/>
        </w:rPr>
        <w:t>Government Sector:</w:t>
      </w:r>
    </w:p>
    <w:p w:rsidR="00221A2C" w:rsidRPr="00A528FD" w:rsidRDefault="00221A2C" w:rsidP="00B55B97">
      <w:pPr>
        <w:bidi w:val="0"/>
        <w:jc w:val="both"/>
        <w:rPr>
          <w:color w:val="000000" w:themeColor="text1"/>
        </w:rPr>
      </w:pPr>
      <w:r w:rsidRPr="00A528FD">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A528FD" w:rsidRDefault="00221A2C" w:rsidP="00221A2C">
      <w:pPr>
        <w:bidi w:val="0"/>
        <w:ind w:left="-540"/>
        <w:rPr>
          <w:b/>
          <w:bCs/>
          <w:color w:val="000000" w:themeColor="text1"/>
          <w:sz w:val="18"/>
          <w:szCs w:val="18"/>
        </w:rPr>
      </w:pPr>
    </w:p>
    <w:p w:rsidR="00221A2C" w:rsidRPr="00A528FD" w:rsidRDefault="00221A2C" w:rsidP="00221A2C">
      <w:pPr>
        <w:bidi w:val="0"/>
        <w:spacing w:after="200" w:line="276" w:lineRule="auto"/>
        <w:rPr>
          <w:b/>
          <w:bCs/>
          <w:color w:val="000000" w:themeColor="text1"/>
        </w:rPr>
      </w:pPr>
      <w:r w:rsidRPr="00A528FD">
        <w:rPr>
          <w:b/>
          <w:bCs/>
          <w:color w:val="000000" w:themeColor="text1"/>
        </w:rPr>
        <w:br w:type="page"/>
      </w:r>
    </w:p>
    <w:p w:rsidR="00221A2C" w:rsidRPr="00A528FD" w:rsidRDefault="00221A2C" w:rsidP="00B55B97">
      <w:pPr>
        <w:bidi w:val="0"/>
        <w:jc w:val="both"/>
        <w:rPr>
          <w:b/>
          <w:bCs/>
          <w:color w:val="000000" w:themeColor="text1"/>
        </w:rPr>
      </w:pPr>
      <w:r w:rsidRPr="00A528FD">
        <w:rPr>
          <w:b/>
          <w:bCs/>
          <w:color w:val="000000" w:themeColor="text1"/>
        </w:rPr>
        <w:lastRenderedPageBreak/>
        <w:t>Non-profit Institution Serving Households (NPISH):</w:t>
      </w:r>
    </w:p>
    <w:p w:rsidR="00221A2C" w:rsidRPr="00A528FD" w:rsidRDefault="00221A2C" w:rsidP="00B55B97">
      <w:pPr>
        <w:bidi w:val="0"/>
        <w:jc w:val="both"/>
        <w:rPr>
          <w:color w:val="000000" w:themeColor="text1"/>
        </w:rPr>
      </w:pPr>
      <w:r w:rsidRPr="00A528FD">
        <w:rPr>
          <w:color w:val="000000" w:themeColor="text1"/>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Household:</w:t>
      </w:r>
    </w:p>
    <w:p w:rsidR="00221A2C" w:rsidRPr="00A528FD" w:rsidRDefault="00221A2C" w:rsidP="00B55B97">
      <w:pPr>
        <w:bidi w:val="0"/>
        <w:jc w:val="both"/>
        <w:rPr>
          <w:color w:val="000000" w:themeColor="text1"/>
        </w:rPr>
      </w:pPr>
      <w:r w:rsidRPr="00A528FD">
        <w:rPr>
          <w:color w:val="000000" w:themeColor="text1"/>
        </w:rPr>
        <w:t>One person or group of persons with or without a family relationship who live in the same dwelling unit, share meals and make joint provisions for food and other essentials of living.</w:t>
      </w:r>
    </w:p>
    <w:p w:rsidR="00221A2C" w:rsidRPr="00A528FD" w:rsidRDefault="00221A2C" w:rsidP="00221A2C">
      <w:pPr>
        <w:bidi w:val="0"/>
        <w:jc w:val="both"/>
        <w:rPr>
          <w:b/>
          <w:bCs/>
          <w:color w:val="000000" w:themeColor="text1"/>
          <w:sz w:val="16"/>
          <w:szCs w:val="16"/>
        </w:rPr>
      </w:pPr>
    </w:p>
    <w:p w:rsidR="00221A2C" w:rsidRPr="00A528FD" w:rsidRDefault="002D640A" w:rsidP="00221A2C">
      <w:pPr>
        <w:bidi w:val="0"/>
        <w:jc w:val="both"/>
        <w:rPr>
          <w:b/>
          <w:bCs/>
          <w:color w:val="000000" w:themeColor="text1"/>
        </w:rPr>
      </w:pPr>
      <w:r w:rsidRPr="00A528FD">
        <w:rPr>
          <w:b/>
          <w:bCs/>
          <w:color w:val="000000" w:themeColor="text1"/>
        </w:rPr>
        <w:t>Residence</w:t>
      </w:r>
      <w:r w:rsidR="00221A2C" w:rsidRPr="00A528FD">
        <w:rPr>
          <w:b/>
          <w:bCs/>
          <w:color w:val="000000" w:themeColor="text1"/>
        </w:rPr>
        <w:t>:</w:t>
      </w:r>
    </w:p>
    <w:p w:rsidR="00221A2C" w:rsidRPr="00A528FD" w:rsidRDefault="00221A2C" w:rsidP="00221A2C">
      <w:pPr>
        <w:bidi w:val="0"/>
        <w:jc w:val="both"/>
        <w:rPr>
          <w:color w:val="000000" w:themeColor="text1"/>
        </w:rPr>
      </w:pPr>
      <w:r w:rsidRPr="00A528FD">
        <w:rPr>
          <w:color w:val="000000" w:themeColor="text1"/>
        </w:rPr>
        <w:t>Persons and establishments are considered residents of the economy wherein their center of economic interest lies; this means that they will undertake a considerable part of their economic activities there. It is defined in economic and not legal terms.  The main criterion to determine residence of an entity is its center of economic interest.  Persons are considered residents of the country where they live for at least one year.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A528FD" w:rsidRDefault="00221A2C" w:rsidP="00221A2C">
      <w:pPr>
        <w:bidi w:val="0"/>
        <w:jc w:val="both"/>
        <w:rPr>
          <w:color w:val="000000" w:themeColor="text1"/>
          <w:sz w:val="18"/>
          <w:szCs w:val="18"/>
        </w:rPr>
      </w:pPr>
    </w:p>
    <w:p w:rsidR="00221A2C" w:rsidRPr="00A528FD" w:rsidRDefault="00221A2C" w:rsidP="00221A2C">
      <w:pPr>
        <w:bidi w:val="0"/>
        <w:jc w:val="both"/>
        <w:rPr>
          <w:color w:val="000000" w:themeColor="text1"/>
        </w:rPr>
      </w:pPr>
      <w:r w:rsidRPr="00A528FD">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A528FD" w:rsidRDefault="00221A2C" w:rsidP="00221A2C">
      <w:pPr>
        <w:bidi w:val="0"/>
        <w:jc w:val="both"/>
        <w:rPr>
          <w:b/>
          <w:bCs/>
          <w:color w:val="000000" w:themeColor="text1"/>
          <w:sz w:val="16"/>
          <w:szCs w:val="16"/>
        </w:rPr>
      </w:pPr>
    </w:p>
    <w:p w:rsidR="00221A2C" w:rsidRPr="00A528FD" w:rsidRDefault="00221A2C" w:rsidP="00221A2C">
      <w:pPr>
        <w:bidi w:val="0"/>
        <w:jc w:val="both"/>
        <w:rPr>
          <w:b/>
          <w:bCs/>
          <w:color w:val="000000" w:themeColor="text1"/>
        </w:rPr>
      </w:pPr>
      <w:r w:rsidRPr="00A528FD">
        <w:rPr>
          <w:b/>
          <w:bCs/>
          <w:color w:val="000000" w:themeColor="text1"/>
        </w:rPr>
        <w:t>Primary Health Care:</w:t>
      </w:r>
    </w:p>
    <w:p w:rsidR="00221A2C" w:rsidRPr="00A528FD" w:rsidRDefault="00221A2C" w:rsidP="00221A2C">
      <w:pPr>
        <w:bidi w:val="0"/>
        <w:jc w:val="both"/>
        <w:rPr>
          <w:color w:val="000000" w:themeColor="text1"/>
        </w:rPr>
      </w:pPr>
      <w:r w:rsidRPr="00A528FD">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A528FD" w:rsidRDefault="00221A2C" w:rsidP="00221A2C">
      <w:pPr>
        <w:bidi w:val="0"/>
        <w:ind w:left="-54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Secondary Care Institutions:</w:t>
      </w:r>
    </w:p>
    <w:p w:rsidR="00221A2C" w:rsidRPr="00A528FD" w:rsidRDefault="00221A2C" w:rsidP="00B55B97">
      <w:pPr>
        <w:bidi w:val="0"/>
        <w:jc w:val="both"/>
        <w:textAlignment w:val="top"/>
        <w:rPr>
          <w:color w:val="000000" w:themeColor="text1"/>
        </w:rPr>
      </w:pPr>
      <w:r w:rsidRPr="00A528FD">
        <w:rPr>
          <w:color w:val="000000" w:themeColor="text1"/>
        </w:rPr>
        <w:t>The institutions providing specialized health care recommended by primary health care providers or in emergency cases.</w:t>
      </w:r>
    </w:p>
    <w:p w:rsidR="00221A2C" w:rsidRPr="00A528FD" w:rsidRDefault="00221A2C" w:rsidP="00221A2C">
      <w:pPr>
        <w:bidi w:val="0"/>
        <w:ind w:left="-540"/>
        <w:rPr>
          <w:b/>
          <w:bCs/>
          <w:color w:val="000000" w:themeColor="text1"/>
          <w:sz w:val="16"/>
          <w:szCs w:val="16"/>
        </w:rPr>
      </w:pPr>
    </w:p>
    <w:p w:rsidR="00221A2C" w:rsidRPr="00A528FD" w:rsidRDefault="00221A2C" w:rsidP="00221A2C">
      <w:pPr>
        <w:bidi w:val="0"/>
        <w:ind w:left="-540" w:firstLine="540"/>
        <w:rPr>
          <w:b/>
          <w:bCs/>
          <w:color w:val="000000" w:themeColor="text1"/>
        </w:rPr>
      </w:pPr>
      <w:r w:rsidRPr="00A528FD">
        <w:rPr>
          <w:b/>
          <w:bCs/>
          <w:color w:val="000000" w:themeColor="text1"/>
          <w:lang w:eastAsia="en-US" w:bidi="ar-JO"/>
        </w:rPr>
        <w:t>Tertiary Health Care:</w:t>
      </w:r>
    </w:p>
    <w:p w:rsidR="00221A2C" w:rsidRPr="00A528FD" w:rsidRDefault="00221A2C" w:rsidP="00221A2C">
      <w:pPr>
        <w:bidi w:val="0"/>
        <w:jc w:val="both"/>
        <w:rPr>
          <w:color w:val="000000" w:themeColor="text1"/>
        </w:rPr>
      </w:pPr>
      <w:r w:rsidRPr="00A528FD">
        <w:rPr>
          <w:color w:val="000000" w:themeColor="text1"/>
        </w:rPr>
        <w:t xml:space="preserve">This includes specialized consultative care, usually on </w:t>
      </w:r>
      <w:hyperlink r:id="rId8" w:tooltip="Referral (medicine)" w:history="1">
        <w:r w:rsidRPr="00A528FD">
          <w:rPr>
            <w:color w:val="000000" w:themeColor="text1"/>
          </w:rPr>
          <w:t>referral</w:t>
        </w:r>
      </w:hyperlink>
      <w:r w:rsidRPr="00A528FD">
        <w:rPr>
          <w:color w:val="000000" w:themeColor="text1"/>
        </w:rPr>
        <w:t xml:space="preserve"> from </w:t>
      </w:r>
      <w:hyperlink r:id="rId9" w:tooltip="Primary care" w:history="1">
        <w:r w:rsidRPr="00A528FD">
          <w:rPr>
            <w:color w:val="000000" w:themeColor="text1"/>
          </w:rPr>
          <w:t>primary</w:t>
        </w:r>
      </w:hyperlink>
      <w:r w:rsidRPr="00A528FD">
        <w:rPr>
          <w:color w:val="000000" w:themeColor="text1"/>
        </w:rPr>
        <w:t xml:space="preserve"> health or </w:t>
      </w:r>
      <w:hyperlink r:id="rId10" w:tooltip="Secondary care" w:history="1">
        <w:r w:rsidRPr="00A528FD">
          <w:rPr>
            <w:color w:val="000000" w:themeColor="text1"/>
          </w:rPr>
          <w:t>secondary medical care</w:t>
        </w:r>
      </w:hyperlink>
      <w:r w:rsidRPr="00A528FD">
        <w:rPr>
          <w:color w:val="000000" w:themeColor="text1"/>
        </w:rPr>
        <w:t xml:space="preserve"> personnel, by specialists working in a center that has personnel and facilities for special examination and treatment.</w:t>
      </w:r>
    </w:p>
    <w:p w:rsidR="00221A2C" w:rsidRPr="00A528FD" w:rsidRDefault="00221A2C" w:rsidP="00221A2C">
      <w:pPr>
        <w:bidi w:val="0"/>
        <w:jc w:val="both"/>
        <w:rPr>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 xml:space="preserve">Rehabilitation Center: </w:t>
      </w:r>
    </w:p>
    <w:p w:rsidR="00221A2C" w:rsidRPr="00A528FD" w:rsidRDefault="00221A2C" w:rsidP="00B55B97">
      <w:pPr>
        <w:bidi w:val="0"/>
        <w:jc w:val="both"/>
        <w:rPr>
          <w:color w:val="000000" w:themeColor="text1"/>
        </w:rPr>
      </w:pPr>
      <w:r w:rsidRPr="00A528FD">
        <w:rPr>
          <w:color w:val="000000" w:themeColor="text1"/>
        </w:rPr>
        <w:t xml:space="preserve"> It is a facility  which provides therapy and training for rehabilitation.  Such centers may offer occupational therapy,  physiotherapy, vocational training, and other kinds of special training such as speech therapy for recovery from injury</w:t>
      </w:r>
      <w:r w:rsidRPr="00A528FD">
        <w:rPr>
          <w:color w:val="000000" w:themeColor="text1"/>
          <w:rtl/>
          <w:lang w:val="en-GB"/>
        </w:rPr>
        <w:t xml:space="preserve"> </w:t>
      </w:r>
      <w:r w:rsidRPr="00A528FD">
        <w:rPr>
          <w:color w:val="000000" w:themeColor="text1"/>
        </w:rPr>
        <w:t xml:space="preserve">or illness to resume normal function where possible. </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Health Insurance:</w:t>
      </w:r>
    </w:p>
    <w:p w:rsidR="00221A2C" w:rsidRPr="00A528FD" w:rsidRDefault="00221A2C" w:rsidP="00B55B97">
      <w:pPr>
        <w:bidi w:val="0"/>
        <w:jc w:val="both"/>
        <w:rPr>
          <w:color w:val="000000" w:themeColor="text1"/>
        </w:rPr>
      </w:pPr>
      <w:r w:rsidRPr="00A528FD">
        <w:rPr>
          <w:color w:val="000000" w:themeColor="text1"/>
        </w:rPr>
        <w:t xml:space="preserve">A contract between the insured and the insurer to the effect that in the event of specified events occurring (determined in the insurance contract), the insurer will pay compensation </w:t>
      </w:r>
      <w:r w:rsidRPr="00A528FD">
        <w:rPr>
          <w:color w:val="000000" w:themeColor="text1"/>
        </w:rPr>
        <w:lastRenderedPageBreak/>
        <w:t>either to the insured person or to the health service provider. Health insurance includes governmental, private, military, UNRWA and Israeli insurance.</w:t>
      </w:r>
    </w:p>
    <w:p w:rsidR="00221A2C" w:rsidRPr="00A528FD" w:rsidRDefault="00221A2C" w:rsidP="00B55B97">
      <w:pPr>
        <w:bidi w:val="0"/>
        <w:jc w:val="both"/>
        <w:rPr>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color w:val="000000" w:themeColor="text1"/>
        </w:rPr>
        <w:t>Based on the system of health accounts (SHA 2011 edition) classifications the detailed categories (financing schemes, financing agents, providers, functions, and revenues) in the health accounts are listed below. More detailed information is available in the the system of health accounts (SHA 2011 edition)</w:t>
      </w:r>
      <w:r w:rsidRPr="00A528FD">
        <w:rPr>
          <w:rFonts w:ascii="Times New Roman" w:hAnsi="Times New Roman" w:cs="Times New Roman"/>
          <w:b/>
          <w:bCs/>
          <w:color w:val="000000" w:themeColor="text1"/>
        </w:rPr>
        <w:t>.</w:t>
      </w:r>
    </w:p>
    <w:p w:rsidR="00221A2C" w:rsidRPr="00A528FD" w:rsidRDefault="00221A2C" w:rsidP="00221A2C">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883E2D"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237B34"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.2 </w:t>
      </w:r>
      <w:r w:rsidR="00C36779">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Classification of Financing Schemes</w:t>
      </w: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Government schemes and compulsory contributory health care financing scheme:</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A528FD">
        <w:rPr>
          <w:color w:val="000000" w:themeColor="text1"/>
        </w:rPr>
        <w:t>.</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health care payment schemes:</w:t>
      </w:r>
    </w:p>
    <w:p w:rsidR="00221A2C" w:rsidRPr="00A528FD" w:rsidRDefault="00221A2C" w:rsidP="00221A2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Household out-of-pocket payment:</w:t>
      </w:r>
    </w:p>
    <w:p w:rsidR="00221A2C" w:rsidRPr="00A528FD" w:rsidRDefault="00221A2C" w:rsidP="00221A2C">
      <w:pPr>
        <w:autoSpaceDE w:val="0"/>
        <w:autoSpaceDN w:val="0"/>
        <w:bidi w:val="0"/>
        <w:adjustRightInd w:val="0"/>
        <w:jc w:val="both"/>
        <w:rPr>
          <w:rFonts w:eastAsia="Arial Unicode MS"/>
          <w:color w:val="000000" w:themeColor="text1"/>
        </w:rPr>
      </w:pPr>
      <w:r w:rsidRPr="00A528FD">
        <w:rPr>
          <w:rFonts w:eastAsia="Arial Unicode MS"/>
          <w:color w:val="000000" w:themeColor="text1"/>
        </w:rPr>
        <w:t>It  is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OOP play an important role in every health care system. In lower-income countries, out-of-pocket expenditure is often the main form of health care financing.</w:t>
      </w:r>
    </w:p>
    <w:p w:rsidR="00221A2C" w:rsidRPr="00A528FD" w:rsidRDefault="00221A2C" w:rsidP="00221A2C">
      <w:pPr>
        <w:autoSpaceDE w:val="0"/>
        <w:autoSpaceDN w:val="0"/>
        <w:adjustRightInd w:val="0"/>
        <w:jc w:val="both"/>
        <w:rPr>
          <w:rFonts w:eastAsia="Arial Unicode MS"/>
          <w:color w:val="000000" w:themeColor="text1"/>
          <w:sz w:val="16"/>
          <w:szCs w:val="16"/>
          <w:rtl/>
        </w:rPr>
      </w:pPr>
    </w:p>
    <w:p w:rsidR="00221A2C" w:rsidRPr="00A528FD" w:rsidRDefault="00221A2C" w:rsidP="00B55B97">
      <w:pPr>
        <w:pStyle w:val="NormalWeb"/>
        <w:tabs>
          <w:tab w:val="left" w:pos="2513"/>
        </w:tabs>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World:</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A528FD" w:rsidRDefault="00221A2C" w:rsidP="00B55B97">
      <w:pPr>
        <w:autoSpaceDE w:val="0"/>
        <w:autoSpaceDN w:val="0"/>
        <w:bidi w:val="0"/>
        <w:adjustRightInd w:val="0"/>
        <w:jc w:val="both"/>
        <w:rPr>
          <w:rFonts w:eastAsia="Arial Unicode MS"/>
          <w:b/>
          <w:bCs/>
          <w:color w:val="000000" w:themeColor="text1"/>
        </w:rPr>
      </w:pPr>
    </w:p>
    <w:p w:rsidR="00221A2C" w:rsidRPr="00A528FD" w:rsidRDefault="00237B34" w:rsidP="00B55B97">
      <w:pPr>
        <w:autoSpaceDE w:val="0"/>
        <w:autoSpaceDN w:val="0"/>
        <w:bidi w:val="0"/>
        <w:adjustRightInd w:val="0"/>
        <w:jc w:val="both"/>
        <w:rPr>
          <w:rFonts w:eastAsia="Arial Unicode MS"/>
          <w:b/>
          <w:bCs/>
          <w:color w:val="000000" w:themeColor="text1"/>
        </w:rPr>
      </w:pPr>
      <w:r w:rsidRPr="00A528FD">
        <w:rPr>
          <w:rFonts w:eastAsia="Arial Unicode MS"/>
          <w:b/>
          <w:bCs/>
          <w:color w:val="000000" w:themeColor="text1"/>
        </w:rPr>
        <w:t>1.</w:t>
      </w:r>
      <w:r w:rsidR="008C7F2C" w:rsidRPr="00A528FD">
        <w:rPr>
          <w:rFonts w:eastAsia="Arial Unicode MS"/>
          <w:b/>
          <w:bCs/>
          <w:color w:val="000000" w:themeColor="text1"/>
        </w:rPr>
        <w:t>1</w:t>
      </w:r>
      <w:r w:rsidR="00221A2C" w:rsidRPr="00A528FD">
        <w:rPr>
          <w:rFonts w:eastAsia="Arial Unicode MS"/>
          <w:b/>
          <w:bCs/>
          <w:color w:val="000000" w:themeColor="text1"/>
        </w:rPr>
        <w:t xml:space="preserve">.3 </w:t>
      </w:r>
      <w:r w:rsidR="00C36779">
        <w:rPr>
          <w:rFonts w:eastAsia="Arial Unicode MS"/>
          <w:b/>
          <w:bCs/>
          <w:color w:val="000000" w:themeColor="text1"/>
        </w:rPr>
        <w:t xml:space="preserve"> </w:t>
      </w:r>
      <w:r w:rsidR="00221A2C" w:rsidRPr="00A528FD">
        <w:rPr>
          <w:rFonts w:eastAsia="Arial Unicode MS"/>
          <w:b/>
          <w:bCs/>
          <w:color w:val="000000" w:themeColor="text1"/>
        </w:rPr>
        <w:t>Financing agents: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Central government.</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I</w:t>
      </w:r>
      <w:r w:rsidR="00221A2C" w:rsidRPr="00A528FD">
        <w:rPr>
          <w:rFonts w:eastAsia="Arial Unicode MS"/>
          <w:color w:val="000000" w:themeColor="text1"/>
        </w:rPr>
        <w:t>nsurance corporations</w:t>
      </w:r>
      <w:r w:rsidRPr="00A528FD">
        <w:rPr>
          <w:rFonts w:eastAsia="Arial Unicode MS"/>
          <w:color w:val="000000" w:themeColor="text1"/>
        </w:rPr>
        <w:t>.</w:t>
      </w:r>
    </w:p>
    <w:p w:rsidR="00221A2C" w:rsidRPr="00A528FD" w:rsidRDefault="00221A2C"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Nonprofit institutions s</w:t>
      </w:r>
      <w:r w:rsidR="00FB72EF" w:rsidRPr="00A528FD">
        <w:rPr>
          <w:rFonts w:eastAsia="Arial Unicode MS"/>
          <w:color w:val="000000" w:themeColor="text1"/>
        </w:rPr>
        <w:t>erving households (NPISH).</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Household.</w:t>
      </w:r>
    </w:p>
    <w:p w:rsidR="00221A2C" w:rsidRPr="00A528FD" w:rsidRDefault="00221A2C"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Rest of the world.</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37B34"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.4 </w:t>
      </w:r>
      <w:r w:rsidR="00C36779">
        <w:rPr>
          <w:rFonts w:ascii="Times New Roman" w:hAnsi="Times New Roman" w:cs="Times New Roman"/>
          <w:b/>
          <w:bCs/>
          <w:color w:val="000000" w:themeColor="text1"/>
        </w:rPr>
        <w:t xml:space="preserve"> </w:t>
      </w:r>
      <w:r w:rsidR="00B353CF">
        <w:rPr>
          <w:rFonts w:ascii="Times New Roman" w:hAnsi="Times New Roman" w:cs="Times New Roman"/>
          <w:b/>
          <w:bCs/>
          <w:color w:val="000000" w:themeColor="text1"/>
        </w:rPr>
        <w:t>Revenues of Health Care Financing S</w:t>
      </w:r>
      <w:r w:rsidR="00221A2C" w:rsidRPr="00A528FD">
        <w:rPr>
          <w:rFonts w:ascii="Times New Roman" w:hAnsi="Times New Roman" w:cs="Times New Roman"/>
          <w:b/>
          <w:bCs/>
          <w:color w:val="000000" w:themeColor="text1"/>
        </w:rPr>
        <w:t>chemes</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from government domestic revenue</w:t>
      </w:r>
      <w:r w:rsidR="00366E6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refers to the funds allocated from government domestic revenues for health purposes. </w:t>
      </w:r>
    </w:p>
    <w:p w:rsidR="00221A2C" w:rsidRPr="00A528FD" w:rsidRDefault="00221A2C" w:rsidP="00B55B97">
      <w:pPr>
        <w:autoSpaceDE w:val="0"/>
        <w:autoSpaceDN w:val="0"/>
        <w:bidi w:val="0"/>
        <w:adjustRightInd w:val="0"/>
        <w:jc w:val="both"/>
        <w:rPr>
          <w:rFonts w:eastAsia="Arial Unicode M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distributed by government from foreign</w:t>
      </w:r>
      <w:r w:rsidR="00366E63" w:rsidRPr="00A528FD">
        <w:rPr>
          <w:rFonts w:ascii="Times New Roman" w:hAnsi="Times New Roman" w:cs="Times New Roman"/>
          <w:b/>
          <w:bCs/>
          <w:color w:val="000000" w:themeColor="text1"/>
        </w:rPr>
        <w:t xml:space="preserve"> origin</w:t>
      </w:r>
      <w:r w:rsidRPr="00A528FD">
        <w:rPr>
          <w:rFonts w:ascii="Times New Roman" w:hAnsi="Times New Roman" w:cs="Times New Roman"/>
          <w:b/>
          <w:bCs/>
          <w:color w:val="000000" w:themeColor="text1"/>
        </w:rPr>
        <w: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Social insurance contributions: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insuree.</w:t>
      </w:r>
    </w:p>
    <w:p w:rsidR="00221A2C" w:rsidRPr="00A528FD" w:rsidRDefault="00221A2C" w:rsidP="00221A2C">
      <w:pPr>
        <w:autoSpaceDE w:val="0"/>
        <w:autoSpaceDN w:val="0"/>
        <w:bidi w:val="0"/>
        <w:adjustRightInd w:val="0"/>
        <w:jc w:val="both"/>
        <w:rPr>
          <w:rFonts w:eastAsia="Arial Unicode M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prepayment: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includes voluntary private insurance premiums. Voluntary insurance premiums are payments received from the insuree or other institutional units on behalf of the insure that secure entitlement to benefits of the voluntary health insurance schemes. Subcategories of voluntary prepayment are classified by the type of institutional units paying the revenues, as follows: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Voluntary prepaym</w:t>
      </w:r>
      <w:r w:rsidR="00366E63" w:rsidRPr="00C36779">
        <w:rPr>
          <w:rFonts w:eastAsia="Arial Unicode MS"/>
          <w:color w:val="000000" w:themeColor="text1"/>
        </w:rPr>
        <w:t>ent from individuals/households.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w:t>
      </w:r>
      <w:r w:rsidR="00366E63" w:rsidRPr="00C36779">
        <w:rPr>
          <w:rFonts w:eastAsia="Arial Unicode MS"/>
          <w:color w:val="000000" w:themeColor="text1"/>
        </w:rPr>
        <w:t>ntary prepayment from employers.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voluntary prepaid revenues (for example, received from institutional units other than</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households and employers)</w:t>
      </w:r>
      <w:r w:rsidR="00366E63" w:rsidRPr="00C36779">
        <w:rPr>
          <w:rFonts w:eastAsia="Arial Unicode MS"/>
          <w:color w:val="000000" w:themeColor="text1"/>
        </w:rPr>
        <w:t>.</w:t>
      </w:r>
    </w:p>
    <w:p w:rsidR="00221A2C" w:rsidRPr="00A528FD" w:rsidRDefault="00221A2C" w:rsidP="00221A2C">
      <w:pPr>
        <w:bidi w:val="0"/>
        <w:ind w:firstLineChars="100" w:firstLine="160"/>
        <w:rPr>
          <w:rFonts w:eastAsia="Times New Roman"/>
          <w:color w:val="000000" w:themeColor="text1"/>
          <w:sz w:val="16"/>
          <w:szCs w:val="16"/>
          <w:lang w:eastAsia="en-US"/>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domestic revenues:</w:t>
      </w:r>
    </w:p>
    <w:p w:rsidR="00221A2C" w:rsidRPr="00A528FD" w:rsidRDefault="00221A2C" w:rsidP="00B55B97">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revenu</w:t>
      </w:r>
      <w:r w:rsidR="00366E63" w:rsidRPr="00C36779">
        <w:rPr>
          <w:rFonts w:eastAsia="Arial Unicode MS"/>
          <w:color w:val="000000" w:themeColor="text1"/>
        </w:rPr>
        <w:t>es from households.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w:t>
      </w:r>
      <w:r w:rsidR="00366E63" w:rsidRPr="00C36779">
        <w:rPr>
          <w:rFonts w:eastAsia="Arial Unicode MS"/>
          <w:color w:val="000000" w:themeColor="text1"/>
        </w:rPr>
        <w:t>ther revenues from corporations.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revenues from non-profit institutions.</w:t>
      </w: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Direct foreign transfers: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The main ways that revenues from foreign entities directly (via transfers) received by health financing schemes may be transacted are:</w:t>
      </w:r>
    </w:p>
    <w:p w:rsidR="00221A2C" w:rsidRPr="00C36779" w:rsidRDefault="00221A2C" w:rsidP="00C36779">
      <w:pPr>
        <w:pStyle w:val="ListParagraph"/>
        <w:numPr>
          <w:ilvl w:val="0"/>
          <w:numId w:val="47"/>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Pr="00C36779" w:rsidRDefault="00221A2C" w:rsidP="00C36779">
      <w:pPr>
        <w:pStyle w:val="ListParagraph"/>
        <w:numPr>
          <w:ilvl w:val="0"/>
          <w:numId w:val="47"/>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aid in kind (health care goods and services).</w:t>
      </w:r>
    </w:p>
    <w:p w:rsidR="00221A2C" w:rsidRPr="00A528FD" w:rsidRDefault="00221A2C" w:rsidP="00221A2C">
      <w:pPr>
        <w:bidi w:val="0"/>
        <w:spacing w:after="200" w:line="276" w:lineRule="auto"/>
        <w:rPr>
          <w:rFonts w:eastAsia="Arial Unicode MS"/>
          <w:color w:val="000000" w:themeColor="text1"/>
        </w:rPr>
      </w:pPr>
      <w:r w:rsidRPr="00A528FD">
        <w:rPr>
          <w:rFonts w:eastAsia="Arial Unicode MS"/>
          <w:color w:val="000000" w:themeColor="text1"/>
        </w:rPr>
        <w:br w:type="page"/>
      </w:r>
    </w:p>
    <w:p w:rsidR="00221A2C" w:rsidRPr="00A528FD" w:rsidRDefault="00237B34" w:rsidP="006627BA">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.5 </w:t>
      </w:r>
      <w:r w:rsidR="00C36779">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Classification 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C36779">
      <w:pPr>
        <w:autoSpaceDE w:val="0"/>
        <w:autoSpaceDN w:val="0"/>
        <w:bidi w:val="0"/>
        <w:adjustRightInd w:val="0"/>
        <w:jc w:val="both"/>
        <w:rPr>
          <w:rFonts w:eastAsia="Arial Unicode MS"/>
          <w:color w:val="000000" w:themeColor="text1"/>
          <w:sz w:val="14"/>
          <w:szCs w:val="14"/>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 for curative care comprises an individual contact with the health system and can be made up of a sequence of components, such as to establish a diagnosis, to formulate a 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ortheses,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221A2C">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502B42">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502B42">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221A2C">
      <w:pPr>
        <w:bidi w:val="0"/>
        <w:ind w:hanging="540"/>
        <w:jc w:val="both"/>
        <w:rPr>
          <w:b/>
          <w:bCs/>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All other specialized health care:</w:t>
      </w:r>
    </w:p>
    <w:p w:rsidR="00221A2C" w:rsidRPr="00A528FD" w:rsidRDefault="00221A2C" w:rsidP="00502B42">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502B42">
      <w:pPr>
        <w:bidi w:val="0"/>
        <w:jc w:val="both"/>
        <w:rPr>
          <w:b/>
          <w:bCs/>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Rehabilitative care:</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502B42">
      <w:pPr>
        <w:autoSpaceDE w:val="0"/>
        <w:autoSpaceDN w:val="0"/>
        <w:bidi w:val="0"/>
        <w:adjustRightInd w:val="0"/>
        <w:jc w:val="both"/>
        <w:rPr>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long-term care:</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502B42">
      <w:pPr>
        <w:autoSpaceDE w:val="0"/>
        <w:autoSpaceDN w:val="0"/>
        <w:adjustRightInd w:val="0"/>
        <w:jc w:val="both"/>
        <w:rPr>
          <w:color w:val="000000" w:themeColor="text1"/>
          <w:sz w:val="16"/>
          <w:szCs w:val="16"/>
          <w:rtl/>
        </w:rPr>
      </w:pPr>
    </w:p>
    <w:p w:rsidR="00C36779" w:rsidRDefault="00C36779" w:rsidP="00502B42">
      <w:pPr>
        <w:autoSpaceDE w:val="0"/>
        <w:autoSpaceDN w:val="0"/>
        <w:adjustRightInd w:val="0"/>
        <w:jc w:val="both"/>
        <w:rPr>
          <w:color w:val="000000" w:themeColor="text1"/>
          <w:sz w:val="16"/>
          <w:szCs w:val="16"/>
          <w:rtl/>
        </w:rPr>
      </w:pPr>
    </w:p>
    <w:p w:rsidR="00C36779" w:rsidRDefault="00C36779" w:rsidP="00502B42">
      <w:pPr>
        <w:autoSpaceDE w:val="0"/>
        <w:autoSpaceDN w:val="0"/>
        <w:adjustRightInd w:val="0"/>
        <w:jc w:val="both"/>
        <w:rPr>
          <w:color w:val="000000" w:themeColor="text1"/>
          <w:sz w:val="16"/>
          <w:szCs w:val="16"/>
          <w:rtl/>
        </w:rPr>
      </w:pPr>
    </w:p>
    <w:p w:rsidR="00C36779" w:rsidRPr="00A528FD" w:rsidRDefault="00C36779" w:rsidP="00502B42">
      <w:pPr>
        <w:autoSpaceDE w:val="0"/>
        <w:autoSpaceDN w:val="0"/>
        <w:adjustRightInd w:val="0"/>
        <w:jc w:val="both"/>
        <w:rPr>
          <w:color w:val="000000" w:themeColor="text1"/>
          <w:sz w:val="16"/>
          <w:szCs w:val="16"/>
          <w:rtl/>
        </w:rPr>
      </w:pPr>
    </w:p>
    <w:p w:rsidR="00221A2C" w:rsidRPr="00A528FD" w:rsidRDefault="00221A2C" w:rsidP="00502B42">
      <w:pPr>
        <w:bidi w:val="0"/>
        <w:jc w:val="both"/>
        <w:rPr>
          <w:b/>
          <w:bCs/>
          <w:color w:val="000000" w:themeColor="text1"/>
        </w:rPr>
      </w:pPr>
      <w:r w:rsidRPr="00A528FD">
        <w:rPr>
          <w:b/>
          <w:bCs/>
          <w:color w:val="000000" w:themeColor="text1"/>
        </w:rPr>
        <w:lastRenderedPageBreak/>
        <w:t>Ancillary services: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MoP in which it was consumed.</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Medical goods are broken down at the second level into pharmaceuticals and other medical non-durables  and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prescribed by a health professional.</w:t>
      </w:r>
    </w:p>
    <w:p w:rsidR="00221A2C" w:rsidRPr="00A528FD" w:rsidRDefault="00221A2C" w:rsidP="00502B42">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(Pomey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organised as primary, secondary and tertiary prevention levels.</w:t>
      </w:r>
    </w:p>
    <w:p w:rsidR="00221A2C" w:rsidRPr="00A528FD" w:rsidRDefault="00221A2C" w:rsidP="00221A2C">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C36779" w:rsidRPr="00C36779" w:rsidRDefault="00C36779" w:rsidP="00C36779">
      <w:pPr>
        <w:autoSpaceDE w:val="0"/>
        <w:autoSpaceDN w:val="0"/>
        <w:bidi w:val="0"/>
        <w:adjustRightInd w:val="0"/>
        <w:jc w:val="both"/>
        <w:rPr>
          <w:rFonts w:eastAsia="Arial Unicode MS"/>
          <w:color w:val="000000" w:themeColor="text1"/>
          <w:sz w:val="16"/>
          <w:szCs w:val="16"/>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Other approaches (e.g. the type of care: modern or traditional; or the type of component: physical examination, procedures performed, laboratory analysis) may also be relevant for decision-making. In addition, important components of the programme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C36779" w:rsidRDefault="00221A2C" w:rsidP="00502B42">
      <w:pPr>
        <w:pStyle w:val="NormalWeb"/>
        <w:tabs>
          <w:tab w:val="right" w:pos="-540"/>
        </w:tabs>
        <w:spacing w:before="0" w:beforeAutospacing="0" w:after="0" w:afterAutospacing="0"/>
        <w:jc w:val="both"/>
        <w:rPr>
          <w:rFonts w:ascii="Times New Roman" w:hAnsi="Times New Roman" w:cs="Times New Roman"/>
          <w:b/>
          <w:bCs/>
          <w:color w:val="000000" w:themeColor="text1"/>
          <w:sz w:val="20"/>
          <w:szCs w:val="20"/>
        </w:rPr>
      </w:pPr>
    </w:p>
    <w:p w:rsidR="00221A2C" w:rsidRPr="00A528FD" w:rsidRDefault="00237B34"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.6 Classification of Health Care Providers</w:t>
      </w:r>
    </w:p>
    <w:p w:rsidR="00221A2C" w:rsidRPr="00C36779" w:rsidRDefault="00221A2C" w:rsidP="00502B42">
      <w:pPr>
        <w:pStyle w:val="NormalWeb"/>
        <w:spacing w:before="0" w:beforeAutospacing="0" w:after="0" w:afterAutospacing="0"/>
        <w:jc w:val="both"/>
        <w:rPr>
          <w:rFonts w:ascii="Times New Roman" w:hAnsi="Times New Roman" w:cs="Times New Roman"/>
          <w:b/>
          <w:bCs/>
          <w:color w:val="000000" w:themeColor="text1"/>
          <w:sz w:val="18"/>
          <w:szCs w:val="18"/>
          <w:u w:val="single"/>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Licensed establishments primarily engaged in providing medical, diagnostic, and treatment services that include physicians, nursing, and other health services to inpatients and including </w:t>
      </w:r>
      <w:r w:rsidRPr="00A528FD">
        <w:rPr>
          <w:rFonts w:ascii="Times New Roman" w:hAnsi="Times New Roman" w:cs="Times New Roman"/>
          <w:color w:val="000000" w:themeColor="text1"/>
        </w:rPr>
        <w:lastRenderedPageBreak/>
        <w:t>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502B42">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rsidR="00221A2C" w:rsidRPr="00A528FD" w:rsidRDefault="00221A2C" w:rsidP="00502B42">
      <w:pPr>
        <w:autoSpaceDE w:val="0"/>
        <w:autoSpaceDN w:val="0"/>
        <w:bidi w:val="0"/>
        <w:adjustRightInd w:val="0"/>
        <w:jc w:val="both"/>
        <w:rPr>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w:t>
      </w:r>
      <w:r w:rsidRPr="00A528FD">
        <w:rPr>
          <w:rFonts w:ascii="Times New Roman" w:hAnsi="Times New Roman" w:cs="Times New Roman"/>
          <w:color w:val="000000" w:themeColor="text1"/>
        </w:rPr>
        <w:lastRenderedPageBreak/>
        <w:t>others, such as hospitals or HMO medical centers. They can provide either comprehensive preventive, cosmetic, or emergency care, or specialize in a single field of dentistry.</w:t>
      </w:r>
    </w:p>
    <w:p w:rsidR="001C2486" w:rsidRPr="00C36779" w:rsidRDefault="001C2486" w:rsidP="00C36779">
      <w:pPr>
        <w:bidi w:val="0"/>
        <w:jc w:val="both"/>
        <w:rPr>
          <w:rFonts w:eastAsia="Arial Unicode MS"/>
          <w:b/>
          <w:bCs/>
          <w:color w:val="000000" w:themeColor="text1"/>
          <w:sz w:val="18"/>
          <w:szCs w:val="18"/>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secondary provide services to patients visiting the health professional’s office, except for some pediatric and geriatric conditions.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Comprises establishments 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comprises organizations that primarily provide collective preventive programmes and campaigns/public health programmes for specific groups of individuals or the population-at-large, such as health promotion and protection agencies or public health institutes as well as specialised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C36779">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C36779">
      <w:pPr>
        <w:autoSpaceDE w:val="0"/>
        <w:autoSpaceDN w:val="0"/>
        <w:bidi w:val="0"/>
        <w:adjustRightInd w:val="0"/>
        <w:jc w:val="both"/>
        <w:rPr>
          <w:rFonts w:eastAsia="Arial Unicode M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C36779">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w:t>
      </w:r>
      <w:r w:rsidRPr="00A528FD">
        <w:rPr>
          <w:rFonts w:eastAsia="Arial Unicode MS"/>
          <w:color w:val="000000" w:themeColor="text1"/>
        </w:rPr>
        <w:lastRenderedPageBreak/>
        <w:t>care provided by private households. It is include: Households as providers of home health care, All other industries as secondary providers of health care, Other industries n.e.c.</w:t>
      </w:r>
    </w:p>
    <w:p w:rsidR="001C2486" w:rsidRPr="00C36779" w:rsidRDefault="001C2486" w:rsidP="00C36779">
      <w:pPr>
        <w:bidi w:val="0"/>
        <w:rPr>
          <w:b/>
          <w:bCs/>
          <w:color w:val="000000" w:themeColor="text1"/>
          <w:sz w:val="16"/>
          <w:szCs w:val="16"/>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C36779" w:rsidRDefault="00221A2C" w:rsidP="00502B42">
      <w:pPr>
        <w:pStyle w:val="NormalWeb"/>
        <w:spacing w:before="0" w:beforeAutospacing="0" w:after="0" w:afterAutospacing="0"/>
        <w:jc w:val="both"/>
        <w:rPr>
          <w:rFonts w:ascii="Times New Roman" w:hAnsi="Times New Roman" w:cs="Times New Roman"/>
          <w:b/>
          <w:bCs/>
          <w:color w:val="000000" w:themeColor="text1"/>
          <w:sz w:val="28"/>
          <w:szCs w:val="28"/>
        </w:rPr>
      </w:pPr>
    </w:p>
    <w:p w:rsidR="00221A2C" w:rsidRPr="00A528FD" w:rsidRDefault="00237B34" w:rsidP="00502B42">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502B42">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European Union (Eurostat).  </w:t>
      </w:r>
    </w:p>
    <w:p w:rsidR="003301BF" w:rsidRPr="00A528FD" w:rsidRDefault="003301BF" w:rsidP="00502B42">
      <w:pPr>
        <w:pStyle w:val="Heading1"/>
        <w:jc w:val="both"/>
        <w:rPr>
          <w:i/>
          <w:iCs/>
          <w:color w:val="000000"/>
          <w:sz w:val="24"/>
          <w:szCs w:val="24"/>
          <w:lang w:eastAsia="en-GB"/>
        </w:rPr>
      </w:pPr>
    </w:p>
    <w:p w:rsidR="0047395E" w:rsidRPr="00C36779" w:rsidRDefault="00C36779" w:rsidP="00C36779">
      <w:pPr>
        <w:pStyle w:val="ListParagraph"/>
        <w:numPr>
          <w:ilvl w:val="0"/>
          <w:numId w:val="48"/>
        </w:numPr>
        <w:bidi w:val="0"/>
        <w:ind w:left="426" w:hanging="284"/>
        <w:jc w:val="both"/>
        <w:rPr>
          <w:b/>
          <w:bCs/>
          <w:color w:val="000000"/>
        </w:rPr>
      </w:pPr>
      <w:r>
        <w:rPr>
          <w:color w:val="000000"/>
        </w:rPr>
        <w:t xml:space="preserve">A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47395E" w:rsidRDefault="0047395E">
      <w:pPr>
        <w:bidi w:val="0"/>
        <w:spacing w:after="200" w:line="276" w:lineRule="auto"/>
        <w:rPr>
          <w:b/>
          <w:bCs/>
          <w:color w:val="000000"/>
          <w:sz w:val="28"/>
          <w:szCs w:val="28"/>
        </w:rPr>
      </w:pPr>
      <w:r>
        <w:rPr>
          <w:color w:val="000000"/>
        </w:rPr>
        <w:lastRenderedPageBreak/>
        <w:br w:type="page"/>
      </w:r>
    </w:p>
    <w:p w:rsidR="0047395E" w:rsidRPr="00AB0969" w:rsidRDefault="0047395E" w:rsidP="0047395E">
      <w:pPr>
        <w:bidi w:val="0"/>
        <w:spacing w:line="276" w:lineRule="auto"/>
        <w:jc w:val="center"/>
        <w:rPr>
          <w:color w:val="000000"/>
        </w:rPr>
      </w:pPr>
      <w:r w:rsidRPr="00AB0969">
        <w:rPr>
          <w:color w:val="000000"/>
        </w:rPr>
        <w:lastRenderedPageBreak/>
        <w:t>Chapter Two</w:t>
      </w:r>
    </w:p>
    <w:p w:rsidR="0047395E" w:rsidRDefault="0047395E" w:rsidP="00221A2C">
      <w:pPr>
        <w:pStyle w:val="Heading2"/>
        <w:rPr>
          <w:color w:val="000000"/>
        </w:rPr>
      </w:pPr>
    </w:p>
    <w:p w:rsidR="005F5797" w:rsidRPr="00221A2C" w:rsidRDefault="005F5797" w:rsidP="00221A2C">
      <w:pPr>
        <w:pStyle w:val="Heading2"/>
        <w:rPr>
          <w:color w:val="000000"/>
          <w:rtl/>
        </w:rPr>
      </w:pPr>
      <w:r>
        <w:rPr>
          <w:color w:val="000000"/>
        </w:rPr>
        <w:t>Main Findings</w:t>
      </w:r>
    </w:p>
    <w:p w:rsidR="005F5797" w:rsidRDefault="005F5797" w:rsidP="00EB01DE">
      <w:pPr>
        <w:tabs>
          <w:tab w:val="left" w:pos="6558"/>
        </w:tabs>
        <w:rPr>
          <w:color w:val="000000"/>
          <w:rtl/>
          <w:lang w:val="en-GB"/>
        </w:rPr>
      </w:pPr>
    </w:p>
    <w:p w:rsidR="005F5797" w:rsidRDefault="005F5797" w:rsidP="005F5797">
      <w:pPr>
        <w:bidi w:val="0"/>
        <w:jc w:val="center"/>
        <w:rPr>
          <w:b/>
          <w:bCs/>
          <w:color w:val="000000"/>
          <w:sz w:val="4"/>
          <w:szCs w:val="4"/>
        </w:rPr>
      </w:pPr>
    </w:p>
    <w:p w:rsidR="00847410" w:rsidRDefault="00034CED" w:rsidP="00CD6CA3">
      <w:pPr>
        <w:pStyle w:val="Title"/>
        <w:spacing w:after="0"/>
        <w:jc w:val="both"/>
        <w:outlineLvl w:val="9"/>
        <w:rPr>
          <w:rFonts w:ascii="Times New Roman"/>
          <w:b w:val="0"/>
          <w:bCs w:val="0"/>
          <w:color w:val="000000"/>
          <w:sz w:val="24"/>
          <w:szCs w:val="24"/>
        </w:rPr>
      </w:pPr>
      <w:r>
        <w:rPr>
          <w:rFonts w:ascii="Times New Roman"/>
          <w:color w:val="000000"/>
          <w:sz w:val="24"/>
          <w:szCs w:val="24"/>
        </w:rPr>
        <w:t>2.1</w:t>
      </w:r>
      <w:r w:rsidR="005F5797">
        <w:rPr>
          <w:rFonts w:ascii="Times New Roman"/>
          <w:color w:val="000000"/>
          <w:sz w:val="24"/>
          <w:szCs w:val="24"/>
        </w:rPr>
        <w:t xml:space="preserve"> Total Expenditure on Health in Palestine</w:t>
      </w:r>
    </w:p>
    <w:p w:rsidR="005F5797" w:rsidRDefault="005F5797" w:rsidP="00F5054B">
      <w:pPr>
        <w:pStyle w:val="Title"/>
        <w:spacing w:after="0"/>
        <w:jc w:val="both"/>
        <w:outlineLvl w:val="9"/>
        <w:rPr>
          <w:rFonts w:ascii="Times New Roman"/>
          <w:b w:val="0"/>
          <w:bCs w:val="0"/>
          <w:color w:val="000000"/>
          <w:sz w:val="24"/>
          <w:szCs w:val="24"/>
        </w:rPr>
      </w:pPr>
      <w:r>
        <w:rPr>
          <w:rFonts w:ascii="Times New Roman"/>
          <w:b w:val="0"/>
          <w:bCs w:val="0"/>
          <w:color w:val="000000"/>
          <w:sz w:val="24"/>
          <w:szCs w:val="24"/>
        </w:rPr>
        <w:t xml:space="preserve">The results of the Palestinian Health Accounts for </w:t>
      </w:r>
      <w:r w:rsidR="005C2053">
        <w:rPr>
          <w:rFonts w:ascii="Times New Roman"/>
          <w:b w:val="0"/>
          <w:bCs w:val="0"/>
          <w:color w:val="000000"/>
          <w:sz w:val="24"/>
          <w:szCs w:val="24"/>
        </w:rPr>
        <w:t>2016</w:t>
      </w:r>
      <w:r>
        <w:rPr>
          <w:rFonts w:ascii="Times New Roman"/>
          <w:b w:val="0"/>
          <w:bCs w:val="0"/>
          <w:color w:val="000000"/>
          <w:sz w:val="24"/>
          <w:szCs w:val="24"/>
        </w:rPr>
        <w:t xml:space="preserve"> in Palestine </w:t>
      </w:r>
      <w:r w:rsidR="00214DBE">
        <w:rPr>
          <w:rFonts w:ascii="Times New Roman"/>
          <w:b w:val="0"/>
          <w:bCs w:val="0"/>
          <w:color w:val="000000"/>
          <w:sz w:val="24"/>
          <w:szCs w:val="24"/>
        </w:rPr>
        <w:t>indicated that</w:t>
      </w:r>
      <w:r w:rsidR="00CD6CA3">
        <w:rPr>
          <w:rFonts w:ascii="Times New Roman"/>
          <w:b w:val="0"/>
          <w:bCs w:val="0"/>
          <w:color w:val="000000"/>
          <w:sz w:val="24"/>
          <w:szCs w:val="24"/>
        </w:rPr>
        <w:t xml:space="preserve"> the</w:t>
      </w:r>
      <w:r w:rsidR="00214DBE">
        <w:rPr>
          <w:rFonts w:ascii="Times New Roman"/>
          <w:b w:val="0"/>
          <w:bCs w:val="0"/>
          <w:color w:val="000000"/>
          <w:sz w:val="24"/>
          <w:szCs w:val="24"/>
        </w:rPr>
        <w:t xml:space="preserve"> total expenditure on health </w:t>
      </w:r>
      <w:r>
        <w:rPr>
          <w:rFonts w:ascii="Times New Roman"/>
          <w:b w:val="0"/>
          <w:bCs w:val="0"/>
          <w:color w:val="000000"/>
          <w:sz w:val="24"/>
          <w:szCs w:val="24"/>
        </w:rPr>
        <w:t>increased by 7.</w:t>
      </w:r>
      <w:r w:rsidR="005C2053">
        <w:rPr>
          <w:rFonts w:ascii="Times New Roman"/>
          <w:b w:val="0"/>
          <w:bCs w:val="0"/>
          <w:color w:val="000000"/>
          <w:sz w:val="24"/>
          <w:szCs w:val="24"/>
        </w:rPr>
        <w:t>4</w:t>
      </w:r>
      <w:r>
        <w:rPr>
          <w:rFonts w:ascii="Times New Roman"/>
          <w:b w:val="0"/>
          <w:bCs w:val="0"/>
          <w:color w:val="000000"/>
          <w:sz w:val="24"/>
          <w:szCs w:val="24"/>
        </w:rPr>
        <w:t xml:space="preserve">% </w:t>
      </w:r>
      <w:r w:rsidR="00353BD0">
        <w:rPr>
          <w:rFonts w:ascii="Times New Roman"/>
          <w:b w:val="0"/>
          <w:bCs w:val="0"/>
          <w:color w:val="000000"/>
          <w:sz w:val="24"/>
          <w:szCs w:val="24"/>
        </w:rPr>
        <w:t>compared to 2015</w:t>
      </w:r>
      <w:r>
        <w:rPr>
          <w:rFonts w:ascii="Times New Roman"/>
          <w:b w:val="0"/>
          <w:bCs w:val="0"/>
          <w:color w:val="000000"/>
          <w:sz w:val="24"/>
          <w:szCs w:val="24"/>
        </w:rPr>
        <w:t xml:space="preserve"> in all institutional sectors:</w:t>
      </w:r>
      <w:r w:rsidR="00353BD0">
        <w:rPr>
          <w:rFonts w:ascii="Times New Roman"/>
          <w:b w:val="0"/>
          <w:bCs w:val="0"/>
          <w:color w:val="000000"/>
          <w:sz w:val="24"/>
          <w:szCs w:val="24"/>
          <w:lang w:val="en-US"/>
        </w:rPr>
        <w:t xml:space="preserve"> In 2015</w:t>
      </w:r>
      <w:r>
        <w:rPr>
          <w:rFonts w:ascii="Times New Roman"/>
          <w:b w:val="0"/>
          <w:bCs w:val="0"/>
          <w:color w:val="000000"/>
          <w:sz w:val="24"/>
          <w:szCs w:val="24"/>
          <w:lang w:val="en-US"/>
        </w:rPr>
        <w:t xml:space="preserve"> </w:t>
      </w:r>
      <w:r>
        <w:rPr>
          <w:rFonts w:ascii="Times New Roman"/>
          <w:b w:val="0"/>
          <w:bCs w:val="0"/>
          <w:color w:val="000000"/>
          <w:sz w:val="24"/>
          <w:szCs w:val="24"/>
        </w:rPr>
        <w:t>healt</w:t>
      </w:r>
      <w:r w:rsidR="00353BD0">
        <w:rPr>
          <w:rFonts w:ascii="Times New Roman"/>
          <w:b w:val="0"/>
          <w:bCs w:val="0"/>
          <w:color w:val="000000"/>
          <w:sz w:val="24"/>
          <w:szCs w:val="24"/>
        </w:rPr>
        <w:t>h expenditure totalled USD 1,321</w:t>
      </w:r>
      <w:r w:rsidR="00214DBE">
        <w:rPr>
          <w:rFonts w:ascii="Times New Roman"/>
          <w:b w:val="0"/>
          <w:bCs w:val="0"/>
          <w:color w:val="000000"/>
          <w:sz w:val="24"/>
          <w:szCs w:val="24"/>
        </w:rPr>
        <w:t>.</w:t>
      </w:r>
      <w:r w:rsidR="00353BD0">
        <w:rPr>
          <w:rFonts w:ascii="Times New Roman"/>
          <w:b w:val="0"/>
          <w:bCs w:val="0"/>
          <w:color w:val="000000"/>
          <w:sz w:val="24"/>
          <w:szCs w:val="24"/>
        </w:rPr>
        <w:t>3</w:t>
      </w:r>
      <w:r w:rsidR="00F5054B">
        <w:rPr>
          <w:b w:val="0"/>
          <w:bCs w:val="0"/>
          <w:color w:val="000000"/>
          <w:sz w:val="24"/>
          <w:szCs w:val="24"/>
        </w:rPr>
        <w:t xml:space="preserve"> </w:t>
      </w:r>
      <w:r>
        <w:rPr>
          <w:rFonts w:ascii="Times New Roman"/>
          <w:b w:val="0"/>
          <w:bCs w:val="0"/>
          <w:color w:val="000000"/>
          <w:sz w:val="24"/>
          <w:szCs w:val="24"/>
        </w:rPr>
        <w:t>million</w:t>
      </w:r>
      <w:r w:rsidR="00CD6CA3">
        <w:rPr>
          <w:rFonts w:ascii="Times New Roman"/>
          <w:b w:val="0"/>
          <w:bCs w:val="0"/>
          <w:color w:val="000000"/>
          <w:sz w:val="24"/>
          <w:szCs w:val="24"/>
        </w:rPr>
        <w:t>s</w:t>
      </w:r>
      <w:r>
        <w:rPr>
          <w:rFonts w:ascii="Times New Roman"/>
          <w:b w:val="0"/>
          <w:bCs w:val="0"/>
          <w:color w:val="000000"/>
          <w:sz w:val="24"/>
          <w:szCs w:val="24"/>
        </w:rPr>
        <w:t xml:space="preserve"> compared to USD 1</w:t>
      </w:r>
      <w:r w:rsidR="00353BD0">
        <w:rPr>
          <w:rFonts w:ascii="Times New Roman"/>
          <w:b w:val="0"/>
          <w:bCs w:val="0"/>
          <w:color w:val="000000"/>
          <w:sz w:val="24"/>
          <w:szCs w:val="24"/>
        </w:rPr>
        <w:t>,419.5</w:t>
      </w:r>
      <w:r w:rsidRPr="00186EFB">
        <w:rPr>
          <w:rFonts w:ascii="Times New Roman"/>
          <w:b w:val="0"/>
          <w:bCs w:val="0"/>
          <w:color w:val="000000"/>
          <w:sz w:val="24"/>
          <w:szCs w:val="24"/>
        </w:rPr>
        <w:t xml:space="preserve"> </w:t>
      </w:r>
      <w:r w:rsidR="00214DBE">
        <w:rPr>
          <w:rFonts w:ascii="Times New Roman"/>
          <w:b w:val="0"/>
          <w:bCs w:val="0"/>
          <w:color w:val="000000"/>
          <w:sz w:val="24"/>
          <w:szCs w:val="24"/>
        </w:rPr>
        <w:t>million</w:t>
      </w:r>
      <w:r w:rsidR="00CD6CA3">
        <w:rPr>
          <w:rFonts w:ascii="Times New Roman"/>
          <w:b w:val="0"/>
          <w:bCs w:val="0"/>
          <w:color w:val="000000"/>
          <w:sz w:val="24"/>
          <w:szCs w:val="24"/>
        </w:rPr>
        <w:t>s</w:t>
      </w:r>
      <w:r w:rsidR="00353BD0">
        <w:rPr>
          <w:rFonts w:ascii="Times New Roman"/>
          <w:b w:val="0"/>
          <w:bCs w:val="0"/>
          <w:color w:val="000000"/>
          <w:sz w:val="24"/>
          <w:szCs w:val="24"/>
        </w:rPr>
        <w:t xml:space="preserve"> in 2016</w:t>
      </w:r>
      <w:r>
        <w:rPr>
          <w:rFonts w:ascii="Times New Roman"/>
          <w:b w:val="0"/>
          <w:bCs w:val="0"/>
          <w:color w:val="000000"/>
          <w:sz w:val="24"/>
          <w:szCs w:val="24"/>
        </w:rPr>
        <w:t xml:space="preserve">. While </w:t>
      </w:r>
      <w:r w:rsidR="00271946">
        <w:rPr>
          <w:rFonts w:ascii="Times New Roman"/>
          <w:b w:val="0"/>
          <w:bCs w:val="0"/>
          <w:color w:val="000000"/>
          <w:sz w:val="24"/>
          <w:szCs w:val="24"/>
        </w:rPr>
        <w:t xml:space="preserve">registered </w:t>
      </w:r>
      <w:r w:rsidR="00353BD0">
        <w:rPr>
          <w:rFonts w:ascii="Times New Roman"/>
          <w:b w:val="0"/>
          <w:bCs w:val="0"/>
          <w:color w:val="000000"/>
          <w:sz w:val="24"/>
          <w:szCs w:val="24"/>
        </w:rPr>
        <w:t>capital expenditure was USD 18.4 million in 2016</w:t>
      </w:r>
      <w:r>
        <w:rPr>
          <w:rFonts w:ascii="Times New Roman"/>
          <w:b w:val="0"/>
          <w:bCs w:val="0"/>
          <w:color w:val="000000"/>
          <w:sz w:val="24"/>
          <w:szCs w:val="24"/>
        </w:rPr>
        <w:t xml:space="preserve">, compared </w:t>
      </w:r>
      <w:r w:rsidR="00CD6CA3">
        <w:rPr>
          <w:rFonts w:ascii="Times New Roman"/>
          <w:b w:val="0"/>
          <w:bCs w:val="0"/>
          <w:color w:val="000000"/>
          <w:sz w:val="24"/>
          <w:szCs w:val="24"/>
        </w:rPr>
        <w:t xml:space="preserve">to </w:t>
      </w:r>
      <w:r w:rsidR="00353BD0">
        <w:rPr>
          <w:rFonts w:ascii="Times New Roman"/>
          <w:b w:val="0"/>
          <w:bCs w:val="0"/>
          <w:color w:val="000000"/>
          <w:sz w:val="24"/>
          <w:szCs w:val="24"/>
        </w:rPr>
        <w:t>USD 28.9 million in 2015</w:t>
      </w:r>
      <w:r>
        <w:rPr>
          <w:rFonts w:ascii="Times New Roman"/>
          <w:b w:val="0"/>
          <w:bCs w:val="0"/>
          <w:color w:val="000000"/>
          <w:sz w:val="24"/>
          <w:szCs w:val="24"/>
        </w:rPr>
        <w:t xml:space="preserve">. </w:t>
      </w:r>
    </w:p>
    <w:p w:rsidR="005F5797" w:rsidRPr="002B0A1E" w:rsidRDefault="005F5797" w:rsidP="00741B58">
      <w:pPr>
        <w:pStyle w:val="Subtitle"/>
        <w:jc w:val="both"/>
        <w:rPr>
          <w:rFonts w:ascii="Times New Roman" w:hAnsi="Times New Roman"/>
          <w:color w:val="000000"/>
          <w:sz w:val="24"/>
          <w:szCs w:val="24"/>
        </w:rPr>
      </w:pPr>
    </w:p>
    <w:p w:rsidR="00FA34F4" w:rsidRPr="00FA34F4" w:rsidRDefault="005F5797" w:rsidP="007557C2">
      <w:pPr>
        <w:autoSpaceDE w:val="0"/>
        <w:autoSpaceDN w:val="0"/>
        <w:bidi w:val="0"/>
        <w:adjustRightInd w:val="0"/>
        <w:jc w:val="both"/>
        <w:rPr>
          <w:b/>
          <w:bCs/>
          <w:color w:val="000000"/>
        </w:rPr>
      </w:pPr>
      <w:r w:rsidRPr="00FA34F4">
        <w:rPr>
          <w:b/>
          <w:bCs/>
          <w:color w:val="000000"/>
        </w:rPr>
        <w:t>2.</w:t>
      </w:r>
      <w:r w:rsidR="00034CED" w:rsidRPr="00FA34F4">
        <w:rPr>
          <w:b/>
          <w:bCs/>
          <w:color w:val="000000"/>
        </w:rPr>
        <w:t>2</w:t>
      </w:r>
      <w:r w:rsidRPr="00FA34F4">
        <w:rPr>
          <w:b/>
          <w:bCs/>
          <w:color w:val="000000"/>
        </w:rPr>
        <w:t xml:space="preserve"> Funding of Health c</w:t>
      </w:r>
      <w:r w:rsidR="00CD6CA3" w:rsidRPr="00FA34F4">
        <w:rPr>
          <w:b/>
          <w:bCs/>
          <w:color w:val="000000"/>
        </w:rPr>
        <w:t>are</w:t>
      </w:r>
      <w:r w:rsidR="007557C2" w:rsidRPr="00FA34F4">
        <w:rPr>
          <w:b/>
          <w:bCs/>
          <w:color w:val="000000"/>
        </w:rPr>
        <w:t xml:space="preserve"> </w:t>
      </w:r>
    </w:p>
    <w:p w:rsidR="005F5797" w:rsidRDefault="005F5797" w:rsidP="00FA34F4">
      <w:pPr>
        <w:autoSpaceDE w:val="0"/>
        <w:autoSpaceDN w:val="0"/>
        <w:bidi w:val="0"/>
        <w:adjustRightInd w:val="0"/>
        <w:jc w:val="both"/>
        <w:rPr>
          <w:color w:val="000000"/>
        </w:rPr>
      </w:pPr>
      <w:r w:rsidRPr="00F0550F">
        <w:rPr>
          <w:color w:val="000000"/>
        </w:rPr>
        <w:t>SHA 2011 further develops the health care fin</w:t>
      </w:r>
      <w:r w:rsidR="00214DBE">
        <w:rPr>
          <w:color w:val="000000"/>
        </w:rPr>
        <w:t xml:space="preserve">ancing interface to allow for </w:t>
      </w:r>
      <w:r w:rsidRPr="00F0550F">
        <w:rPr>
          <w:color w:val="000000"/>
        </w:rPr>
        <w:t>systematic assessment of how finances are mobilized, managed and used, including the financing arrangements (Financing schemes), the institutional units (Financing agents) and the revenue-raising mechanisms (Revenues of financing schemes).</w:t>
      </w:r>
      <w:r>
        <w:rPr>
          <w:color w:val="000000"/>
        </w:rPr>
        <w:t xml:space="preserve"> </w:t>
      </w:r>
    </w:p>
    <w:p w:rsidR="005F5797" w:rsidRPr="004012A1" w:rsidRDefault="005F5797" w:rsidP="00741B58">
      <w:pPr>
        <w:autoSpaceDE w:val="0"/>
        <w:autoSpaceDN w:val="0"/>
        <w:bidi w:val="0"/>
        <w:adjustRightInd w:val="0"/>
        <w:jc w:val="both"/>
        <w:rPr>
          <w:color w:val="000000" w:themeColor="text1"/>
        </w:rPr>
      </w:pPr>
    </w:p>
    <w:p w:rsidR="005F5797" w:rsidRPr="004012A1" w:rsidRDefault="005F5797" w:rsidP="00775887">
      <w:pPr>
        <w:autoSpaceDE w:val="0"/>
        <w:autoSpaceDN w:val="0"/>
        <w:bidi w:val="0"/>
        <w:adjustRightInd w:val="0"/>
        <w:jc w:val="both"/>
        <w:rPr>
          <w:color w:val="000000" w:themeColor="text1"/>
        </w:rPr>
      </w:pPr>
      <w:r w:rsidRPr="004012A1">
        <w:rPr>
          <w:color w:val="000000" w:themeColor="text1"/>
        </w:rPr>
        <w:t xml:space="preserve">During </w:t>
      </w:r>
      <w:r w:rsidR="00775887" w:rsidRPr="004012A1">
        <w:rPr>
          <w:color w:val="000000" w:themeColor="text1"/>
        </w:rPr>
        <w:t>2015,</w:t>
      </w:r>
      <w:r w:rsidR="004078B6">
        <w:rPr>
          <w:color w:val="000000" w:themeColor="text1"/>
        </w:rPr>
        <w:t xml:space="preserve"> </w:t>
      </w:r>
      <w:r w:rsidR="00775887" w:rsidRPr="004012A1">
        <w:rPr>
          <w:color w:val="000000" w:themeColor="text1"/>
        </w:rPr>
        <w:t>2016</w:t>
      </w:r>
      <w:r w:rsidRPr="004012A1">
        <w:rPr>
          <w:color w:val="000000" w:themeColor="text1"/>
        </w:rPr>
        <w:t xml:space="preserve"> the household</w:t>
      </w:r>
      <w:r w:rsidR="00CD6CA3" w:rsidRPr="004012A1">
        <w:rPr>
          <w:color w:val="000000" w:themeColor="text1"/>
        </w:rPr>
        <w:t>'s</w:t>
      </w:r>
      <w:r w:rsidRPr="004012A1">
        <w:rPr>
          <w:color w:val="000000" w:themeColor="text1"/>
        </w:rPr>
        <w:t xml:space="preserve"> out-of-pocket payment scheme contributed </w:t>
      </w:r>
      <w:r w:rsidR="00CD6CA3" w:rsidRPr="004012A1">
        <w:rPr>
          <w:color w:val="000000" w:themeColor="text1"/>
        </w:rPr>
        <w:t xml:space="preserve">to </w:t>
      </w:r>
      <w:r w:rsidR="00775887" w:rsidRPr="004012A1">
        <w:rPr>
          <w:color w:val="000000" w:themeColor="text1"/>
        </w:rPr>
        <w:t>45.5</w:t>
      </w:r>
      <w:r w:rsidRPr="004012A1">
        <w:rPr>
          <w:color w:val="000000" w:themeColor="text1"/>
        </w:rPr>
        <w:t>% of health funding</w:t>
      </w:r>
      <w:r w:rsidR="00775887" w:rsidRPr="004012A1">
        <w:rPr>
          <w:color w:val="000000" w:themeColor="text1"/>
        </w:rPr>
        <w:t xml:space="preserve">. </w:t>
      </w:r>
      <w:r w:rsidR="00DC5127" w:rsidRPr="004012A1">
        <w:rPr>
          <w:color w:val="000000" w:themeColor="text1"/>
        </w:rPr>
        <w:t>G</w:t>
      </w:r>
      <w:r w:rsidRPr="004012A1">
        <w:rPr>
          <w:color w:val="000000" w:themeColor="text1"/>
        </w:rPr>
        <w:t>overnment schemes and compulsory contributory</w:t>
      </w:r>
      <w:r w:rsidR="00775887" w:rsidRPr="004012A1">
        <w:rPr>
          <w:color w:val="000000" w:themeColor="text1"/>
        </w:rPr>
        <w:t xml:space="preserve"> health care financing scheme decreased between 2015-2016 from 33% to 30.5</w:t>
      </w:r>
      <w:r w:rsidRPr="004012A1">
        <w:rPr>
          <w:color w:val="000000" w:themeColor="text1"/>
        </w:rPr>
        <w:t>%. Rest of the world is</w:t>
      </w:r>
      <w:r w:rsidR="00214DBE" w:rsidRPr="004012A1">
        <w:rPr>
          <w:color w:val="000000" w:themeColor="text1"/>
        </w:rPr>
        <w:t xml:space="preserve"> the</w:t>
      </w:r>
      <w:r w:rsidRPr="004012A1">
        <w:rPr>
          <w:color w:val="000000" w:themeColor="text1"/>
        </w:rPr>
        <w:t xml:space="preserve"> main source of funding in Palestinian economy, it contributed </w:t>
      </w:r>
      <w:r w:rsidR="00DC5127" w:rsidRPr="004012A1">
        <w:rPr>
          <w:color w:val="000000" w:themeColor="text1"/>
        </w:rPr>
        <w:t xml:space="preserve">with </w:t>
      </w:r>
      <w:r w:rsidR="00775887" w:rsidRPr="004012A1">
        <w:rPr>
          <w:color w:val="000000" w:themeColor="text1"/>
        </w:rPr>
        <w:t>14.0% in 2015 and 15.2% in 2016</w:t>
      </w:r>
      <w:r w:rsidRPr="004012A1">
        <w:rPr>
          <w:color w:val="000000" w:themeColor="text1"/>
        </w:rPr>
        <w:t>.  The contribution of voluntary health care payment schemes reach</w:t>
      </w:r>
      <w:r w:rsidR="00775887" w:rsidRPr="004012A1">
        <w:rPr>
          <w:color w:val="000000" w:themeColor="text1"/>
        </w:rPr>
        <w:t>ed 7.5% in 2015 while it was 8.8% in 2016</w:t>
      </w:r>
      <w:r w:rsidRPr="004012A1">
        <w:rPr>
          <w:color w:val="000000" w:themeColor="text1"/>
        </w:rPr>
        <w:t>.</w:t>
      </w:r>
    </w:p>
    <w:p w:rsidR="00386FEC" w:rsidRPr="004012A1" w:rsidRDefault="00386FEC" w:rsidP="00386FEC">
      <w:pPr>
        <w:bidi w:val="0"/>
        <w:jc w:val="center"/>
        <w:rPr>
          <w:rFonts w:ascii="Arial" w:hAnsi="Arial" w:cs="Arial"/>
          <w:b/>
          <w:bCs/>
          <w:color w:val="000000" w:themeColor="text1"/>
          <w:sz w:val="22"/>
          <w:szCs w:val="22"/>
        </w:rPr>
      </w:pPr>
    </w:p>
    <w:p w:rsidR="00386FEC" w:rsidRDefault="00386FEC" w:rsidP="00386FEC">
      <w:pPr>
        <w:bidi w:val="0"/>
        <w:jc w:val="center"/>
        <w:rPr>
          <w:rFonts w:ascii="Arial" w:hAnsi="Arial" w:cs="Arial"/>
          <w:b/>
          <w:bCs/>
          <w:color w:val="000000"/>
          <w:sz w:val="22"/>
          <w:szCs w:val="22"/>
        </w:rPr>
      </w:pPr>
      <w:r w:rsidRPr="00C36779">
        <w:rPr>
          <w:rFonts w:ascii="Arial" w:hAnsi="Arial" w:cs="Arial"/>
          <w:b/>
          <w:bCs/>
          <w:color w:val="000000"/>
          <w:sz w:val="22"/>
          <w:szCs w:val="22"/>
        </w:rPr>
        <w:t xml:space="preserve">Percentage Distribution of Total Current Expenditure on Health by Financing Schemes in Palestine </w:t>
      </w:r>
      <w:r>
        <w:rPr>
          <w:rFonts w:ascii="Arial" w:hAnsi="Arial" w:cs="Arial"/>
          <w:b/>
          <w:bCs/>
          <w:color w:val="000000"/>
          <w:sz w:val="22"/>
          <w:szCs w:val="22"/>
        </w:rPr>
        <w:t>2015</w:t>
      </w:r>
      <w:r w:rsidRPr="00C36779">
        <w:rPr>
          <w:rFonts w:ascii="Arial" w:hAnsi="Arial" w:cs="Arial"/>
          <w:b/>
          <w:bCs/>
          <w:color w:val="000000"/>
          <w:sz w:val="22"/>
          <w:szCs w:val="22"/>
        </w:rPr>
        <w:t xml:space="preserve">, </w:t>
      </w:r>
      <w:r>
        <w:rPr>
          <w:rFonts w:ascii="Arial" w:hAnsi="Arial" w:cs="Arial"/>
          <w:b/>
          <w:bCs/>
          <w:color w:val="000000"/>
          <w:sz w:val="22"/>
          <w:szCs w:val="22"/>
        </w:rPr>
        <w:t>2016</w:t>
      </w:r>
    </w:p>
    <w:tbl>
      <w:tblPr>
        <w:tblStyle w:val="TableGrid"/>
        <w:tblW w:w="0" w:type="auto"/>
        <w:jc w:val="center"/>
        <w:tblLook w:val="04A0"/>
      </w:tblPr>
      <w:tblGrid>
        <w:gridCol w:w="8976"/>
      </w:tblGrid>
      <w:tr w:rsidR="00386FEC" w:rsidTr="005D5FA8">
        <w:trPr>
          <w:jc w:val="center"/>
        </w:trPr>
        <w:tc>
          <w:tcPr>
            <w:tcW w:w="8834" w:type="dxa"/>
          </w:tcPr>
          <w:p w:rsidR="00386FEC" w:rsidRDefault="00F718F0" w:rsidP="00386FEC">
            <w:pPr>
              <w:bidi w:val="0"/>
              <w:jc w:val="center"/>
              <w:rPr>
                <w:rFonts w:ascii="Arial" w:hAnsi="Arial" w:cs="Arial"/>
                <w:b/>
                <w:bCs/>
                <w:color w:val="000000"/>
              </w:rPr>
            </w:pPr>
            <w:r w:rsidRPr="00F718F0">
              <w:rPr>
                <w:rFonts w:ascii="Arial" w:hAnsi="Arial" w:cs="Arial"/>
                <w:b/>
                <w:bCs/>
                <w:noProof/>
                <w:color w:val="000000"/>
                <w:lang w:eastAsia="en-US"/>
              </w:rPr>
              <w:drawing>
                <wp:inline distT="0" distB="0" distL="0" distR="0">
                  <wp:extent cx="5562241" cy="2262397"/>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86FEC" w:rsidRDefault="00386FEC" w:rsidP="00386FEC">
      <w:pPr>
        <w:bidi w:val="0"/>
        <w:jc w:val="both"/>
        <w:rPr>
          <w:rFonts w:ascii="Arial" w:hAnsi="Arial" w:cs="Arial"/>
          <w:b/>
          <w:bCs/>
          <w:color w:val="000000"/>
        </w:rPr>
      </w:pPr>
    </w:p>
    <w:p w:rsidR="005F5797" w:rsidRDefault="005F5797" w:rsidP="00451C9B">
      <w:pPr>
        <w:autoSpaceDE w:val="0"/>
        <w:autoSpaceDN w:val="0"/>
        <w:bidi w:val="0"/>
        <w:adjustRightInd w:val="0"/>
        <w:jc w:val="both"/>
        <w:rPr>
          <w:color w:val="000000"/>
        </w:rPr>
      </w:pPr>
      <w:r w:rsidRPr="002B0A1E">
        <w:rPr>
          <w:color w:val="000000"/>
        </w:rPr>
        <w:t>Expenditure by financing agents shows households managed and paid 45.5% of health expenditure in 2015</w:t>
      </w:r>
      <w:r w:rsidR="00451C9B">
        <w:rPr>
          <w:color w:val="000000"/>
        </w:rPr>
        <w:t xml:space="preserve"> and </w:t>
      </w:r>
      <w:r w:rsidR="00386FEC">
        <w:rPr>
          <w:color w:val="000000"/>
        </w:rPr>
        <w:t>2016</w:t>
      </w:r>
      <w:r w:rsidRPr="002B0A1E">
        <w:rPr>
          <w:color w:val="000000"/>
        </w:rPr>
        <w:t>.  Followed by central government</w:t>
      </w:r>
      <w:r w:rsidR="00720048">
        <w:rPr>
          <w:color w:val="000000"/>
        </w:rPr>
        <w:t xml:space="preserve"> who </w:t>
      </w:r>
      <w:r w:rsidR="00386FEC">
        <w:rPr>
          <w:color w:val="000000"/>
        </w:rPr>
        <w:t xml:space="preserve"> managed 41.1% in 2015, and 38.2% in 2016</w:t>
      </w:r>
      <w:r w:rsidRPr="002B0A1E">
        <w:rPr>
          <w:color w:val="000000"/>
        </w:rPr>
        <w:t>. Rest o</w:t>
      </w:r>
      <w:r w:rsidR="00386FEC">
        <w:rPr>
          <w:color w:val="000000"/>
        </w:rPr>
        <w:t>f the world managed directly 5.8% in 2015, and it decreased</w:t>
      </w:r>
      <w:r w:rsidR="006F4C13">
        <w:rPr>
          <w:color w:val="000000"/>
        </w:rPr>
        <w:t xml:space="preserve"> slightly</w:t>
      </w:r>
      <w:r w:rsidR="00386FEC">
        <w:rPr>
          <w:color w:val="000000"/>
        </w:rPr>
        <w:t xml:space="preserve"> in 2016 to 5.6</w:t>
      </w:r>
      <w:r w:rsidRPr="002B0A1E">
        <w:rPr>
          <w:color w:val="000000"/>
        </w:rPr>
        <w:t xml:space="preserve">%.  </w:t>
      </w:r>
      <w:r w:rsidR="00720048">
        <w:rPr>
          <w:color w:val="000000"/>
        </w:rPr>
        <w:t>Also,</w:t>
      </w:r>
      <w:r w:rsidR="00720048" w:rsidRPr="002B0A1E">
        <w:rPr>
          <w:color w:val="000000"/>
        </w:rPr>
        <w:t xml:space="preserve"> </w:t>
      </w:r>
      <w:r w:rsidR="00214DBE" w:rsidRPr="002B0A1E">
        <w:rPr>
          <w:color w:val="000000"/>
        </w:rPr>
        <w:t>the percent contribution of</w:t>
      </w:r>
      <w:r w:rsidRPr="002B0A1E">
        <w:rPr>
          <w:color w:val="000000"/>
        </w:rPr>
        <w:t xml:space="preserve"> </w:t>
      </w:r>
      <w:r w:rsidR="00720048">
        <w:rPr>
          <w:color w:val="000000"/>
        </w:rPr>
        <w:t>n</w:t>
      </w:r>
      <w:r w:rsidRPr="002B0A1E">
        <w:rPr>
          <w:color w:val="000000"/>
        </w:rPr>
        <w:t>on-profit institutions serving households (</w:t>
      </w:r>
      <w:r w:rsidR="00354587">
        <w:rPr>
          <w:color w:val="000000"/>
        </w:rPr>
        <w:t>NPISH)</w:t>
      </w:r>
      <w:r w:rsidR="00386FEC">
        <w:rPr>
          <w:color w:val="000000"/>
        </w:rPr>
        <w:t xml:space="preserve"> as financing agent was 5.6% in 2015</w:t>
      </w:r>
      <w:r w:rsidRPr="002B0A1E">
        <w:rPr>
          <w:color w:val="000000"/>
        </w:rPr>
        <w:t>, and it increas</w:t>
      </w:r>
      <w:r w:rsidR="00386FEC">
        <w:rPr>
          <w:color w:val="000000"/>
        </w:rPr>
        <w:t>ed to 8.0% in 2016</w:t>
      </w:r>
      <w:r w:rsidR="00214DBE" w:rsidRPr="002B0A1E">
        <w:rPr>
          <w:color w:val="000000"/>
        </w:rPr>
        <w:t>. Insurance corporations</w:t>
      </w:r>
      <w:r w:rsidRPr="002B0A1E">
        <w:rPr>
          <w:color w:val="000000"/>
        </w:rPr>
        <w:t xml:space="preserve"> </w:t>
      </w:r>
      <w:r w:rsidR="006F4C13">
        <w:t>increased slightly from 2</w:t>
      </w:r>
      <w:r w:rsidR="00386FEC">
        <w:t>% in 2015</w:t>
      </w:r>
      <w:r w:rsidRPr="002B0A1E">
        <w:t xml:space="preserve"> to 2</w:t>
      </w:r>
      <w:r w:rsidR="00386FEC">
        <w:t>.7% in 2016</w:t>
      </w:r>
      <w:r w:rsidRPr="002B0A1E">
        <w:t>.</w:t>
      </w:r>
    </w:p>
    <w:p w:rsidR="00F5054B" w:rsidRDefault="00F5054B">
      <w:pPr>
        <w:bidi w:val="0"/>
        <w:spacing w:after="200" w:line="276" w:lineRule="auto"/>
        <w:rPr>
          <w:color w:val="000000"/>
        </w:rPr>
      </w:pPr>
      <w:r>
        <w:rPr>
          <w:color w:val="000000"/>
        </w:rPr>
        <w:br w:type="page"/>
      </w:r>
    </w:p>
    <w:p w:rsidR="00752E8D" w:rsidRDefault="00752E8D" w:rsidP="00752E8D">
      <w:pPr>
        <w:bidi w:val="0"/>
        <w:jc w:val="center"/>
        <w:rPr>
          <w:rFonts w:ascii="Arial" w:hAnsi="Arial" w:cs="Arial"/>
          <w:b/>
          <w:bCs/>
          <w:color w:val="000000"/>
          <w:sz w:val="22"/>
          <w:szCs w:val="22"/>
        </w:rPr>
      </w:pPr>
      <w:r w:rsidRPr="00C36779">
        <w:rPr>
          <w:rFonts w:ascii="Arial" w:hAnsi="Arial" w:cs="Arial"/>
          <w:b/>
          <w:bCs/>
          <w:color w:val="000000"/>
          <w:sz w:val="22"/>
          <w:szCs w:val="22"/>
        </w:rPr>
        <w:lastRenderedPageBreak/>
        <w:t xml:space="preserve">Percentage Distribution of Total Current Expenditure on Health by Financing </w:t>
      </w:r>
      <w:r>
        <w:rPr>
          <w:rFonts w:ascii="Arial" w:hAnsi="Arial" w:cs="Arial"/>
          <w:b/>
          <w:bCs/>
          <w:color w:val="000000"/>
          <w:sz w:val="22"/>
          <w:szCs w:val="22"/>
        </w:rPr>
        <w:t>Agents</w:t>
      </w:r>
      <w:r w:rsidRPr="00C36779">
        <w:rPr>
          <w:rFonts w:ascii="Arial" w:hAnsi="Arial" w:cs="Arial"/>
          <w:b/>
          <w:bCs/>
          <w:color w:val="000000"/>
          <w:sz w:val="22"/>
          <w:szCs w:val="22"/>
        </w:rPr>
        <w:t xml:space="preserve"> in Palestine </w:t>
      </w:r>
      <w:r>
        <w:rPr>
          <w:rFonts w:ascii="Arial" w:hAnsi="Arial" w:cs="Arial"/>
          <w:b/>
          <w:bCs/>
          <w:color w:val="000000"/>
          <w:sz w:val="22"/>
          <w:szCs w:val="22"/>
        </w:rPr>
        <w:t>2015</w:t>
      </w:r>
      <w:r w:rsidRPr="00C36779">
        <w:rPr>
          <w:rFonts w:ascii="Arial" w:hAnsi="Arial" w:cs="Arial"/>
          <w:b/>
          <w:bCs/>
          <w:color w:val="000000"/>
          <w:sz w:val="22"/>
          <w:szCs w:val="22"/>
        </w:rPr>
        <w:t xml:space="preserve">, </w:t>
      </w:r>
      <w:r>
        <w:rPr>
          <w:rFonts w:ascii="Arial" w:hAnsi="Arial" w:cs="Arial"/>
          <w:b/>
          <w:bCs/>
          <w:color w:val="000000"/>
          <w:sz w:val="22"/>
          <w:szCs w:val="22"/>
        </w:rPr>
        <w:t>2016</w:t>
      </w:r>
    </w:p>
    <w:tbl>
      <w:tblPr>
        <w:tblStyle w:val="TableGrid"/>
        <w:tblW w:w="0" w:type="auto"/>
        <w:jc w:val="center"/>
        <w:tblLayout w:type="fixed"/>
        <w:tblLook w:val="04A0"/>
      </w:tblPr>
      <w:tblGrid>
        <w:gridCol w:w="9039"/>
      </w:tblGrid>
      <w:tr w:rsidR="00752E8D" w:rsidTr="005D5FA8">
        <w:trPr>
          <w:trHeight w:val="3742"/>
          <w:jc w:val="center"/>
        </w:trPr>
        <w:tc>
          <w:tcPr>
            <w:tcW w:w="9039" w:type="dxa"/>
          </w:tcPr>
          <w:p w:rsidR="00752E8D" w:rsidRDefault="00B9400C" w:rsidP="00752E8D">
            <w:pPr>
              <w:autoSpaceDE w:val="0"/>
              <w:autoSpaceDN w:val="0"/>
              <w:bidi w:val="0"/>
              <w:adjustRightInd w:val="0"/>
              <w:jc w:val="both"/>
              <w:rPr>
                <w:color w:val="000000"/>
              </w:rPr>
            </w:pPr>
            <w:r w:rsidRPr="00B9400C">
              <w:rPr>
                <w:noProof/>
                <w:color w:val="000000"/>
                <w:lang w:eastAsia="en-US"/>
              </w:rPr>
              <w:drawing>
                <wp:inline distT="0" distB="0" distL="0" distR="0">
                  <wp:extent cx="5760648" cy="238089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52E8D" w:rsidRPr="002B0A1E" w:rsidRDefault="00752E8D" w:rsidP="00752E8D">
      <w:pPr>
        <w:autoSpaceDE w:val="0"/>
        <w:autoSpaceDN w:val="0"/>
        <w:bidi w:val="0"/>
        <w:adjustRightInd w:val="0"/>
        <w:jc w:val="both"/>
        <w:rPr>
          <w:color w:val="000000"/>
        </w:rPr>
      </w:pPr>
    </w:p>
    <w:p w:rsidR="005F5797" w:rsidRDefault="00034CED" w:rsidP="00015765">
      <w:pPr>
        <w:bidi w:val="0"/>
        <w:jc w:val="both"/>
        <w:rPr>
          <w:b/>
          <w:bCs/>
          <w:color w:val="000000"/>
        </w:rPr>
      </w:pPr>
      <w:r w:rsidRPr="0076084B">
        <w:rPr>
          <w:b/>
          <w:bCs/>
          <w:color w:val="000000"/>
        </w:rPr>
        <w:t>2.</w:t>
      </w:r>
      <w:r w:rsidR="005F5797" w:rsidRPr="0076084B">
        <w:rPr>
          <w:b/>
          <w:bCs/>
          <w:color w:val="000000"/>
        </w:rPr>
        <w:t xml:space="preserve">3 Health Expenditure According to Function of </w:t>
      </w:r>
      <w:r w:rsidR="00354587">
        <w:rPr>
          <w:b/>
          <w:bCs/>
          <w:color w:val="000000"/>
        </w:rPr>
        <w:t xml:space="preserve"> Health </w:t>
      </w:r>
      <w:r w:rsidR="005F5797" w:rsidRPr="0076084B">
        <w:rPr>
          <w:b/>
          <w:bCs/>
          <w:color w:val="000000"/>
        </w:rPr>
        <w:t>Care</w:t>
      </w:r>
    </w:p>
    <w:p w:rsidR="003B6BD8" w:rsidRPr="0076084B" w:rsidRDefault="005F5797" w:rsidP="0076084B">
      <w:pPr>
        <w:bidi w:val="0"/>
        <w:jc w:val="both"/>
        <w:rPr>
          <w:color w:val="000000"/>
        </w:rPr>
      </w:pPr>
      <w:r w:rsidRPr="0076084B">
        <w:rPr>
          <w:color w:val="000000"/>
        </w:rPr>
        <w:t xml:space="preserve">The following table shows the distribution of current expenditure on health by function of </w:t>
      </w:r>
      <w:r w:rsidR="00A80953">
        <w:rPr>
          <w:color w:val="000000"/>
        </w:rPr>
        <w:t>health</w:t>
      </w:r>
      <w:r w:rsidR="001C1129">
        <w:rPr>
          <w:color w:val="000000"/>
        </w:rPr>
        <w:t xml:space="preserve"> </w:t>
      </w:r>
      <w:r w:rsidR="00A80953">
        <w:rPr>
          <w:color w:val="000000"/>
        </w:rPr>
        <w:t>care in Palestine for 2015 and 2016</w:t>
      </w:r>
      <w:r w:rsidRPr="0076084B">
        <w:rPr>
          <w:color w:val="000000"/>
        </w:rPr>
        <w:t xml:space="preserve">: </w:t>
      </w:r>
    </w:p>
    <w:p w:rsidR="005F5797" w:rsidRPr="005D5FA8" w:rsidRDefault="005F5797" w:rsidP="003B6BD8">
      <w:pPr>
        <w:bidi w:val="0"/>
        <w:jc w:val="both"/>
        <w:rPr>
          <w:color w:val="000000"/>
          <w:sz w:val="14"/>
          <w:szCs w:val="14"/>
        </w:rPr>
      </w:pPr>
      <w:r w:rsidRPr="005D5FA8">
        <w:rPr>
          <w:color w:val="000000"/>
          <w:sz w:val="14"/>
          <w:szCs w:val="14"/>
        </w:rPr>
        <w:t xml:space="preserve"> </w:t>
      </w:r>
    </w:p>
    <w:tbl>
      <w:tblPr>
        <w:tblStyle w:val="TableGrid"/>
        <w:bidiVisual/>
        <w:tblW w:w="9242" w:type="dxa"/>
        <w:jc w:val="center"/>
        <w:tblLayout w:type="fixed"/>
        <w:tblLook w:val="04A0"/>
      </w:tblPr>
      <w:tblGrid>
        <w:gridCol w:w="1360"/>
        <w:gridCol w:w="1843"/>
        <w:gridCol w:w="1276"/>
        <w:gridCol w:w="1843"/>
        <w:gridCol w:w="2920"/>
      </w:tblGrid>
      <w:tr w:rsidR="005F5797" w:rsidRPr="00A80953" w:rsidTr="00C36779">
        <w:trPr>
          <w:trHeight w:val="340"/>
          <w:jc w:val="center"/>
        </w:trPr>
        <w:tc>
          <w:tcPr>
            <w:tcW w:w="3203" w:type="dxa"/>
            <w:gridSpan w:val="2"/>
            <w:vAlign w:val="center"/>
          </w:tcPr>
          <w:p w:rsidR="005F5797" w:rsidRPr="00A80953" w:rsidRDefault="00B83440" w:rsidP="00C500E2">
            <w:pPr>
              <w:jc w:val="center"/>
              <w:rPr>
                <w:rFonts w:ascii="Arial" w:hAnsi="Arial" w:cs="Arial"/>
                <w:b/>
                <w:bCs/>
                <w:color w:val="000000" w:themeColor="text1"/>
                <w:sz w:val="18"/>
                <w:szCs w:val="18"/>
                <w:rtl/>
              </w:rPr>
            </w:pPr>
            <w:r w:rsidRPr="00A80953">
              <w:rPr>
                <w:rFonts w:ascii="Arial" w:hAnsi="Arial" w:cs="Arial"/>
                <w:b/>
                <w:bCs/>
                <w:color w:val="000000" w:themeColor="text1"/>
                <w:sz w:val="18"/>
                <w:szCs w:val="18"/>
                <w:rtl/>
              </w:rPr>
              <w:t>2016</w:t>
            </w:r>
          </w:p>
        </w:tc>
        <w:tc>
          <w:tcPr>
            <w:tcW w:w="3119" w:type="dxa"/>
            <w:gridSpan w:val="2"/>
            <w:vAlign w:val="center"/>
          </w:tcPr>
          <w:p w:rsidR="005F5797" w:rsidRPr="00A80953" w:rsidRDefault="00B83440" w:rsidP="00C500E2">
            <w:pPr>
              <w:jc w:val="center"/>
              <w:rPr>
                <w:rFonts w:ascii="Arial" w:hAnsi="Arial" w:cs="Arial"/>
                <w:b/>
                <w:bCs/>
                <w:color w:val="000000"/>
                <w:sz w:val="18"/>
                <w:szCs w:val="18"/>
                <w:rtl/>
              </w:rPr>
            </w:pPr>
            <w:r w:rsidRPr="00A80953">
              <w:rPr>
                <w:rFonts w:ascii="Arial" w:hAnsi="Arial" w:cs="Arial"/>
                <w:b/>
                <w:bCs/>
                <w:color w:val="000000"/>
                <w:sz w:val="18"/>
                <w:szCs w:val="18"/>
                <w:rtl/>
              </w:rPr>
              <w:t>2015</w:t>
            </w:r>
          </w:p>
        </w:tc>
        <w:tc>
          <w:tcPr>
            <w:tcW w:w="2920" w:type="dxa"/>
            <w:vMerge w:val="restart"/>
            <w:vAlign w:val="center"/>
          </w:tcPr>
          <w:p w:rsidR="005F5797" w:rsidRPr="00A80953" w:rsidRDefault="005F5797" w:rsidP="00C500E2">
            <w:pPr>
              <w:jc w:val="center"/>
              <w:rPr>
                <w:rFonts w:ascii="Arial" w:hAnsi="Arial" w:cs="Arial"/>
                <w:b/>
                <w:bCs/>
                <w:color w:val="000000" w:themeColor="text1"/>
                <w:sz w:val="18"/>
                <w:szCs w:val="18"/>
                <w:rtl/>
              </w:rPr>
            </w:pPr>
            <w:r w:rsidRPr="00A80953">
              <w:rPr>
                <w:rFonts w:ascii="Arial" w:hAnsi="Arial" w:cs="Arial"/>
                <w:b/>
                <w:bCs/>
                <w:color w:val="000000"/>
                <w:sz w:val="18"/>
                <w:szCs w:val="18"/>
              </w:rPr>
              <w:t>Health</w:t>
            </w:r>
            <w:r w:rsidR="001C1129">
              <w:rPr>
                <w:rFonts w:ascii="Arial" w:hAnsi="Arial" w:cs="Arial"/>
                <w:b/>
                <w:bCs/>
                <w:color w:val="000000"/>
                <w:sz w:val="18"/>
                <w:szCs w:val="18"/>
              </w:rPr>
              <w:t xml:space="preserve"> </w:t>
            </w:r>
            <w:r w:rsidRPr="00A80953">
              <w:rPr>
                <w:rFonts w:ascii="Arial" w:hAnsi="Arial" w:cs="Arial"/>
                <w:b/>
                <w:bCs/>
                <w:color w:val="000000"/>
                <w:sz w:val="18"/>
                <w:szCs w:val="18"/>
              </w:rPr>
              <w:t>care functions</w:t>
            </w:r>
          </w:p>
        </w:tc>
      </w:tr>
      <w:tr w:rsidR="005F5797" w:rsidRPr="00A80953" w:rsidTr="001B4F3A">
        <w:trPr>
          <w:trHeight w:val="340"/>
          <w:jc w:val="center"/>
        </w:trPr>
        <w:tc>
          <w:tcPr>
            <w:tcW w:w="1360" w:type="dxa"/>
            <w:tcBorders>
              <w:bottom w:val="single" w:sz="4" w:space="0" w:color="auto"/>
            </w:tcBorders>
            <w:vAlign w:val="center"/>
          </w:tcPr>
          <w:p w:rsidR="005F5797" w:rsidRPr="00A80953" w:rsidRDefault="005F5797" w:rsidP="00C500E2">
            <w:pPr>
              <w:bidi w:val="0"/>
              <w:jc w:val="center"/>
              <w:rPr>
                <w:rFonts w:ascii="Arial" w:hAnsi="Arial" w:cs="Arial"/>
                <w:b/>
                <w:bCs/>
                <w:color w:val="000000"/>
                <w:sz w:val="18"/>
                <w:szCs w:val="18"/>
              </w:rPr>
            </w:pPr>
            <w:r w:rsidRPr="00A80953">
              <w:rPr>
                <w:rFonts w:ascii="Arial" w:hAnsi="Arial" w:cs="Arial"/>
                <w:b/>
                <w:bCs/>
                <w:color w:val="000000"/>
                <w:sz w:val="18"/>
                <w:szCs w:val="18"/>
              </w:rPr>
              <w:t>Percent contribution</w:t>
            </w:r>
          </w:p>
        </w:tc>
        <w:tc>
          <w:tcPr>
            <w:tcW w:w="1843" w:type="dxa"/>
            <w:tcBorders>
              <w:bottom w:val="single" w:sz="4" w:space="0" w:color="auto"/>
            </w:tcBorders>
            <w:vAlign w:val="center"/>
          </w:tcPr>
          <w:p w:rsidR="005F5797" w:rsidRPr="00A80953" w:rsidRDefault="005F5797" w:rsidP="00C500E2">
            <w:pPr>
              <w:jc w:val="center"/>
              <w:rPr>
                <w:rFonts w:ascii="Arial" w:hAnsi="Arial" w:cs="Arial"/>
                <w:b/>
                <w:bCs/>
                <w:color w:val="000000"/>
                <w:sz w:val="18"/>
                <w:szCs w:val="18"/>
              </w:rPr>
            </w:pPr>
            <w:r w:rsidRPr="00A80953">
              <w:rPr>
                <w:rFonts w:ascii="Arial" w:hAnsi="Arial" w:cs="Arial"/>
                <w:b/>
                <w:bCs/>
                <w:color w:val="000000"/>
                <w:sz w:val="18"/>
                <w:szCs w:val="18"/>
              </w:rPr>
              <w:t>Health expenditure (value in USD 1000)</w:t>
            </w:r>
          </w:p>
        </w:tc>
        <w:tc>
          <w:tcPr>
            <w:tcW w:w="1276" w:type="dxa"/>
            <w:tcBorders>
              <w:bottom w:val="single" w:sz="4" w:space="0" w:color="auto"/>
            </w:tcBorders>
            <w:vAlign w:val="center"/>
          </w:tcPr>
          <w:p w:rsidR="005F5797" w:rsidRPr="00A80953" w:rsidRDefault="005F5797" w:rsidP="00C500E2">
            <w:pPr>
              <w:bidi w:val="0"/>
              <w:jc w:val="center"/>
              <w:rPr>
                <w:rFonts w:ascii="Arial" w:hAnsi="Arial" w:cs="Arial"/>
                <w:b/>
                <w:bCs/>
                <w:color w:val="000000"/>
                <w:sz w:val="18"/>
                <w:szCs w:val="18"/>
              </w:rPr>
            </w:pPr>
            <w:r w:rsidRPr="00A80953">
              <w:rPr>
                <w:rFonts w:ascii="Arial" w:hAnsi="Arial" w:cs="Arial"/>
                <w:b/>
                <w:bCs/>
                <w:color w:val="000000"/>
                <w:sz w:val="18"/>
                <w:szCs w:val="18"/>
              </w:rPr>
              <w:t>Percent contribution</w:t>
            </w:r>
          </w:p>
        </w:tc>
        <w:tc>
          <w:tcPr>
            <w:tcW w:w="1843" w:type="dxa"/>
            <w:tcBorders>
              <w:bottom w:val="single" w:sz="4" w:space="0" w:color="auto"/>
            </w:tcBorders>
            <w:vAlign w:val="center"/>
          </w:tcPr>
          <w:p w:rsidR="005F5797" w:rsidRPr="00A80953" w:rsidRDefault="005F5797" w:rsidP="00C500E2">
            <w:pPr>
              <w:jc w:val="center"/>
              <w:rPr>
                <w:rFonts w:ascii="Arial" w:hAnsi="Arial" w:cs="Arial"/>
                <w:b/>
                <w:bCs/>
                <w:color w:val="000000"/>
                <w:sz w:val="18"/>
                <w:szCs w:val="18"/>
              </w:rPr>
            </w:pPr>
            <w:r w:rsidRPr="00A80953">
              <w:rPr>
                <w:rFonts w:ascii="Arial" w:hAnsi="Arial" w:cs="Arial"/>
                <w:b/>
                <w:bCs/>
                <w:color w:val="000000"/>
                <w:sz w:val="18"/>
                <w:szCs w:val="18"/>
              </w:rPr>
              <w:t>Health expenditure (value in USD 1000)</w:t>
            </w:r>
          </w:p>
        </w:tc>
        <w:tc>
          <w:tcPr>
            <w:tcW w:w="2920" w:type="dxa"/>
            <w:vMerge/>
            <w:tcBorders>
              <w:bottom w:val="single" w:sz="4" w:space="0" w:color="auto"/>
            </w:tcBorders>
          </w:tcPr>
          <w:p w:rsidR="005F5797" w:rsidRPr="00A80953" w:rsidRDefault="005F5797" w:rsidP="00C500E2">
            <w:pPr>
              <w:jc w:val="center"/>
              <w:rPr>
                <w:rFonts w:ascii="Arial" w:hAnsi="Arial" w:cs="Arial"/>
                <w:b/>
                <w:bCs/>
                <w:color w:val="000000"/>
                <w:sz w:val="18"/>
                <w:szCs w:val="18"/>
                <w:rtl/>
              </w:rPr>
            </w:pPr>
          </w:p>
        </w:tc>
      </w:tr>
      <w:tr w:rsidR="00B83440" w:rsidRPr="00A80953" w:rsidTr="003B587A">
        <w:trPr>
          <w:trHeight w:val="340"/>
          <w:jc w:val="center"/>
        </w:trPr>
        <w:tc>
          <w:tcPr>
            <w:tcW w:w="1360" w:type="dxa"/>
            <w:tcBorders>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71.7</w:t>
            </w:r>
          </w:p>
        </w:tc>
        <w:tc>
          <w:tcPr>
            <w:tcW w:w="1843" w:type="dxa"/>
            <w:tcBorders>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1,017,514.9</w:t>
            </w:r>
          </w:p>
        </w:tc>
        <w:tc>
          <w:tcPr>
            <w:tcW w:w="1276" w:type="dxa"/>
            <w:tcBorders>
              <w:bottom w:val="nil"/>
              <w:right w:val="nil"/>
            </w:tcBorders>
            <w:vAlign w:val="center"/>
          </w:tcPr>
          <w:p w:rsidR="00B83440" w:rsidRPr="00A80953" w:rsidRDefault="007917BC" w:rsidP="006F53D2">
            <w:pPr>
              <w:bidi w:val="0"/>
              <w:ind w:right="118"/>
              <w:jc w:val="right"/>
              <w:rPr>
                <w:rFonts w:ascii="Arial" w:hAnsi="Arial" w:cs="Arial"/>
                <w:color w:val="000000"/>
                <w:sz w:val="18"/>
                <w:szCs w:val="18"/>
              </w:rPr>
            </w:pPr>
            <w:r>
              <w:rPr>
                <w:rFonts w:ascii="Arial" w:hAnsi="Arial" w:cs="Arial"/>
                <w:color w:val="000000"/>
                <w:sz w:val="18"/>
                <w:szCs w:val="18"/>
              </w:rPr>
              <w:t>73.5</w:t>
            </w:r>
          </w:p>
        </w:tc>
        <w:tc>
          <w:tcPr>
            <w:tcW w:w="1843" w:type="dxa"/>
            <w:tcBorders>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971,728.5</w:t>
            </w:r>
          </w:p>
        </w:tc>
        <w:tc>
          <w:tcPr>
            <w:tcW w:w="2920" w:type="dxa"/>
            <w:tcBorders>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Curative care</w:t>
            </w:r>
          </w:p>
        </w:tc>
      </w:tr>
      <w:tr w:rsidR="00B83440" w:rsidRPr="00A80953" w:rsidTr="003B587A">
        <w:trPr>
          <w:trHeight w:val="340"/>
          <w:jc w:val="center"/>
        </w:trPr>
        <w:tc>
          <w:tcPr>
            <w:tcW w:w="1360" w:type="dxa"/>
            <w:tcBorders>
              <w:top w:val="nil"/>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0.1</w:t>
            </w:r>
          </w:p>
        </w:tc>
        <w:tc>
          <w:tcPr>
            <w:tcW w:w="1843" w:type="dxa"/>
            <w:tcBorders>
              <w:top w:val="nil"/>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1,204.2</w:t>
            </w:r>
          </w:p>
        </w:tc>
        <w:tc>
          <w:tcPr>
            <w:tcW w:w="1276" w:type="dxa"/>
            <w:tcBorders>
              <w:top w:val="nil"/>
              <w:bottom w:val="nil"/>
              <w:right w:val="nil"/>
            </w:tcBorders>
            <w:vAlign w:val="center"/>
          </w:tcPr>
          <w:p w:rsidR="00B83440" w:rsidRPr="00A80953" w:rsidRDefault="00B83440" w:rsidP="007917BC">
            <w:pPr>
              <w:bidi w:val="0"/>
              <w:ind w:right="118"/>
              <w:jc w:val="right"/>
              <w:rPr>
                <w:rFonts w:ascii="Arial" w:hAnsi="Arial" w:cs="Arial"/>
                <w:color w:val="000000"/>
                <w:sz w:val="18"/>
                <w:szCs w:val="18"/>
              </w:rPr>
            </w:pPr>
            <w:r w:rsidRPr="00A80953">
              <w:rPr>
                <w:rFonts w:ascii="Arial" w:hAnsi="Arial" w:cs="Arial"/>
                <w:color w:val="000000"/>
                <w:sz w:val="18"/>
                <w:szCs w:val="18"/>
              </w:rPr>
              <w:t>0.</w:t>
            </w:r>
            <w:r w:rsidR="007917BC">
              <w:rPr>
                <w:rFonts w:ascii="Arial" w:hAnsi="Arial" w:cs="Arial"/>
                <w:color w:val="000000"/>
                <w:sz w:val="18"/>
                <w:szCs w:val="18"/>
              </w:rPr>
              <w:t>1</w:t>
            </w:r>
          </w:p>
        </w:tc>
        <w:tc>
          <w:tcPr>
            <w:tcW w:w="1843" w:type="dxa"/>
            <w:tcBorders>
              <w:top w:val="nil"/>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1,062.2</w:t>
            </w:r>
          </w:p>
        </w:tc>
        <w:tc>
          <w:tcPr>
            <w:tcW w:w="2920" w:type="dxa"/>
            <w:tcBorders>
              <w:top w:val="nil"/>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Rehabilitative care</w:t>
            </w:r>
          </w:p>
        </w:tc>
      </w:tr>
      <w:tr w:rsidR="00B83440" w:rsidRPr="00A80953" w:rsidTr="003B587A">
        <w:trPr>
          <w:trHeight w:val="340"/>
          <w:jc w:val="center"/>
        </w:trPr>
        <w:tc>
          <w:tcPr>
            <w:tcW w:w="1360" w:type="dxa"/>
            <w:tcBorders>
              <w:top w:val="nil"/>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0.0</w:t>
            </w:r>
          </w:p>
        </w:tc>
        <w:tc>
          <w:tcPr>
            <w:tcW w:w="1843" w:type="dxa"/>
            <w:tcBorders>
              <w:top w:val="nil"/>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28.2</w:t>
            </w:r>
          </w:p>
        </w:tc>
        <w:tc>
          <w:tcPr>
            <w:tcW w:w="1276" w:type="dxa"/>
            <w:tcBorders>
              <w:top w:val="nil"/>
              <w:bottom w:val="nil"/>
              <w:righ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0.</w:t>
            </w:r>
            <w:r w:rsidR="007917BC">
              <w:rPr>
                <w:rFonts w:ascii="Arial" w:hAnsi="Arial" w:cs="Arial"/>
                <w:color w:val="000000"/>
                <w:sz w:val="18"/>
                <w:szCs w:val="18"/>
              </w:rPr>
              <w:t>0</w:t>
            </w:r>
          </w:p>
        </w:tc>
        <w:tc>
          <w:tcPr>
            <w:tcW w:w="1843" w:type="dxa"/>
            <w:tcBorders>
              <w:top w:val="nil"/>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26.3</w:t>
            </w:r>
          </w:p>
        </w:tc>
        <w:tc>
          <w:tcPr>
            <w:tcW w:w="2920" w:type="dxa"/>
            <w:tcBorders>
              <w:top w:val="nil"/>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Long-term care (health)</w:t>
            </w:r>
          </w:p>
        </w:tc>
      </w:tr>
      <w:tr w:rsidR="00B83440" w:rsidRPr="00A80953" w:rsidTr="003B587A">
        <w:trPr>
          <w:trHeight w:val="340"/>
          <w:jc w:val="center"/>
        </w:trPr>
        <w:tc>
          <w:tcPr>
            <w:tcW w:w="1360" w:type="dxa"/>
            <w:tcBorders>
              <w:top w:val="nil"/>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3.7</w:t>
            </w:r>
          </w:p>
        </w:tc>
        <w:tc>
          <w:tcPr>
            <w:tcW w:w="1843" w:type="dxa"/>
            <w:tcBorders>
              <w:top w:val="nil"/>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51,905.1</w:t>
            </w:r>
          </w:p>
        </w:tc>
        <w:tc>
          <w:tcPr>
            <w:tcW w:w="1276" w:type="dxa"/>
            <w:tcBorders>
              <w:top w:val="nil"/>
              <w:bottom w:val="nil"/>
              <w:righ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3.</w:t>
            </w:r>
            <w:r w:rsidR="007917BC">
              <w:rPr>
                <w:rFonts w:ascii="Arial" w:hAnsi="Arial" w:cs="Arial"/>
                <w:color w:val="000000"/>
                <w:sz w:val="18"/>
                <w:szCs w:val="18"/>
              </w:rPr>
              <w:t>6</w:t>
            </w:r>
          </w:p>
        </w:tc>
        <w:tc>
          <w:tcPr>
            <w:tcW w:w="1843" w:type="dxa"/>
            <w:tcBorders>
              <w:top w:val="nil"/>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47,102.7</w:t>
            </w:r>
          </w:p>
        </w:tc>
        <w:tc>
          <w:tcPr>
            <w:tcW w:w="2920" w:type="dxa"/>
            <w:tcBorders>
              <w:top w:val="nil"/>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Ancillary services (non-specified by function)</w:t>
            </w:r>
          </w:p>
        </w:tc>
      </w:tr>
      <w:tr w:rsidR="00B83440" w:rsidRPr="00A80953" w:rsidTr="003B587A">
        <w:trPr>
          <w:trHeight w:val="340"/>
          <w:jc w:val="center"/>
        </w:trPr>
        <w:tc>
          <w:tcPr>
            <w:tcW w:w="1360" w:type="dxa"/>
            <w:tcBorders>
              <w:top w:val="nil"/>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18.3</w:t>
            </w:r>
          </w:p>
        </w:tc>
        <w:tc>
          <w:tcPr>
            <w:tcW w:w="1843" w:type="dxa"/>
            <w:tcBorders>
              <w:top w:val="nil"/>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260,155.2</w:t>
            </w:r>
          </w:p>
        </w:tc>
        <w:tc>
          <w:tcPr>
            <w:tcW w:w="1276" w:type="dxa"/>
            <w:tcBorders>
              <w:top w:val="nil"/>
              <w:bottom w:val="nil"/>
              <w:righ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18.</w:t>
            </w:r>
            <w:r w:rsidR="007917BC">
              <w:rPr>
                <w:rFonts w:ascii="Arial" w:hAnsi="Arial" w:cs="Arial"/>
                <w:color w:val="000000"/>
                <w:sz w:val="18"/>
                <w:szCs w:val="18"/>
              </w:rPr>
              <w:t>0</w:t>
            </w:r>
          </w:p>
        </w:tc>
        <w:tc>
          <w:tcPr>
            <w:tcW w:w="1843" w:type="dxa"/>
            <w:tcBorders>
              <w:top w:val="nil"/>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238,155.8</w:t>
            </w:r>
          </w:p>
        </w:tc>
        <w:tc>
          <w:tcPr>
            <w:tcW w:w="2920" w:type="dxa"/>
            <w:tcBorders>
              <w:top w:val="nil"/>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Medical goods</w:t>
            </w:r>
          </w:p>
        </w:tc>
      </w:tr>
      <w:tr w:rsidR="00B83440" w:rsidRPr="00A80953" w:rsidTr="003B587A">
        <w:trPr>
          <w:trHeight w:val="340"/>
          <w:jc w:val="center"/>
        </w:trPr>
        <w:tc>
          <w:tcPr>
            <w:tcW w:w="1360" w:type="dxa"/>
            <w:tcBorders>
              <w:top w:val="nil"/>
              <w:bottom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3.6</w:t>
            </w:r>
          </w:p>
        </w:tc>
        <w:tc>
          <w:tcPr>
            <w:tcW w:w="1843" w:type="dxa"/>
            <w:tcBorders>
              <w:top w:val="nil"/>
              <w:left w:val="nil"/>
              <w:bottom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51,314.6</w:t>
            </w:r>
          </w:p>
        </w:tc>
        <w:tc>
          <w:tcPr>
            <w:tcW w:w="1276" w:type="dxa"/>
            <w:tcBorders>
              <w:top w:val="nil"/>
              <w:bottom w:val="nil"/>
              <w:righ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2.</w:t>
            </w:r>
            <w:r w:rsidR="007917BC">
              <w:rPr>
                <w:rFonts w:ascii="Arial" w:hAnsi="Arial" w:cs="Arial"/>
                <w:color w:val="000000"/>
                <w:sz w:val="18"/>
                <w:szCs w:val="18"/>
              </w:rPr>
              <w:t>1</w:t>
            </w:r>
          </w:p>
        </w:tc>
        <w:tc>
          <w:tcPr>
            <w:tcW w:w="1843" w:type="dxa"/>
            <w:tcBorders>
              <w:top w:val="nil"/>
              <w:left w:val="nil"/>
              <w:bottom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27,386.9</w:t>
            </w:r>
          </w:p>
        </w:tc>
        <w:tc>
          <w:tcPr>
            <w:tcW w:w="2920" w:type="dxa"/>
            <w:tcBorders>
              <w:top w:val="nil"/>
              <w:bottom w:val="nil"/>
            </w:tcBorders>
            <w:vAlign w:val="center"/>
          </w:tcPr>
          <w:p w:rsidR="00B83440" w:rsidRPr="00A80953" w:rsidRDefault="00B83440" w:rsidP="00C36779">
            <w:pPr>
              <w:bidi w:val="0"/>
              <w:rPr>
                <w:rFonts w:ascii="Arial" w:hAnsi="Arial" w:cs="Arial"/>
                <w:color w:val="000000"/>
                <w:sz w:val="18"/>
                <w:szCs w:val="18"/>
              </w:rPr>
            </w:pPr>
            <w:r w:rsidRPr="00A80953">
              <w:rPr>
                <w:rFonts w:ascii="Arial" w:hAnsi="Arial" w:cs="Arial"/>
                <w:color w:val="000000"/>
                <w:sz w:val="18"/>
                <w:szCs w:val="18"/>
              </w:rPr>
              <w:t>Preventive care</w:t>
            </w:r>
          </w:p>
        </w:tc>
      </w:tr>
      <w:tr w:rsidR="00B83440" w:rsidRPr="00A80953" w:rsidTr="003B587A">
        <w:trPr>
          <w:trHeight w:val="340"/>
          <w:jc w:val="center"/>
        </w:trPr>
        <w:tc>
          <w:tcPr>
            <w:tcW w:w="1360" w:type="dxa"/>
            <w:tcBorders>
              <w:top w:val="nil"/>
              <w:righ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2.6</w:t>
            </w:r>
          </w:p>
        </w:tc>
        <w:tc>
          <w:tcPr>
            <w:tcW w:w="1843" w:type="dxa"/>
            <w:tcBorders>
              <w:top w:val="nil"/>
              <w:left w:val="nil"/>
            </w:tcBorders>
            <w:vAlign w:val="center"/>
          </w:tcPr>
          <w:p w:rsidR="00B83440" w:rsidRPr="00A80953" w:rsidRDefault="0091249E" w:rsidP="00C36779">
            <w:pPr>
              <w:bidi w:val="0"/>
              <w:ind w:right="118"/>
              <w:jc w:val="right"/>
              <w:rPr>
                <w:rFonts w:ascii="Arial" w:hAnsi="Arial" w:cs="Arial"/>
                <w:color w:val="000000"/>
                <w:sz w:val="18"/>
                <w:szCs w:val="18"/>
              </w:rPr>
            </w:pPr>
            <w:r w:rsidRPr="00A80953">
              <w:rPr>
                <w:rFonts w:ascii="Arial" w:hAnsi="Arial" w:cs="Arial"/>
                <w:color w:val="000000"/>
                <w:sz w:val="18"/>
                <w:szCs w:val="18"/>
              </w:rPr>
              <w:t>37,336.1</w:t>
            </w:r>
          </w:p>
        </w:tc>
        <w:tc>
          <w:tcPr>
            <w:tcW w:w="1276" w:type="dxa"/>
            <w:tcBorders>
              <w:top w:val="nil"/>
              <w:righ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2.7</w:t>
            </w:r>
          </w:p>
        </w:tc>
        <w:tc>
          <w:tcPr>
            <w:tcW w:w="1843" w:type="dxa"/>
            <w:tcBorders>
              <w:top w:val="nil"/>
              <w:left w:val="nil"/>
            </w:tcBorders>
            <w:vAlign w:val="center"/>
          </w:tcPr>
          <w:p w:rsidR="00B83440" w:rsidRPr="00A80953" w:rsidRDefault="00B83440" w:rsidP="006F53D2">
            <w:pPr>
              <w:bidi w:val="0"/>
              <w:ind w:right="118"/>
              <w:jc w:val="right"/>
              <w:rPr>
                <w:rFonts w:ascii="Arial" w:hAnsi="Arial" w:cs="Arial"/>
                <w:color w:val="000000"/>
                <w:sz w:val="18"/>
                <w:szCs w:val="18"/>
              </w:rPr>
            </w:pPr>
            <w:r w:rsidRPr="00A80953">
              <w:rPr>
                <w:rFonts w:ascii="Arial" w:hAnsi="Arial" w:cs="Arial"/>
                <w:color w:val="000000"/>
                <w:sz w:val="18"/>
                <w:szCs w:val="18"/>
              </w:rPr>
              <w:t>35,824.5</w:t>
            </w:r>
          </w:p>
        </w:tc>
        <w:tc>
          <w:tcPr>
            <w:tcW w:w="2920" w:type="dxa"/>
            <w:tcBorders>
              <w:top w:val="nil"/>
            </w:tcBorders>
            <w:vAlign w:val="center"/>
          </w:tcPr>
          <w:p w:rsidR="00B83440" w:rsidRPr="00A80953" w:rsidRDefault="00B83440" w:rsidP="00C36779">
            <w:pPr>
              <w:bidi w:val="0"/>
              <w:rPr>
                <w:rFonts w:ascii="Arial" w:hAnsi="Arial" w:cs="Arial"/>
                <w:color w:val="000000"/>
                <w:sz w:val="18"/>
                <w:szCs w:val="18"/>
              </w:rPr>
            </w:pPr>
            <w:bookmarkStart w:id="0" w:name="RANGE!A23"/>
            <w:r w:rsidRPr="00A80953">
              <w:rPr>
                <w:rFonts w:ascii="Arial" w:hAnsi="Arial" w:cs="Arial"/>
                <w:color w:val="000000"/>
                <w:sz w:val="18"/>
                <w:szCs w:val="18"/>
              </w:rPr>
              <w:t>Governance, and health system and financing administration</w:t>
            </w:r>
            <w:bookmarkEnd w:id="0"/>
          </w:p>
        </w:tc>
      </w:tr>
    </w:tbl>
    <w:p w:rsidR="005F5797" w:rsidRPr="00C36779" w:rsidRDefault="005F5797" w:rsidP="00C36779">
      <w:pPr>
        <w:bidi w:val="0"/>
        <w:jc w:val="both"/>
        <w:rPr>
          <w:color w:val="000000"/>
          <w:sz w:val="28"/>
          <w:szCs w:val="28"/>
        </w:rPr>
      </w:pPr>
    </w:p>
    <w:p w:rsidR="005F5797" w:rsidRPr="00B84067" w:rsidRDefault="005F5797" w:rsidP="00354587">
      <w:pPr>
        <w:bidi w:val="0"/>
        <w:jc w:val="both"/>
        <w:rPr>
          <w:color w:val="000000"/>
        </w:rPr>
      </w:pPr>
      <w:r w:rsidRPr="00B84067">
        <w:rPr>
          <w:color w:val="000000"/>
        </w:rPr>
        <w:t xml:space="preserve">Most of the total health expenditure </w:t>
      </w:r>
      <w:r w:rsidR="00354587">
        <w:rPr>
          <w:color w:val="000000"/>
        </w:rPr>
        <w:t>was</w:t>
      </w:r>
      <w:r w:rsidRPr="00B84067">
        <w:rPr>
          <w:color w:val="000000"/>
        </w:rPr>
        <w:t xml:space="preserve"> spent by curative care (inpatient curative </w:t>
      </w:r>
      <w:r w:rsidR="00354587">
        <w:rPr>
          <w:color w:val="000000"/>
        </w:rPr>
        <w:t>care</w:t>
      </w:r>
      <w:r w:rsidRPr="00B84067">
        <w:rPr>
          <w:color w:val="000000"/>
        </w:rPr>
        <w:t xml:space="preserve"> and outpatient curative care)</w:t>
      </w:r>
      <w:r w:rsidR="00C12C12">
        <w:rPr>
          <w:color w:val="000000"/>
        </w:rPr>
        <w:t xml:space="preserve"> </w:t>
      </w:r>
      <w:r w:rsidR="00354587">
        <w:rPr>
          <w:color w:val="000000"/>
        </w:rPr>
        <w:t>with a percentage of about</w:t>
      </w:r>
      <w:r w:rsidR="00C12C12">
        <w:rPr>
          <w:color w:val="000000"/>
        </w:rPr>
        <w:t xml:space="preserve"> 71.7%</w:t>
      </w:r>
      <w:r w:rsidR="00354587">
        <w:rPr>
          <w:color w:val="000000"/>
        </w:rPr>
        <w:t>, while</w:t>
      </w:r>
      <w:r w:rsidRPr="00B84067">
        <w:rPr>
          <w:color w:val="000000"/>
        </w:rPr>
        <w:t xml:space="preserve"> data show</w:t>
      </w:r>
      <w:r w:rsidR="00720048">
        <w:rPr>
          <w:color w:val="000000"/>
        </w:rPr>
        <w:t>s</w:t>
      </w:r>
      <w:r w:rsidR="00354587">
        <w:rPr>
          <w:color w:val="000000"/>
        </w:rPr>
        <w:t xml:space="preserve"> that about</w:t>
      </w:r>
      <w:r w:rsidR="00BA52E5">
        <w:rPr>
          <w:color w:val="000000"/>
        </w:rPr>
        <w:t xml:space="preserve"> 18.3</w:t>
      </w:r>
      <w:r w:rsidRPr="00B84067">
        <w:rPr>
          <w:color w:val="000000"/>
        </w:rPr>
        <w:t xml:space="preserve">% </w:t>
      </w:r>
      <w:r w:rsidR="00354587">
        <w:rPr>
          <w:color w:val="000000"/>
        </w:rPr>
        <w:t>of</w:t>
      </w:r>
      <w:r w:rsidR="00720048">
        <w:rPr>
          <w:color w:val="000000"/>
        </w:rPr>
        <w:t xml:space="preserve"> the </w:t>
      </w:r>
      <w:r w:rsidRPr="00B84067">
        <w:rPr>
          <w:color w:val="000000"/>
        </w:rPr>
        <w:t>total health expenditure wa</w:t>
      </w:r>
      <w:r w:rsidR="00A13B11">
        <w:rPr>
          <w:color w:val="000000"/>
        </w:rPr>
        <w:t>s spent</w:t>
      </w:r>
      <w:r w:rsidR="00BA52E5">
        <w:rPr>
          <w:color w:val="000000"/>
        </w:rPr>
        <w:t xml:space="preserve"> on medical goods in 2016</w:t>
      </w:r>
      <w:r w:rsidRPr="00B84067">
        <w:rPr>
          <w:color w:val="000000"/>
        </w:rPr>
        <w:t xml:space="preserve">.  And there </w:t>
      </w:r>
      <w:r w:rsidR="00354587">
        <w:rPr>
          <w:color w:val="000000"/>
        </w:rPr>
        <w:t xml:space="preserve">was </w:t>
      </w:r>
      <w:r w:rsidRPr="00B84067">
        <w:rPr>
          <w:color w:val="000000"/>
        </w:rPr>
        <w:t>expenditure by small part on rehabilitative care, long-term care (health), ancillary services (non-specified by function), preventive care and governance, and health system and financing administration.</w:t>
      </w:r>
    </w:p>
    <w:p w:rsidR="005F5797" w:rsidRPr="00B84067" w:rsidRDefault="005F5797" w:rsidP="00C36779">
      <w:pPr>
        <w:bidi w:val="0"/>
        <w:jc w:val="both"/>
        <w:rPr>
          <w:color w:val="000000"/>
        </w:rPr>
      </w:pPr>
    </w:p>
    <w:p w:rsidR="005C4DAF" w:rsidRDefault="00034CED" w:rsidP="00720048">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w:t>
      </w:r>
      <w:r w:rsidR="005F5797" w:rsidRPr="005C4DAF">
        <w:rPr>
          <w:rFonts w:asciiTheme="majorBidi" w:hAnsiTheme="majorBidi" w:cstheme="majorBidi"/>
          <w:color w:val="000000" w:themeColor="text1"/>
          <w:sz w:val="24"/>
          <w:szCs w:val="24"/>
        </w:rPr>
        <w:t>4 Health Expenditure by Health Care Provider</w:t>
      </w:r>
      <w:r w:rsidR="005F5797" w:rsidRPr="005C4DAF">
        <w:rPr>
          <w:rStyle w:val="FootnoteReference"/>
          <w:rFonts w:asciiTheme="majorBidi" w:hAnsiTheme="majorBidi" w:cstheme="majorBidi"/>
          <w:color w:val="000000" w:themeColor="text1"/>
          <w:sz w:val="24"/>
          <w:szCs w:val="24"/>
        </w:rPr>
        <w:footnoteReference w:id="1"/>
      </w:r>
    </w:p>
    <w:p w:rsidR="005F5797" w:rsidRDefault="005F5797" w:rsidP="00190C36">
      <w:pPr>
        <w:pStyle w:val="Title"/>
        <w:spacing w:after="0"/>
        <w:jc w:val="both"/>
        <w:outlineLvl w:val="9"/>
        <w:rPr>
          <w:rFonts w:ascii="Times New Roman"/>
          <w:b w:val="0"/>
          <w:bCs w:val="0"/>
          <w:color w:val="000000" w:themeColor="text1"/>
          <w:sz w:val="24"/>
          <w:szCs w:val="24"/>
        </w:rPr>
      </w:pPr>
      <w:bookmarkStart w:id="1" w:name="OLE_LINK1"/>
      <w:r w:rsidRPr="005C4DAF">
        <w:rPr>
          <w:rFonts w:asciiTheme="majorBidi" w:hAnsiTheme="majorBidi" w:cstheme="majorBidi"/>
          <w:b w:val="0"/>
          <w:bCs w:val="0"/>
          <w:color w:val="000000" w:themeColor="text1"/>
          <w:sz w:val="24"/>
          <w:szCs w:val="24"/>
        </w:rPr>
        <w:t>Hospitals</w:t>
      </w:r>
      <w:r w:rsidR="00720048" w:rsidRPr="005C4DAF">
        <w:rPr>
          <w:rFonts w:asciiTheme="majorBidi" w:hAnsiTheme="majorBidi" w:cstheme="majorBidi"/>
          <w:b w:val="0"/>
          <w:bCs w:val="0"/>
          <w:color w:val="000000" w:themeColor="text1"/>
          <w:sz w:val="24"/>
          <w:szCs w:val="24"/>
        </w:rPr>
        <w:t>, which</w:t>
      </w:r>
      <w:r w:rsidR="00720048">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were classified according to type: general hospitals, mental health hospitals and specialized hospitals</w:t>
      </w:r>
      <w:r w:rsidR="00720048">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 xml:space="preserve">held the highest-rank in the percent contribution in current </w:t>
      </w:r>
      <w:r w:rsidR="00502FAA">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 xml:space="preserve">health expenditure. </w:t>
      </w:r>
      <w:r w:rsidR="002B35DD">
        <w:rPr>
          <w:rFonts w:ascii="Times New Roman"/>
          <w:b w:val="0"/>
          <w:bCs w:val="0"/>
          <w:color w:val="000000" w:themeColor="text1"/>
          <w:sz w:val="24"/>
          <w:szCs w:val="24"/>
        </w:rPr>
        <w:t>T</w:t>
      </w:r>
      <w:r w:rsidR="00720048">
        <w:rPr>
          <w:rFonts w:ascii="Times New Roman"/>
          <w:b w:val="0"/>
          <w:bCs w:val="0"/>
          <w:color w:val="000000" w:themeColor="text1"/>
          <w:sz w:val="24"/>
          <w:szCs w:val="24"/>
        </w:rPr>
        <w:t>hey</w:t>
      </w:r>
      <w:r w:rsidR="00720048" w:rsidRPr="006D4726">
        <w:rPr>
          <w:rFonts w:ascii="Times New Roman"/>
          <w:b w:val="0"/>
          <w:bCs w:val="0"/>
          <w:color w:val="000000" w:themeColor="text1"/>
          <w:sz w:val="24"/>
          <w:szCs w:val="24"/>
        </w:rPr>
        <w:t xml:space="preserve"> </w:t>
      </w:r>
      <w:r w:rsidR="00BF4C9D">
        <w:rPr>
          <w:rFonts w:ascii="Times New Roman"/>
          <w:b w:val="0"/>
          <w:bCs w:val="0"/>
          <w:color w:val="000000" w:themeColor="text1"/>
          <w:sz w:val="24"/>
          <w:szCs w:val="24"/>
        </w:rPr>
        <w:t>spent equivalent of 41.6% and 39.</w:t>
      </w:r>
      <w:r w:rsidR="00190C36">
        <w:rPr>
          <w:rFonts w:ascii="Times New Roman"/>
          <w:b w:val="0"/>
          <w:bCs w:val="0"/>
          <w:color w:val="000000" w:themeColor="text1"/>
          <w:sz w:val="24"/>
          <w:szCs w:val="24"/>
        </w:rPr>
        <w:t>6</w:t>
      </w:r>
      <w:r w:rsidRPr="006D4726">
        <w:rPr>
          <w:rFonts w:ascii="Times New Roman"/>
          <w:b w:val="0"/>
          <w:bCs w:val="0"/>
          <w:color w:val="000000" w:themeColor="text1"/>
          <w:sz w:val="24"/>
          <w:szCs w:val="24"/>
        </w:rPr>
        <w:t>%, respectively in</w:t>
      </w:r>
      <w:r w:rsidR="00720048">
        <w:rPr>
          <w:rFonts w:ascii="Times New Roman"/>
          <w:b w:val="0"/>
          <w:bCs w:val="0"/>
          <w:color w:val="000000" w:themeColor="text1"/>
          <w:sz w:val="24"/>
          <w:szCs w:val="24"/>
        </w:rPr>
        <w:t xml:space="preserve"> the years</w:t>
      </w:r>
      <w:r w:rsidR="00BF4C9D">
        <w:rPr>
          <w:rFonts w:ascii="Times New Roman"/>
          <w:b w:val="0"/>
          <w:bCs w:val="0"/>
          <w:color w:val="000000" w:themeColor="text1"/>
          <w:sz w:val="24"/>
          <w:szCs w:val="24"/>
        </w:rPr>
        <w:t xml:space="preserve"> 2015</w:t>
      </w:r>
      <w:r w:rsidR="00720048">
        <w:rPr>
          <w:rFonts w:ascii="Times New Roman"/>
          <w:b w:val="0"/>
          <w:bCs w:val="0"/>
          <w:color w:val="000000" w:themeColor="text1"/>
          <w:sz w:val="24"/>
          <w:szCs w:val="24"/>
        </w:rPr>
        <w:t xml:space="preserve"> and </w:t>
      </w:r>
      <w:r>
        <w:rPr>
          <w:rFonts w:ascii="Times New Roman"/>
          <w:b w:val="0"/>
          <w:bCs w:val="0"/>
          <w:color w:val="000000" w:themeColor="text1"/>
          <w:sz w:val="24"/>
          <w:szCs w:val="24"/>
        </w:rPr>
        <w:t xml:space="preserve"> </w:t>
      </w:r>
      <w:r w:rsidR="00BF4C9D">
        <w:rPr>
          <w:rFonts w:ascii="Times New Roman"/>
          <w:b w:val="0"/>
          <w:bCs w:val="0"/>
          <w:color w:val="000000" w:themeColor="text1"/>
          <w:sz w:val="24"/>
          <w:szCs w:val="24"/>
        </w:rPr>
        <w:t>2016</w:t>
      </w:r>
      <w:r w:rsidRPr="006D4726">
        <w:rPr>
          <w:rFonts w:ascii="Times New Roman"/>
          <w:b w:val="0"/>
          <w:bCs w:val="0"/>
          <w:color w:val="000000" w:themeColor="text1"/>
          <w:sz w:val="24"/>
          <w:szCs w:val="24"/>
        </w:rPr>
        <w:t>.</w:t>
      </w:r>
    </w:p>
    <w:p w:rsidR="005D5FA8" w:rsidRPr="005D5FA8" w:rsidRDefault="005D5FA8" w:rsidP="005D5FA8">
      <w:pPr>
        <w:tabs>
          <w:tab w:val="left" w:pos="8286"/>
        </w:tabs>
        <w:rPr>
          <w:sz w:val="18"/>
          <w:szCs w:val="18"/>
          <w:rtl/>
          <w:lang w:val="en-GB" w:eastAsia="en-US"/>
        </w:rPr>
      </w:pPr>
      <w:r>
        <w:rPr>
          <w:rtl/>
          <w:lang w:val="en-GB" w:eastAsia="en-US"/>
        </w:rPr>
        <w:tab/>
      </w:r>
    </w:p>
    <w:p w:rsidR="00354587" w:rsidRDefault="00354587" w:rsidP="00354587">
      <w:pPr>
        <w:bidi w:val="0"/>
        <w:jc w:val="both"/>
        <w:rPr>
          <w:lang w:eastAsia="en-US"/>
        </w:rPr>
      </w:pPr>
      <w:r w:rsidRPr="009452F3">
        <w:rPr>
          <w:color w:val="000000"/>
        </w:rPr>
        <w:lastRenderedPageBreak/>
        <w:t xml:space="preserve">Providers of </w:t>
      </w:r>
      <w:r>
        <w:rPr>
          <w:color w:val="000000"/>
        </w:rPr>
        <w:t>a</w:t>
      </w:r>
      <w:r w:rsidRPr="00613227">
        <w:rPr>
          <w:color w:val="000000"/>
        </w:rPr>
        <w:t>mbulatory health</w:t>
      </w:r>
      <w:r>
        <w:rPr>
          <w:color w:val="000000"/>
        </w:rPr>
        <w:t xml:space="preserve"> </w:t>
      </w:r>
      <w:r w:rsidRPr="00613227">
        <w:rPr>
          <w:color w:val="000000"/>
        </w:rPr>
        <w:t xml:space="preserve">care centre </w:t>
      </w:r>
      <w:r w:rsidRPr="009452F3">
        <w:rPr>
          <w:color w:val="000000"/>
        </w:rPr>
        <w:t xml:space="preserve">recorded </w:t>
      </w:r>
      <w:r>
        <w:rPr>
          <w:color w:val="000000"/>
        </w:rPr>
        <w:t>a decrease</w:t>
      </w:r>
      <w:r w:rsidRPr="009452F3">
        <w:rPr>
          <w:color w:val="000000"/>
        </w:rPr>
        <w:t xml:space="preserve"> in primary health</w:t>
      </w:r>
      <w:r w:rsidR="00F420F2">
        <w:rPr>
          <w:color w:val="000000"/>
        </w:rPr>
        <w:t xml:space="preserve"> </w:t>
      </w:r>
      <w:r w:rsidRPr="009452F3">
        <w:rPr>
          <w:color w:val="000000"/>
        </w:rPr>
        <w:t xml:space="preserve">care services </w:t>
      </w:r>
      <w:r>
        <w:rPr>
          <w:color w:val="000000"/>
        </w:rPr>
        <w:t>between</w:t>
      </w:r>
      <w:r w:rsidRPr="009452F3">
        <w:rPr>
          <w:color w:val="000000"/>
        </w:rPr>
        <w:t xml:space="preserve"> </w:t>
      </w:r>
      <w:r>
        <w:rPr>
          <w:color w:val="000000"/>
        </w:rPr>
        <w:t>2015</w:t>
      </w:r>
      <w:r w:rsidRPr="009452F3">
        <w:rPr>
          <w:color w:val="000000"/>
        </w:rPr>
        <w:t xml:space="preserve"> and </w:t>
      </w:r>
      <w:r>
        <w:rPr>
          <w:color w:val="000000"/>
        </w:rPr>
        <w:t>2016</w:t>
      </w:r>
      <w:r w:rsidRPr="009452F3">
        <w:rPr>
          <w:color w:val="000000"/>
        </w:rPr>
        <w:t xml:space="preserve">, The </w:t>
      </w:r>
      <w:r>
        <w:rPr>
          <w:color w:val="000000"/>
        </w:rPr>
        <w:t>percent contribution</w:t>
      </w:r>
      <w:r w:rsidRPr="009452F3">
        <w:rPr>
          <w:color w:val="000000"/>
        </w:rPr>
        <w:t xml:space="preserve"> of</w:t>
      </w:r>
      <w:r>
        <w:rPr>
          <w:color w:val="000000"/>
        </w:rPr>
        <w:t xml:space="preserve"> total</w:t>
      </w:r>
      <w:r w:rsidRPr="009452F3">
        <w:rPr>
          <w:color w:val="000000"/>
        </w:rPr>
        <w:t xml:space="preserve"> health expenditure for this category was</w:t>
      </w:r>
      <w:r>
        <w:rPr>
          <w:color w:val="000000"/>
        </w:rPr>
        <w:t xml:space="preserve"> about</w:t>
      </w:r>
      <w:r w:rsidRPr="009452F3">
        <w:rPr>
          <w:color w:val="000000"/>
        </w:rPr>
        <w:t xml:space="preserve"> </w:t>
      </w:r>
      <w:r>
        <w:rPr>
          <w:color w:val="000000"/>
        </w:rPr>
        <w:t>20.4% in 2015, while it reached about 19.2% in 2016.</w:t>
      </w:r>
    </w:p>
    <w:p w:rsidR="005F5797" w:rsidRPr="00140C95" w:rsidRDefault="005F5797" w:rsidP="00501A62">
      <w:pPr>
        <w:bidi w:val="0"/>
        <w:jc w:val="both"/>
        <w:rPr>
          <w:color w:val="000000"/>
        </w:rPr>
      </w:pPr>
      <w:r w:rsidRPr="009452F3">
        <w:rPr>
          <w:color w:val="000000"/>
        </w:rPr>
        <w:t xml:space="preserve">Total expenditure by providers on </w:t>
      </w:r>
      <w:r w:rsidR="005C4DAF">
        <w:rPr>
          <w:color w:val="000000"/>
        </w:rPr>
        <w:t>r</w:t>
      </w:r>
      <w:r w:rsidRPr="008131F0">
        <w:rPr>
          <w:color w:val="000000"/>
        </w:rPr>
        <w:t>etailers and other providers of medical goods</w:t>
      </w:r>
      <w:r>
        <w:rPr>
          <w:color w:val="000000"/>
        </w:rPr>
        <w:t xml:space="preserve"> </w:t>
      </w:r>
      <w:r w:rsidRPr="009452F3">
        <w:rPr>
          <w:color w:val="000000"/>
        </w:rPr>
        <w:t xml:space="preserve">in all sectors in Palestine </w:t>
      </w:r>
      <w:r>
        <w:rPr>
          <w:color w:val="000000"/>
        </w:rPr>
        <w:t>reached</w:t>
      </w:r>
      <w:r w:rsidRPr="009452F3">
        <w:rPr>
          <w:color w:val="000000"/>
        </w:rPr>
        <w:t xml:space="preserve"> </w:t>
      </w:r>
      <w:r w:rsidR="00BF4C9D">
        <w:rPr>
          <w:color w:val="000000"/>
        </w:rPr>
        <w:t>259.6</w:t>
      </w:r>
      <w:r>
        <w:rPr>
          <w:color w:val="000000"/>
        </w:rPr>
        <w:t xml:space="preserve"> million</w:t>
      </w:r>
      <w:r w:rsidR="00720048">
        <w:rPr>
          <w:color w:val="000000"/>
        </w:rPr>
        <w:t>s</w:t>
      </w:r>
      <w:r w:rsidR="00BF4C9D">
        <w:rPr>
          <w:color w:val="000000"/>
        </w:rPr>
        <w:t xml:space="preserve"> in 2016</w:t>
      </w:r>
      <w:r w:rsidR="00501A62">
        <w:rPr>
          <w:color w:val="000000"/>
        </w:rPr>
        <w:t>, where it was</w:t>
      </w:r>
      <w:r>
        <w:rPr>
          <w:color w:val="000000"/>
        </w:rPr>
        <w:t xml:space="preserve"> </w:t>
      </w:r>
      <w:r w:rsidRPr="009452F3">
        <w:rPr>
          <w:color w:val="000000"/>
        </w:rPr>
        <w:t>equivalent</w:t>
      </w:r>
      <w:r>
        <w:rPr>
          <w:color w:val="000000"/>
        </w:rPr>
        <w:t xml:space="preserve"> </w:t>
      </w:r>
      <w:r w:rsidR="00720048">
        <w:rPr>
          <w:color w:val="000000"/>
        </w:rPr>
        <w:t xml:space="preserve">to </w:t>
      </w:r>
      <w:r>
        <w:rPr>
          <w:color w:val="000000"/>
        </w:rPr>
        <w:t>18</w:t>
      </w:r>
      <w:r w:rsidR="00BF4C9D">
        <w:rPr>
          <w:color w:val="000000"/>
        </w:rPr>
        <w:t>.3</w:t>
      </w:r>
      <w:r>
        <w:rPr>
          <w:color w:val="000000"/>
        </w:rPr>
        <w:t xml:space="preserve">% </w:t>
      </w:r>
      <w:r w:rsidR="00501A62">
        <w:rPr>
          <w:color w:val="000000"/>
        </w:rPr>
        <w:t>of</w:t>
      </w:r>
      <w:r>
        <w:rPr>
          <w:color w:val="000000"/>
        </w:rPr>
        <w:t xml:space="preserve"> total expenditure on health.</w:t>
      </w:r>
    </w:p>
    <w:p w:rsidR="00473D48" w:rsidRDefault="00473D48" w:rsidP="00211C16">
      <w:pPr>
        <w:bidi w:val="0"/>
        <w:jc w:val="center"/>
        <w:rPr>
          <w:rFonts w:ascii="Arial" w:hAnsi="Arial" w:cs="Arial"/>
          <w:b/>
          <w:bCs/>
          <w:color w:val="000000"/>
          <w:sz w:val="22"/>
          <w:szCs w:val="22"/>
        </w:rPr>
      </w:pPr>
    </w:p>
    <w:p w:rsidR="005F5797" w:rsidRPr="00793C55" w:rsidRDefault="005F5797" w:rsidP="00473D48">
      <w:pPr>
        <w:bidi w:val="0"/>
        <w:jc w:val="center"/>
        <w:rPr>
          <w:rFonts w:ascii="Arial" w:hAnsi="Arial" w:cs="Arial"/>
          <w:b/>
          <w:bCs/>
          <w:color w:val="000000"/>
          <w:sz w:val="22"/>
          <w:szCs w:val="22"/>
        </w:rPr>
      </w:pPr>
      <w:r w:rsidRPr="00793C55">
        <w:rPr>
          <w:rFonts w:ascii="Arial" w:hAnsi="Arial" w:cs="Arial"/>
          <w:b/>
          <w:bCs/>
          <w:color w:val="000000"/>
          <w:sz w:val="22"/>
          <w:szCs w:val="22"/>
        </w:rPr>
        <w:t xml:space="preserve">Percentage Distribution of Total Current Expenditure on Health by Providers in Palestine for </w:t>
      </w:r>
      <w:r w:rsidR="00F52070" w:rsidRPr="00793C55">
        <w:rPr>
          <w:rFonts w:ascii="Arial" w:hAnsi="Arial" w:cs="Arial"/>
          <w:b/>
          <w:bCs/>
          <w:color w:val="000000"/>
          <w:sz w:val="22"/>
          <w:szCs w:val="22"/>
        </w:rPr>
        <w:t>2016</w:t>
      </w:r>
    </w:p>
    <w:tbl>
      <w:tblPr>
        <w:tblStyle w:val="TableGrid"/>
        <w:tblW w:w="0" w:type="auto"/>
        <w:jc w:val="center"/>
        <w:tblLook w:val="04A0"/>
      </w:tblPr>
      <w:tblGrid>
        <w:gridCol w:w="8886"/>
      </w:tblGrid>
      <w:tr w:rsidR="00DC3026" w:rsidTr="008912A2">
        <w:trPr>
          <w:trHeight w:val="4599"/>
          <w:jc w:val="center"/>
        </w:trPr>
        <w:tc>
          <w:tcPr>
            <w:tcW w:w="8755" w:type="dxa"/>
            <w:vAlign w:val="center"/>
          </w:tcPr>
          <w:p w:rsidR="00DC3026" w:rsidRDefault="00EE6F51" w:rsidP="008912A2">
            <w:pPr>
              <w:bidi w:val="0"/>
              <w:jc w:val="center"/>
              <w:rPr>
                <w:b/>
                <w:bCs/>
                <w:color w:val="000000"/>
              </w:rPr>
            </w:pPr>
            <w:r w:rsidRPr="00EE6F51">
              <w:rPr>
                <w:b/>
                <w:bCs/>
                <w:noProof/>
                <w:color w:val="000000"/>
                <w:lang w:eastAsia="en-US"/>
              </w:rPr>
              <w:drawing>
                <wp:inline distT="0" distB="0" distL="0" distR="0">
                  <wp:extent cx="5484603" cy="3243533"/>
                  <wp:effectExtent l="19050" t="0" r="1797"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73D48" w:rsidRPr="00502FAA" w:rsidRDefault="00473D48" w:rsidP="008912A2">
      <w:pPr>
        <w:bidi w:val="0"/>
        <w:spacing w:line="276" w:lineRule="auto"/>
        <w:rPr>
          <w:color w:val="000000"/>
        </w:rPr>
      </w:pPr>
    </w:p>
    <w:p w:rsidR="005F5797" w:rsidRPr="00124068" w:rsidRDefault="00034CED" w:rsidP="00473D48">
      <w:pPr>
        <w:bidi w:val="0"/>
        <w:spacing w:line="276" w:lineRule="auto"/>
        <w:rPr>
          <w:color w:val="000000"/>
          <w:sz w:val="16"/>
          <w:szCs w:val="16"/>
        </w:rPr>
      </w:pPr>
      <w:r w:rsidRPr="00124068">
        <w:rPr>
          <w:b/>
          <w:bCs/>
          <w:color w:val="000000"/>
        </w:rPr>
        <w:t>2.</w:t>
      </w:r>
      <w:r w:rsidR="005F5797" w:rsidRPr="00124068">
        <w:rPr>
          <w:b/>
          <w:bCs/>
          <w:color w:val="000000"/>
        </w:rPr>
        <w:t>5 Percentage of Health Expenditures to Gross Domestic Product (GDP)</w:t>
      </w:r>
    </w:p>
    <w:p w:rsidR="005F5797" w:rsidRPr="00124068" w:rsidRDefault="005F5797" w:rsidP="00211C16">
      <w:pPr>
        <w:pStyle w:val="NormalWeb"/>
        <w:spacing w:before="0" w:beforeAutospacing="0" w:after="0" w:afterAutospacing="0"/>
        <w:jc w:val="both"/>
        <w:rPr>
          <w:rFonts w:ascii="Times New Roman" w:hAnsi="Times New Roman" w:cs="Times New Roman"/>
        </w:rPr>
      </w:pPr>
      <w:r w:rsidRPr="00124068">
        <w:rPr>
          <w:rFonts w:ascii="Times New Roman" w:hAnsi="Times New Roman" w:cs="Times New Roman"/>
        </w:rPr>
        <w:t xml:space="preserve">The percentage of health expenditure of the Gross Domestic Product (GDP) in Palestine at current prices </w:t>
      </w:r>
      <w:r w:rsidR="00211C16">
        <w:rPr>
          <w:rFonts w:ascii="Times New Roman" w:hAnsi="Times New Roman" w:cs="Times New Roman"/>
        </w:rPr>
        <w:t>was</w:t>
      </w:r>
      <w:r w:rsidRPr="00124068">
        <w:rPr>
          <w:rFonts w:ascii="Times New Roman" w:hAnsi="Times New Roman" w:cs="Times New Roman"/>
        </w:rPr>
        <w:t xml:space="preserve"> 10.7% in 2015</w:t>
      </w:r>
      <w:r w:rsidR="00211C16">
        <w:rPr>
          <w:rFonts w:ascii="Times New Roman" w:hAnsi="Times New Roman" w:cs="Times New Roman"/>
        </w:rPr>
        <w:t xml:space="preserve"> and 2016</w:t>
      </w:r>
      <w:r w:rsidRPr="00124068">
        <w:rPr>
          <w:rFonts w:ascii="Times New Roman" w:hAnsi="Times New Roman" w:cs="Times New Roman"/>
        </w:rPr>
        <w:t>.</w:t>
      </w:r>
      <w:r w:rsidRPr="00124068">
        <w:rPr>
          <w:rStyle w:val="FootnoteReference"/>
        </w:rPr>
        <w:footnoteReference w:id="2"/>
      </w:r>
    </w:p>
    <w:p w:rsidR="005F5797" w:rsidRPr="00502FAA" w:rsidRDefault="005F5797" w:rsidP="008912A2">
      <w:pPr>
        <w:pStyle w:val="Subtitle"/>
        <w:rPr>
          <w:rFonts w:ascii="Times New Roman" w:hAnsi="Times New Roman"/>
          <w:color w:val="000000"/>
          <w:sz w:val="24"/>
          <w:szCs w:val="24"/>
        </w:rPr>
      </w:pPr>
    </w:p>
    <w:p w:rsidR="005F5797" w:rsidRPr="00D92A2F" w:rsidRDefault="005F5797" w:rsidP="00F52070">
      <w:pPr>
        <w:pStyle w:val="Subtitle"/>
        <w:rPr>
          <w:rFonts w:ascii="Arial" w:hAnsi="Arial" w:cs="Arial"/>
          <w:color w:val="000000"/>
          <w:sz w:val="22"/>
          <w:szCs w:val="22"/>
        </w:rPr>
      </w:pPr>
      <w:r w:rsidRPr="00D92A2F">
        <w:rPr>
          <w:rFonts w:ascii="Arial" w:hAnsi="Arial" w:cs="Arial"/>
          <w:color w:val="000000"/>
          <w:sz w:val="22"/>
          <w:szCs w:val="22"/>
        </w:rPr>
        <w:t>Total Health Expenditure</w:t>
      </w:r>
      <w:r w:rsidR="002924C5" w:rsidRPr="00D92A2F">
        <w:rPr>
          <w:rStyle w:val="FootnoteReference"/>
          <w:rFonts w:ascii="Arial" w:hAnsi="Arial" w:cs="Arial"/>
          <w:color w:val="000000"/>
          <w:sz w:val="22"/>
          <w:szCs w:val="22"/>
        </w:rPr>
        <w:footnoteReference w:id="3"/>
      </w:r>
      <w:r w:rsidRPr="00D92A2F">
        <w:rPr>
          <w:rFonts w:ascii="Arial" w:hAnsi="Arial" w:cs="Arial"/>
          <w:color w:val="000000"/>
          <w:sz w:val="22"/>
          <w:szCs w:val="22"/>
        </w:rPr>
        <w:t>, GDP at Current Prices in Palestine</w:t>
      </w:r>
      <w:r w:rsidRPr="00D92A2F">
        <w:rPr>
          <w:rFonts w:ascii="Arial" w:hAnsi="Arial" w:cs="Arial"/>
          <w:b w:val="0"/>
          <w:bCs w:val="0"/>
          <w:noProof w:val="0"/>
          <w:color w:val="000000"/>
          <w:sz w:val="22"/>
          <w:szCs w:val="22"/>
        </w:rPr>
        <w:t xml:space="preserve"> </w:t>
      </w:r>
      <w:r w:rsidR="00F52070" w:rsidRPr="00D92A2F">
        <w:rPr>
          <w:rFonts w:ascii="Arial" w:hAnsi="Arial" w:cs="Arial"/>
          <w:color w:val="000000"/>
          <w:sz w:val="22"/>
          <w:szCs w:val="22"/>
        </w:rPr>
        <w:t>2015</w:t>
      </w:r>
      <w:r w:rsidR="002F4938">
        <w:rPr>
          <w:rFonts w:ascii="Arial" w:hAnsi="Arial" w:cs="Arial"/>
          <w:color w:val="000000"/>
          <w:sz w:val="22"/>
          <w:szCs w:val="22"/>
        </w:rPr>
        <w:t xml:space="preserve"> and</w:t>
      </w:r>
      <w:r w:rsidRPr="00D92A2F">
        <w:rPr>
          <w:rFonts w:ascii="Arial" w:hAnsi="Arial" w:cs="Arial"/>
          <w:color w:val="000000"/>
          <w:sz w:val="22"/>
          <w:szCs w:val="22"/>
        </w:rPr>
        <w:t xml:space="preserve"> </w:t>
      </w:r>
      <w:r w:rsidR="00F52070" w:rsidRPr="00D92A2F">
        <w:rPr>
          <w:rFonts w:ascii="Arial" w:hAnsi="Arial" w:cs="Arial"/>
          <w:color w:val="000000"/>
          <w:sz w:val="22"/>
          <w:szCs w:val="22"/>
        </w:rPr>
        <w:t>2016</w:t>
      </w:r>
    </w:p>
    <w:tbl>
      <w:tblPr>
        <w:tblStyle w:val="TableGrid"/>
        <w:tblW w:w="0" w:type="auto"/>
        <w:jc w:val="center"/>
        <w:tblLook w:val="04A0"/>
      </w:tblPr>
      <w:tblGrid>
        <w:gridCol w:w="9039"/>
      </w:tblGrid>
      <w:tr w:rsidR="005F5797" w:rsidTr="005D5FA8">
        <w:trPr>
          <w:trHeight w:val="3889"/>
          <w:jc w:val="center"/>
        </w:trPr>
        <w:tc>
          <w:tcPr>
            <w:tcW w:w="9039" w:type="dxa"/>
            <w:vAlign w:val="center"/>
          </w:tcPr>
          <w:p w:rsidR="005F5797" w:rsidRDefault="00793C55" w:rsidP="00502FAA">
            <w:pPr>
              <w:pStyle w:val="Subtitle"/>
              <w:rPr>
                <w:rFonts w:ascii="Arial" w:hAnsi="Arial" w:cs="Arial"/>
                <w:color w:val="000000"/>
                <w:sz w:val="24"/>
                <w:szCs w:val="24"/>
              </w:rPr>
            </w:pPr>
            <w:r w:rsidRPr="004661F6">
              <w:rPr>
                <w:rFonts w:ascii="Arial" w:hAnsi="Arial" w:cs="Arial"/>
                <w:color w:val="000000"/>
                <w:sz w:val="2"/>
                <w:szCs w:val="2"/>
              </w:rPr>
              <w:drawing>
                <wp:inline distT="0" distB="0" distL="0" distR="0">
                  <wp:extent cx="5599756" cy="2304893"/>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5797" w:rsidRPr="000745F8" w:rsidRDefault="005F5797" w:rsidP="00502FAA">
            <w:pPr>
              <w:pStyle w:val="Subtitle"/>
              <w:rPr>
                <w:rFonts w:ascii="Arial" w:hAnsi="Arial" w:cs="Arial"/>
                <w:color w:val="000000"/>
                <w:sz w:val="2"/>
                <w:szCs w:val="2"/>
              </w:rPr>
            </w:pPr>
          </w:p>
        </w:tc>
      </w:tr>
    </w:tbl>
    <w:p w:rsidR="005F5797" w:rsidRPr="00510614" w:rsidRDefault="005F5797" w:rsidP="008912A2">
      <w:pPr>
        <w:pStyle w:val="Subtitle"/>
        <w:rPr>
          <w:rFonts w:ascii="Arial" w:hAnsi="Arial" w:cs="Arial"/>
          <w:b w:val="0"/>
          <w:bCs w:val="0"/>
          <w:color w:val="000000"/>
          <w:sz w:val="24"/>
          <w:szCs w:val="24"/>
        </w:rPr>
      </w:pPr>
    </w:p>
    <w:bookmarkEnd w:id="1"/>
    <w:p w:rsidR="005F5797" w:rsidRDefault="005F5797" w:rsidP="008912A2">
      <w:pPr>
        <w:bidi w:val="0"/>
        <w:spacing w:line="276" w:lineRule="auto"/>
        <w:rPr>
          <w:color w:val="000000"/>
        </w:rPr>
      </w:pPr>
    </w:p>
    <w:p w:rsidR="000745F8" w:rsidRDefault="000745F8" w:rsidP="008912A2">
      <w:pPr>
        <w:bidi w:val="0"/>
        <w:spacing w:line="276" w:lineRule="auto"/>
        <w:rPr>
          <w:color w:val="000000"/>
        </w:rPr>
      </w:pPr>
      <w:r>
        <w:rPr>
          <w:color w:val="000000"/>
        </w:rPr>
        <w:br w:type="page"/>
      </w:r>
    </w:p>
    <w:p w:rsidR="004128DE" w:rsidRPr="00AB0969" w:rsidRDefault="004128DE" w:rsidP="00680E49">
      <w:pPr>
        <w:bidi w:val="0"/>
        <w:spacing w:line="276" w:lineRule="auto"/>
        <w:jc w:val="center"/>
        <w:rPr>
          <w:color w:val="000000"/>
        </w:rPr>
      </w:pPr>
      <w:r w:rsidRPr="00AB0969">
        <w:rPr>
          <w:color w:val="000000"/>
        </w:rPr>
        <w:lastRenderedPageBreak/>
        <w:t xml:space="preserve">Chapter </w:t>
      </w:r>
      <w:r>
        <w:rPr>
          <w:color w:val="000000"/>
        </w:rPr>
        <w:t>Three</w:t>
      </w:r>
    </w:p>
    <w:p w:rsidR="0087738B" w:rsidRPr="005D5FA8" w:rsidRDefault="0087738B" w:rsidP="008912A2">
      <w:pPr>
        <w:pStyle w:val="Heading1"/>
        <w:tabs>
          <w:tab w:val="right" w:pos="3600"/>
        </w:tabs>
        <w:rPr>
          <w:color w:val="000000"/>
          <w:sz w:val="24"/>
          <w:szCs w:val="24"/>
        </w:rPr>
      </w:pPr>
    </w:p>
    <w:p w:rsidR="0087738B" w:rsidRDefault="0087738B" w:rsidP="008912A2">
      <w:pPr>
        <w:pStyle w:val="Heading1"/>
        <w:tabs>
          <w:tab w:val="right" w:pos="3600"/>
        </w:tabs>
        <w:rPr>
          <w:color w:val="000000"/>
          <w:szCs w:val="28"/>
        </w:rPr>
      </w:pPr>
      <w:r>
        <w:rPr>
          <w:color w:val="000000"/>
          <w:szCs w:val="28"/>
        </w:rPr>
        <w:t xml:space="preserve">Methodology </w:t>
      </w:r>
    </w:p>
    <w:p w:rsidR="0087738B" w:rsidRPr="003B58EC" w:rsidRDefault="0087738B" w:rsidP="008912A2">
      <w:pPr>
        <w:pStyle w:val="Heading1"/>
        <w:jc w:val="left"/>
        <w:rPr>
          <w:color w:val="000000"/>
          <w:sz w:val="24"/>
          <w:szCs w:val="24"/>
        </w:rPr>
      </w:pPr>
    </w:p>
    <w:p w:rsidR="0087738B" w:rsidRPr="003B58EC" w:rsidRDefault="0087738B" w:rsidP="008912A2">
      <w:pPr>
        <w:pStyle w:val="BodyText2"/>
        <w:rPr>
          <w:lang w:eastAsia="en-US"/>
        </w:rPr>
      </w:pPr>
      <w:r w:rsidRPr="003B58EC">
        <w:rPr>
          <w:lang w:eastAsia="en-US"/>
        </w:rPr>
        <w:t xml:space="preserve">The methodology used to compile the Palestinian Health Accounts at current prices for </w:t>
      </w:r>
      <w:r w:rsidR="00EA7EBE" w:rsidRPr="003B58EC">
        <w:rPr>
          <w:lang w:eastAsia="en-US"/>
        </w:rPr>
        <w:t>2015</w:t>
      </w:r>
      <w:r w:rsidR="005E4BA5">
        <w:rPr>
          <w:lang w:eastAsia="en-US"/>
        </w:rPr>
        <w:t>-2016</w:t>
      </w:r>
      <w:r w:rsidRPr="003B58EC">
        <w:rPr>
          <w:lang w:eastAsia="en-US"/>
        </w:rPr>
        <w:t xml:space="preserve"> was based on data tabulation, in addition to processing data from all available sources to measure expenditure by health service provider and funding parties.</w:t>
      </w:r>
    </w:p>
    <w:p w:rsidR="0087738B" w:rsidRPr="003B58EC" w:rsidRDefault="0087738B" w:rsidP="008912A2">
      <w:pPr>
        <w:pStyle w:val="Heading1"/>
        <w:jc w:val="both"/>
        <w:rPr>
          <w:color w:val="000000"/>
          <w:sz w:val="24"/>
          <w:szCs w:val="24"/>
          <w:lang w:eastAsia="en-GB"/>
        </w:rPr>
      </w:pPr>
    </w:p>
    <w:p w:rsidR="0087738B" w:rsidRPr="003B58EC" w:rsidRDefault="00806B48" w:rsidP="008912A2">
      <w:pPr>
        <w:pStyle w:val="Heading1"/>
        <w:jc w:val="left"/>
        <w:rPr>
          <w:color w:val="000000"/>
          <w:sz w:val="24"/>
          <w:szCs w:val="24"/>
          <w:lang w:eastAsia="en-GB"/>
        </w:rPr>
      </w:pPr>
      <w:r w:rsidRPr="003B58EC">
        <w:rPr>
          <w:color w:val="000000"/>
          <w:sz w:val="24"/>
          <w:szCs w:val="24"/>
          <w:lang w:eastAsia="en-GB"/>
        </w:rPr>
        <w:t>3</w:t>
      </w:r>
      <w:r w:rsidR="0087738B" w:rsidRPr="003B58EC">
        <w:rPr>
          <w:color w:val="000000"/>
          <w:sz w:val="24"/>
          <w:szCs w:val="24"/>
          <w:lang w:eastAsia="en-GB"/>
        </w:rPr>
        <w:t>.1 General Overview</w:t>
      </w:r>
    </w:p>
    <w:p w:rsidR="0087738B" w:rsidRPr="003B58EC" w:rsidRDefault="0087738B" w:rsidP="008912A2">
      <w:pPr>
        <w:rPr>
          <w:sz w:val="16"/>
          <w:szCs w:val="16"/>
          <w:rtl/>
          <w:lang w:val="en-GB"/>
        </w:rPr>
      </w:pPr>
    </w:p>
    <w:p w:rsidR="00816BE6" w:rsidRPr="00816BE6" w:rsidRDefault="0087738B" w:rsidP="005D5FA8">
      <w:pPr>
        <w:pStyle w:val="ListParagraph"/>
        <w:numPr>
          <w:ilvl w:val="2"/>
          <w:numId w:val="50"/>
        </w:numPr>
        <w:bidi w:val="0"/>
        <w:ind w:left="567" w:hanging="567"/>
        <w:jc w:val="lowKashida"/>
        <w:rPr>
          <w:b/>
          <w:bCs/>
          <w:color w:val="000000" w:themeColor="text1"/>
        </w:rPr>
      </w:pPr>
      <w:r w:rsidRPr="00816BE6">
        <w:rPr>
          <w:b/>
          <w:bCs/>
          <w:color w:val="000000" w:themeColor="text1"/>
          <w:lang w:eastAsia="en-GB"/>
        </w:rPr>
        <w:t>Framework of Palestinian Health Accounts</w:t>
      </w:r>
    </w:p>
    <w:p w:rsidR="00816BE6" w:rsidRDefault="0087738B" w:rsidP="005D5FA8">
      <w:pPr>
        <w:pStyle w:val="ListParagraph"/>
        <w:numPr>
          <w:ilvl w:val="0"/>
          <w:numId w:val="49"/>
        </w:numPr>
        <w:bidi w:val="0"/>
        <w:ind w:left="567" w:hanging="283"/>
        <w:jc w:val="lowKashida"/>
        <w:rPr>
          <w:color w:val="000000" w:themeColor="text1"/>
        </w:rPr>
      </w:pPr>
      <w:r w:rsidRPr="00816BE6">
        <w:rPr>
          <w:color w:val="000000" w:themeColor="text1"/>
        </w:rPr>
        <w:t>Updating of data sources according to the latest available administrative records from government and UNRWA sources, in addition to population estimates.</w:t>
      </w:r>
    </w:p>
    <w:p w:rsidR="00816BE6" w:rsidRDefault="0087738B" w:rsidP="005D5FA8">
      <w:pPr>
        <w:pStyle w:val="ListParagraph"/>
        <w:numPr>
          <w:ilvl w:val="0"/>
          <w:numId w:val="49"/>
        </w:numPr>
        <w:bidi w:val="0"/>
        <w:ind w:left="567" w:hanging="283"/>
        <w:jc w:val="lowKashida"/>
        <w:rPr>
          <w:color w:val="000000" w:themeColor="text1"/>
        </w:rPr>
      </w:pPr>
      <w:r w:rsidRPr="00816BE6">
        <w:rPr>
          <w:color w:val="000000" w:themeColor="text1"/>
        </w:rPr>
        <w:t>Harmoniz</w:t>
      </w:r>
      <w:r w:rsidR="006D68C5" w:rsidRPr="00816BE6">
        <w:rPr>
          <w:color w:val="000000" w:themeColor="text1"/>
        </w:rPr>
        <w:t>ing</w:t>
      </w:r>
      <w:r w:rsidRPr="00816BE6">
        <w:rPr>
          <w:color w:val="000000" w:themeColor="text1"/>
        </w:rPr>
        <w:t xml:space="preserve"> </w:t>
      </w:r>
      <w:r w:rsidR="006D68C5" w:rsidRPr="00816BE6">
        <w:rPr>
          <w:color w:val="000000" w:themeColor="text1"/>
        </w:rPr>
        <w:t xml:space="preserve">the </w:t>
      </w:r>
      <w:r w:rsidRPr="00816BE6">
        <w:rPr>
          <w:color w:val="000000" w:themeColor="text1"/>
        </w:rPr>
        <w:t>methodologies from various data sources based on the most recent for the purposes of consistency and data comparison.</w:t>
      </w:r>
    </w:p>
    <w:p w:rsidR="0087738B" w:rsidRPr="00816BE6" w:rsidRDefault="0087738B" w:rsidP="005D5FA8">
      <w:pPr>
        <w:pStyle w:val="ListParagraph"/>
        <w:numPr>
          <w:ilvl w:val="0"/>
          <w:numId w:val="49"/>
        </w:numPr>
        <w:bidi w:val="0"/>
        <w:ind w:left="567" w:hanging="283"/>
        <w:jc w:val="lowKashida"/>
        <w:rPr>
          <w:color w:val="000000" w:themeColor="text1"/>
        </w:rPr>
      </w:pPr>
      <w:r w:rsidRPr="00816BE6">
        <w:rPr>
          <w:color w:val="000000" w:themeColor="text1"/>
        </w:rPr>
        <w:t xml:space="preserve">Unifying </w:t>
      </w:r>
      <w:r w:rsidR="006D68C5" w:rsidRPr="00816BE6">
        <w:rPr>
          <w:color w:val="000000" w:themeColor="text1"/>
        </w:rPr>
        <w:t xml:space="preserve">the </w:t>
      </w:r>
      <w:r w:rsidRPr="00816BE6">
        <w:rPr>
          <w:color w:val="000000" w:themeColor="text1"/>
        </w:rPr>
        <w:t>coverage of data.</w:t>
      </w:r>
    </w:p>
    <w:p w:rsidR="0087738B" w:rsidRPr="00140214" w:rsidRDefault="0087738B" w:rsidP="008912A2">
      <w:pPr>
        <w:pStyle w:val="Heading1"/>
        <w:jc w:val="left"/>
        <w:rPr>
          <w:color w:val="FF0000"/>
          <w:sz w:val="24"/>
          <w:szCs w:val="24"/>
        </w:rPr>
      </w:pPr>
    </w:p>
    <w:p w:rsidR="00816BE6" w:rsidRPr="00816BE6" w:rsidRDefault="0087738B" w:rsidP="00816BE6">
      <w:pPr>
        <w:pStyle w:val="ListParagraph"/>
        <w:numPr>
          <w:ilvl w:val="2"/>
          <w:numId w:val="49"/>
        </w:numPr>
        <w:bidi w:val="0"/>
        <w:ind w:left="567" w:hanging="567"/>
        <w:jc w:val="both"/>
        <w:rPr>
          <w:b/>
          <w:bCs/>
          <w:color w:val="000000" w:themeColor="text1"/>
          <w:lang w:eastAsia="en-US"/>
        </w:rPr>
      </w:pPr>
      <w:r w:rsidRPr="00816BE6">
        <w:rPr>
          <w:b/>
          <w:bCs/>
          <w:color w:val="000000" w:themeColor="text1"/>
          <w:lang w:eastAsia="en-GB"/>
        </w:rPr>
        <w:t xml:space="preserve">Geographical </w:t>
      </w:r>
      <w:r w:rsidR="00EB57BD" w:rsidRPr="00816BE6">
        <w:rPr>
          <w:b/>
          <w:bCs/>
          <w:color w:val="000000" w:themeColor="text1"/>
          <w:lang w:eastAsia="en-GB"/>
        </w:rPr>
        <w:t>Coverage</w:t>
      </w:r>
    </w:p>
    <w:p w:rsidR="00156F68" w:rsidRPr="00816BE6" w:rsidRDefault="0087738B" w:rsidP="00816BE6">
      <w:pPr>
        <w:bidi w:val="0"/>
        <w:jc w:val="both"/>
        <w:rPr>
          <w:color w:val="000000" w:themeColor="text1"/>
          <w:lang w:eastAsia="en-US"/>
        </w:rPr>
      </w:pPr>
      <w:r w:rsidRPr="00816BE6">
        <w:rPr>
          <w:color w:val="000000" w:themeColor="text1"/>
          <w:lang w:eastAsia="en-US"/>
        </w:rPr>
        <w:t xml:space="preserve">For statistical purposes, Palestine was divided into two regions: the West Bank (WB), excluding those parts of Jerusalem annexed </w:t>
      </w:r>
      <w:r w:rsidR="00EB57BD" w:rsidRPr="00816BE6">
        <w:rPr>
          <w:color w:val="000000" w:themeColor="text1"/>
          <w:lang w:eastAsia="en-US"/>
        </w:rPr>
        <w:t xml:space="preserve">forcefully </w:t>
      </w:r>
      <w:r w:rsidRPr="00816BE6">
        <w:rPr>
          <w:color w:val="000000" w:themeColor="text1"/>
          <w:lang w:eastAsia="en-US"/>
        </w:rPr>
        <w:t xml:space="preserve">by Israel in 1967, and the Gaza Strip. </w:t>
      </w:r>
    </w:p>
    <w:p w:rsidR="0087738B" w:rsidRDefault="0087738B" w:rsidP="008912A2">
      <w:pPr>
        <w:widowControl w:val="0"/>
        <w:bidi w:val="0"/>
        <w:jc w:val="both"/>
        <w:rPr>
          <w:color w:val="000000"/>
          <w:lang w:eastAsia="en-US"/>
        </w:rPr>
      </w:pPr>
    </w:p>
    <w:p w:rsidR="0087738B" w:rsidRPr="00221E7A" w:rsidRDefault="00806B48" w:rsidP="008912A2">
      <w:pPr>
        <w:pStyle w:val="Heading1"/>
        <w:jc w:val="left"/>
        <w:rPr>
          <w:noProof w:val="0"/>
          <w:color w:val="000000"/>
          <w:sz w:val="24"/>
          <w:szCs w:val="24"/>
        </w:rPr>
      </w:pPr>
      <w:r>
        <w:rPr>
          <w:noProof w:val="0"/>
          <w:color w:val="000000"/>
          <w:sz w:val="24"/>
          <w:szCs w:val="24"/>
        </w:rPr>
        <w:t>3</w:t>
      </w:r>
      <w:r w:rsidR="0087738B">
        <w:rPr>
          <w:noProof w:val="0"/>
          <w:color w:val="000000"/>
          <w:sz w:val="24"/>
          <w:szCs w:val="24"/>
        </w:rPr>
        <w:t>.</w:t>
      </w:r>
      <w:r w:rsidR="0087738B" w:rsidRPr="00221E7A">
        <w:rPr>
          <w:noProof w:val="0"/>
          <w:color w:val="000000"/>
          <w:sz w:val="24"/>
          <w:szCs w:val="24"/>
        </w:rPr>
        <w:t>2 M</w:t>
      </w:r>
      <w:r w:rsidR="0087738B">
        <w:rPr>
          <w:noProof w:val="0"/>
          <w:color w:val="000000"/>
          <w:sz w:val="24"/>
          <w:szCs w:val="24"/>
        </w:rPr>
        <w:t>ethodology of Palestinian</w:t>
      </w:r>
      <w:r w:rsidR="0087738B" w:rsidRPr="00221E7A">
        <w:rPr>
          <w:noProof w:val="0"/>
          <w:color w:val="000000"/>
          <w:sz w:val="24"/>
          <w:szCs w:val="24"/>
        </w:rPr>
        <w:t xml:space="preserve"> Health Accounts </w:t>
      </w:r>
    </w:p>
    <w:p w:rsidR="0087738B" w:rsidRPr="00A21F8B" w:rsidRDefault="0087738B" w:rsidP="008912A2">
      <w:pPr>
        <w:rPr>
          <w:color w:val="000000"/>
          <w:rtl/>
          <w:lang w:eastAsia="en-US"/>
        </w:rPr>
      </w:pPr>
    </w:p>
    <w:p w:rsidR="00156F68" w:rsidRDefault="00806B48" w:rsidP="005877B4">
      <w:pPr>
        <w:pStyle w:val="Heading2"/>
        <w:ind w:left="360" w:right="360" w:hanging="360"/>
        <w:jc w:val="left"/>
        <w:rPr>
          <w:color w:val="000000"/>
          <w:sz w:val="24"/>
          <w:szCs w:val="24"/>
          <w:lang w:eastAsia="en-US"/>
        </w:rPr>
      </w:pPr>
      <w:r>
        <w:rPr>
          <w:color w:val="000000"/>
          <w:sz w:val="24"/>
          <w:szCs w:val="24"/>
          <w:lang w:eastAsia="en-US"/>
        </w:rPr>
        <w:t>3</w:t>
      </w:r>
      <w:r w:rsidR="0087738B">
        <w:rPr>
          <w:color w:val="000000"/>
          <w:sz w:val="24"/>
          <w:szCs w:val="24"/>
          <w:lang w:eastAsia="en-US"/>
        </w:rPr>
        <w:t>.2.</w:t>
      </w:r>
      <w:r w:rsidR="0087738B" w:rsidRPr="00AB2380">
        <w:rPr>
          <w:color w:val="000000"/>
          <w:sz w:val="24"/>
          <w:szCs w:val="24"/>
          <w:lang w:eastAsia="en-US"/>
        </w:rPr>
        <w:t>1 Classificati</w:t>
      </w:r>
      <w:r w:rsidR="0087738B">
        <w:rPr>
          <w:color w:val="000000"/>
          <w:sz w:val="24"/>
          <w:szCs w:val="24"/>
          <w:lang w:eastAsia="en-US"/>
        </w:rPr>
        <w:t>on Systems</w:t>
      </w:r>
    </w:p>
    <w:p w:rsidR="006D68C5" w:rsidRDefault="0087738B" w:rsidP="006D68C5">
      <w:pPr>
        <w:bidi w:val="0"/>
        <w:jc w:val="both"/>
        <w:rPr>
          <w:color w:val="000000"/>
          <w:lang w:eastAsia="en-US"/>
        </w:rPr>
      </w:pPr>
      <w:r w:rsidRPr="00A21F8B">
        <w:rPr>
          <w:color w:val="000000"/>
          <w:lang w:eastAsia="en-US"/>
        </w:rPr>
        <w:t xml:space="preserve">The set of Palestinian classifications is based on </w:t>
      </w:r>
      <w:r>
        <w:rPr>
          <w:color w:val="000000"/>
          <w:lang w:eastAsia="en-US"/>
        </w:rPr>
        <w:t xml:space="preserve">International Classification for Health Accounts </w:t>
      </w:r>
      <w:r w:rsidR="002C5727">
        <w:rPr>
          <w:color w:val="000000"/>
          <w:lang w:eastAsia="en-US"/>
        </w:rPr>
        <w:t xml:space="preserve">which </w:t>
      </w:r>
      <w:r>
        <w:rPr>
          <w:color w:val="000000"/>
          <w:lang w:eastAsia="en-US"/>
        </w:rPr>
        <w:t xml:space="preserve">used the System of Health Accounts </w:t>
      </w:r>
      <w:r w:rsidR="002C5727">
        <w:rPr>
          <w:color w:val="000000"/>
          <w:lang w:eastAsia="en-US"/>
        </w:rPr>
        <w:t>(2011 edition)</w:t>
      </w:r>
      <w:r w:rsidR="006D68C5">
        <w:rPr>
          <w:color w:val="000000"/>
          <w:szCs w:val="28"/>
        </w:rPr>
        <w:t>,</w:t>
      </w:r>
      <w:r w:rsidR="005877B4">
        <w:rPr>
          <w:color w:val="000000"/>
          <w:szCs w:val="28"/>
        </w:rPr>
        <w:t xml:space="preserve"> </w:t>
      </w:r>
      <w:r w:rsidR="001F5586">
        <w:rPr>
          <w:color w:val="000000"/>
          <w:szCs w:val="28"/>
        </w:rPr>
        <w:t xml:space="preserve">issued by </w:t>
      </w:r>
      <w:r w:rsidR="001F5586">
        <w:rPr>
          <w:sz w:val="23"/>
          <w:szCs w:val="23"/>
        </w:rPr>
        <w:t>the Organization</w:t>
      </w:r>
      <w:r w:rsidR="001F5586">
        <w:rPr>
          <w:rFonts w:hint="cs"/>
          <w:sz w:val="23"/>
          <w:szCs w:val="23"/>
        </w:rPr>
        <w:t xml:space="preserve"> for Economic Co-operation and Development</w:t>
      </w:r>
      <w:r w:rsidR="001F5586">
        <w:rPr>
          <w:color w:val="000000"/>
          <w:szCs w:val="28"/>
        </w:rPr>
        <w:t xml:space="preserve"> (OECD)</w:t>
      </w:r>
      <w:r w:rsidR="006D68C5">
        <w:rPr>
          <w:color w:val="000000"/>
          <w:szCs w:val="28"/>
        </w:rPr>
        <w:t>,</w:t>
      </w:r>
      <w:r w:rsidR="005877B4">
        <w:rPr>
          <w:color w:val="000000"/>
          <w:szCs w:val="28"/>
        </w:rPr>
        <w:t xml:space="preserve"> </w:t>
      </w:r>
      <w:r w:rsidR="001F5586">
        <w:rPr>
          <w:color w:val="000000"/>
          <w:szCs w:val="28"/>
        </w:rPr>
        <w:t>World health organization (WHO) and European Union (Eurostat)</w:t>
      </w:r>
      <w:r>
        <w:rPr>
          <w:color w:val="000000"/>
          <w:lang w:eastAsia="en-US"/>
        </w:rPr>
        <w:t>, and it is</w:t>
      </w:r>
      <w:r w:rsidRPr="00A21F8B">
        <w:rPr>
          <w:color w:val="000000"/>
          <w:lang w:eastAsia="en-US"/>
        </w:rPr>
        <w:t xml:space="preserve"> compatible with SNA</w:t>
      </w:r>
      <w:r>
        <w:rPr>
          <w:color w:val="000000"/>
          <w:lang w:eastAsia="en-US"/>
        </w:rPr>
        <w:t>-</w:t>
      </w:r>
      <w:r w:rsidRPr="00A21F8B">
        <w:rPr>
          <w:color w:val="000000"/>
          <w:lang w:eastAsia="en-US"/>
        </w:rPr>
        <w:t xml:space="preserve">93. </w:t>
      </w:r>
    </w:p>
    <w:p w:rsidR="006D68C5" w:rsidRPr="00A21F8B" w:rsidRDefault="0087738B" w:rsidP="00816BE6">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sidR="006D68C5">
        <w:rPr>
          <w:color w:val="000000"/>
          <w:lang w:eastAsia="en-US"/>
        </w:rPr>
        <w:t>in</w:t>
      </w:r>
      <w:r w:rsidR="006D68C5" w:rsidRPr="00A21F8B">
        <w:rPr>
          <w:color w:val="000000"/>
          <w:lang w:eastAsia="en-US"/>
        </w:rPr>
        <w:t xml:space="preserve"> </w:t>
      </w:r>
      <w:r w:rsidRPr="00A21F8B">
        <w:rPr>
          <w:color w:val="000000"/>
          <w:lang w:eastAsia="en-US"/>
        </w:rPr>
        <w:t>which it belongs</w:t>
      </w:r>
      <w:r>
        <w:rPr>
          <w:color w:val="000000"/>
          <w:lang w:eastAsia="en-US"/>
        </w:rPr>
        <w:t>.</w:t>
      </w:r>
    </w:p>
    <w:p w:rsidR="0087738B" w:rsidRDefault="0087738B" w:rsidP="006D68C5">
      <w:pPr>
        <w:pStyle w:val="BodyTextIndent2"/>
        <w:ind w:left="0"/>
        <w:rPr>
          <w:color w:val="000000"/>
          <w:lang w:eastAsia="en-US"/>
        </w:rPr>
      </w:pPr>
      <w:r w:rsidRPr="00A21F8B">
        <w:rPr>
          <w:color w:val="000000"/>
          <w:lang w:eastAsia="en-US"/>
        </w:rPr>
        <w:t xml:space="preserve">The compilation of </w:t>
      </w:r>
      <w:r>
        <w:rPr>
          <w:color w:val="000000"/>
          <w:lang w:eastAsia="en-US"/>
        </w:rPr>
        <w:t>Palestinian</w:t>
      </w:r>
      <w:r w:rsidRPr="00A21F8B">
        <w:rPr>
          <w:color w:val="000000"/>
          <w:lang w:eastAsia="en-US"/>
        </w:rPr>
        <w:t xml:space="preserve"> health accounts</w:t>
      </w:r>
      <w:r>
        <w:rPr>
          <w:color w:val="000000"/>
          <w:lang w:eastAsia="en-US"/>
        </w:rPr>
        <w:t xml:space="preserve"> within the </w:t>
      </w:r>
      <w:r w:rsidR="00FA5BC0">
        <w:rPr>
          <w:color w:val="000000"/>
          <w:lang w:eastAsia="en-US"/>
        </w:rPr>
        <w:t xml:space="preserve">following </w:t>
      </w:r>
      <w:r>
        <w:rPr>
          <w:color w:val="000000"/>
          <w:lang w:eastAsia="en-US"/>
        </w:rPr>
        <w:t>dimensions:</w:t>
      </w:r>
      <w:r w:rsidRPr="00614C1C">
        <w:rPr>
          <w:color w:val="000000"/>
          <w:lang w:eastAsia="en-US"/>
        </w:rPr>
        <w:t xml:space="preserve"> </w:t>
      </w:r>
      <w:r w:rsidR="00FA5BC0">
        <w:rPr>
          <w:color w:val="000000"/>
          <w:lang w:eastAsia="en-US"/>
        </w:rPr>
        <w:t>f</w:t>
      </w:r>
      <w:r w:rsidRPr="00A21F8B">
        <w:rPr>
          <w:color w:val="000000"/>
          <w:lang w:eastAsia="en-US"/>
        </w:rPr>
        <w:t>inancing</w:t>
      </w:r>
      <w:r w:rsidR="00FA5BC0">
        <w:rPr>
          <w:color w:val="000000"/>
          <w:lang w:eastAsia="en-US"/>
        </w:rPr>
        <w:t xml:space="preserve"> scheme</w:t>
      </w:r>
      <w:r>
        <w:rPr>
          <w:color w:val="000000"/>
          <w:lang w:eastAsia="en-US"/>
        </w:rPr>
        <w:t xml:space="preserve">, </w:t>
      </w:r>
      <w:r w:rsidR="00FA5BC0">
        <w:rPr>
          <w:color w:val="000000"/>
          <w:lang w:eastAsia="en-US"/>
        </w:rPr>
        <w:t>financing agents, revenues of health</w:t>
      </w:r>
      <w:r w:rsidR="001C1129">
        <w:rPr>
          <w:color w:val="000000"/>
          <w:lang w:eastAsia="en-US"/>
        </w:rPr>
        <w:t xml:space="preserve"> </w:t>
      </w:r>
      <w:r w:rsidR="00FA5BC0">
        <w:rPr>
          <w:color w:val="000000"/>
          <w:lang w:eastAsia="en-US"/>
        </w:rPr>
        <w:t>care financing scheme,</w:t>
      </w:r>
      <w:r w:rsidR="00FA5BC0" w:rsidRPr="00FA5BC0">
        <w:rPr>
          <w:color w:val="000000"/>
          <w:lang w:eastAsia="en-US"/>
        </w:rPr>
        <w:t xml:space="preserve"> </w:t>
      </w:r>
      <w:r w:rsidR="00FA5BC0">
        <w:rPr>
          <w:color w:val="000000"/>
          <w:lang w:eastAsia="en-US"/>
        </w:rPr>
        <w:t>f</w:t>
      </w:r>
      <w:r w:rsidR="00FA5BC0" w:rsidRPr="00A21F8B">
        <w:rPr>
          <w:color w:val="000000"/>
          <w:lang w:eastAsia="en-US"/>
        </w:rPr>
        <w:t xml:space="preserve">unctional </w:t>
      </w:r>
      <w:r w:rsidR="006D68C5">
        <w:rPr>
          <w:color w:val="000000"/>
          <w:lang w:eastAsia="en-US"/>
        </w:rPr>
        <w:t>c</w:t>
      </w:r>
      <w:r w:rsidR="00FA5BC0" w:rsidRPr="00A21F8B">
        <w:rPr>
          <w:color w:val="000000"/>
          <w:lang w:eastAsia="en-US"/>
        </w:rPr>
        <w:t xml:space="preserve">lassification of </w:t>
      </w:r>
      <w:r w:rsidR="00FA5BC0">
        <w:rPr>
          <w:color w:val="000000"/>
          <w:lang w:eastAsia="en-US"/>
        </w:rPr>
        <w:t>h</w:t>
      </w:r>
      <w:r w:rsidR="00FA5BC0" w:rsidRPr="00A21F8B">
        <w:rPr>
          <w:color w:val="000000"/>
          <w:lang w:eastAsia="en-US"/>
        </w:rPr>
        <w:t>ealth</w:t>
      </w:r>
      <w:r w:rsidR="001C1129">
        <w:rPr>
          <w:color w:val="000000"/>
          <w:lang w:eastAsia="en-US"/>
        </w:rPr>
        <w:t xml:space="preserve"> </w:t>
      </w:r>
      <w:r w:rsidR="00FA5BC0">
        <w:rPr>
          <w:color w:val="000000"/>
          <w:lang w:eastAsia="en-US"/>
        </w:rPr>
        <w:t>c</w:t>
      </w:r>
      <w:r w:rsidR="00FA5BC0" w:rsidRPr="00A21F8B">
        <w:rPr>
          <w:color w:val="000000"/>
          <w:lang w:eastAsia="en-US"/>
        </w:rPr>
        <w:t>are</w:t>
      </w:r>
      <w:r w:rsidR="00FA5BC0">
        <w:rPr>
          <w:color w:val="000000"/>
          <w:lang w:eastAsia="en-US"/>
        </w:rPr>
        <w:t xml:space="preserve"> provider, </w:t>
      </w:r>
      <w:r w:rsidRPr="00A21F8B">
        <w:rPr>
          <w:color w:val="000000"/>
          <w:lang w:eastAsia="en-US"/>
        </w:rPr>
        <w:t xml:space="preserve">at current prices </w:t>
      </w:r>
      <w:r>
        <w:rPr>
          <w:color w:val="000000"/>
          <w:lang w:eastAsia="en-US"/>
        </w:rPr>
        <w:t>depends</w:t>
      </w:r>
      <w:r w:rsidRPr="00A21F8B">
        <w:rPr>
          <w:color w:val="000000"/>
          <w:lang w:eastAsia="en-US"/>
        </w:rPr>
        <w:t xml:space="preserve"> o</w:t>
      </w:r>
      <w:r w:rsidR="006D68C5">
        <w:rPr>
          <w:color w:val="000000"/>
          <w:lang w:eastAsia="en-US"/>
        </w:rPr>
        <w:t>n</w:t>
      </w:r>
      <w:r w:rsidRPr="00A21F8B">
        <w:rPr>
          <w:color w:val="000000"/>
          <w:lang w:eastAsia="en-US"/>
        </w:rPr>
        <w:t xml:space="preserve"> the following three main parts:</w:t>
      </w:r>
    </w:p>
    <w:p w:rsidR="0087738B" w:rsidRPr="00A21F8B" w:rsidRDefault="0087738B" w:rsidP="008C4386">
      <w:pPr>
        <w:numPr>
          <w:ilvl w:val="0"/>
          <w:numId w:val="4"/>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 issued by </w:t>
      </w:r>
      <w:r w:rsidR="00050C88">
        <w:rPr>
          <w:sz w:val="23"/>
          <w:szCs w:val="23"/>
        </w:rPr>
        <w:t>the Organization</w:t>
      </w:r>
      <w:r w:rsidR="00050C88">
        <w:rPr>
          <w:rFonts w:hint="cs"/>
          <w:sz w:val="23"/>
          <w:szCs w:val="23"/>
        </w:rPr>
        <w:t xml:space="preserve"> for Economic Co-operation and Development</w:t>
      </w:r>
      <w:r w:rsidR="00050C88">
        <w:rPr>
          <w:color w:val="000000"/>
          <w:szCs w:val="28"/>
        </w:rPr>
        <w:t xml:space="preserve"> (OECD)</w:t>
      </w:r>
      <w:r w:rsidR="008C4386">
        <w:rPr>
          <w:color w:val="000000"/>
          <w:szCs w:val="28"/>
        </w:rPr>
        <w:t>,</w:t>
      </w:r>
      <w:r w:rsidR="005877B4">
        <w:rPr>
          <w:color w:val="000000"/>
          <w:szCs w:val="28"/>
        </w:rPr>
        <w:t xml:space="preserve"> </w:t>
      </w:r>
      <w:r w:rsidR="00050C88">
        <w:rPr>
          <w:color w:val="000000"/>
          <w:szCs w:val="28"/>
        </w:rPr>
        <w:t>World health organization (WHO) and European Union (Eurostat)</w:t>
      </w:r>
      <w:r w:rsidRPr="00A21F8B">
        <w:rPr>
          <w:color w:val="000000"/>
          <w:lang w:eastAsia="en-US"/>
        </w:rPr>
        <w:t>.</w:t>
      </w:r>
    </w:p>
    <w:p w:rsidR="0087738B" w:rsidRPr="00A21F8B" w:rsidRDefault="0087738B" w:rsidP="00394A41">
      <w:pPr>
        <w:numPr>
          <w:ilvl w:val="0"/>
          <w:numId w:val="4"/>
        </w:numPr>
        <w:tabs>
          <w:tab w:val="clear" w:pos="360"/>
        </w:tabs>
        <w:bidi w:val="0"/>
        <w:ind w:left="426" w:right="71" w:hanging="284"/>
        <w:jc w:val="both"/>
        <w:rPr>
          <w:color w:val="000000"/>
          <w:lang w:eastAsia="en-US"/>
        </w:rPr>
      </w:pPr>
      <w:r w:rsidRPr="00A21F8B">
        <w:rPr>
          <w:color w:val="000000"/>
          <w:lang w:eastAsia="en-US"/>
        </w:rPr>
        <w:t>Preliminary treatment of data</w:t>
      </w:r>
      <w:r w:rsidR="008C4386">
        <w:rPr>
          <w:color w:val="000000"/>
          <w:lang w:eastAsia="en-US"/>
        </w:rPr>
        <w:t xml:space="preserve"> was</w:t>
      </w:r>
      <w:r w:rsidRPr="00A21F8B">
        <w:rPr>
          <w:color w:val="000000"/>
          <w:lang w:eastAsia="en-US"/>
        </w:rPr>
        <w:t xml:space="preserve"> </w:t>
      </w:r>
      <w:r w:rsidR="00394A41">
        <w:rPr>
          <w:color w:val="000000"/>
          <w:lang w:eastAsia="en-US"/>
        </w:rPr>
        <w:t>in computer programs</w:t>
      </w:r>
      <w:r w:rsidRPr="00A21F8B">
        <w:rPr>
          <w:color w:val="000000"/>
          <w:lang w:eastAsia="en-US"/>
        </w:rPr>
        <w:t xml:space="preserve">. </w:t>
      </w:r>
    </w:p>
    <w:p w:rsidR="0087738B" w:rsidRPr="00A21F8B" w:rsidRDefault="0087738B" w:rsidP="008912A2">
      <w:pPr>
        <w:numPr>
          <w:ilvl w:val="0"/>
          <w:numId w:val="4"/>
        </w:numPr>
        <w:tabs>
          <w:tab w:val="clear" w:pos="360"/>
        </w:tabs>
        <w:bidi w:val="0"/>
        <w:ind w:left="426" w:right="71" w:hanging="284"/>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87738B" w:rsidRPr="00A21F8B" w:rsidRDefault="0087738B" w:rsidP="0087738B">
      <w:pPr>
        <w:pStyle w:val="Heading2"/>
        <w:jc w:val="left"/>
        <w:rPr>
          <w:b w:val="0"/>
          <w:bCs w:val="0"/>
          <w:color w:val="000000"/>
          <w:sz w:val="24"/>
          <w:szCs w:val="24"/>
          <w:rtl/>
          <w:lang w:eastAsia="en-US"/>
        </w:rPr>
      </w:pPr>
    </w:p>
    <w:p w:rsidR="00156F68" w:rsidRDefault="00806B48" w:rsidP="005877B4">
      <w:pPr>
        <w:pStyle w:val="Heading2"/>
        <w:jc w:val="left"/>
        <w:rPr>
          <w:color w:val="000000"/>
          <w:sz w:val="24"/>
          <w:szCs w:val="24"/>
          <w:lang w:eastAsia="en-GB"/>
        </w:rPr>
      </w:pPr>
      <w:r>
        <w:rPr>
          <w:color w:val="000000"/>
          <w:sz w:val="24"/>
          <w:szCs w:val="24"/>
          <w:lang w:eastAsia="en-GB"/>
        </w:rPr>
        <w:t>3</w:t>
      </w:r>
      <w:r w:rsidR="0087738B">
        <w:rPr>
          <w:color w:val="000000"/>
          <w:sz w:val="24"/>
          <w:szCs w:val="24"/>
          <w:lang w:eastAsia="en-GB"/>
        </w:rPr>
        <w:t>.2.2 Preliminary Treatment of Data from Individual Sources</w:t>
      </w:r>
    </w:p>
    <w:p w:rsidR="0087738B" w:rsidRDefault="0087738B" w:rsidP="005E4BA5">
      <w:pPr>
        <w:bidi w:val="0"/>
        <w:jc w:val="both"/>
        <w:rPr>
          <w:color w:val="000000"/>
          <w:lang w:eastAsia="en-US"/>
        </w:rPr>
      </w:pPr>
      <w:r>
        <w:rPr>
          <w:color w:val="000000"/>
          <w:lang w:eastAsia="en-US"/>
        </w:rPr>
        <w:t xml:space="preserve">In the treatment process of data for </w:t>
      </w:r>
      <w:r w:rsidR="005E4BA5">
        <w:rPr>
          <w:color w:val="000000"/>
          <w:lang w:eastAsia="en-US"/>
        </w:rPr>
        <w:t>2015</w:t>
      </w:r>
      <w:r>
        <w:rPr>
          <w:color w:val="000000"/>
          <w:lang w:eastAsia="en-US"/>
        </w:rPr>
        <w:t xml:space="preserve"> and </w:t>
      </w:r>
      <w:r w:rsidR="00050C88">
        <w:rPr>
          <w:color w:val="000000"/>
          <w:lang w:eastAsia="en-US"/>
        </w:rPr>
        <w:t>201</w:t>
      </w:r>
      <w:r w:rsidR="005E4BA5">
        <w:rPr>
          <w:color w:val="000000"/>
          <w:lang w:eastAsia="en-US"/>
        </w:rPr>
        <w:t>6</w:t>
      </w:r>
      <w:r>
        <w:rPr>
          <w:color w:val="000000"/>
          <w:lang w:eastAsia="en-US"/>
        </w:rPr>
        <w:t>, data sets of each given source were treated independently from other sources. The purpose of this method is twofold:</w:t>
      </w:r>
    </w:p>
    <w:p w:rsidR="0087738B" w:rsidRDefault="0087738B" w:rsidP="008912A2">
      <w:pPr>
        <w:numPr>
          <w:ilvl w:val="0"/>
          <w:numId w:val="6"/>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87738B" w:rsidRDefault="0087738B" w:rsidP="008912A2">
      <w:pPr>
        <w:widowControl w:val="0"/>
        <w:numPr>
          <w:ilvl w:val="0"/>
          <w:numId w:val="6"/>
        </w:numPr>
        <w:tabs>
          <w:tab w:val="clear" w:pos="360"/>
        </w:tabs>
        <w:bidi w:val="0"/>
        <w:ind w:left="426" w:hanging="284"/>
        <w:jc w:val="both"/>
        <w:rPr>
          <w:color w:val="000000"/>
          <w:lang w:eastAsia="en-US"/>
        </w:rPr>
      </w:pPr>
      <w:r>
        <w:rPr>
          <w:color w:val="000000"/>
          <w:lang w:eastAsia="en-US"/>
        </w:rPr>
        <w:t>To facilitate and speed up data preparation in future years.</w:t>
      </w:r>
    </w:p>
    <w:p w:rsidR="0087738B" w:rsidRDefault="0087738B" w:rsidP="003B58EC">
      <w:pPr>
        <w:bidi w:val="0"/>
        <w:jc w:val="both"/>
        <w:rPr>
          <w:color w:val="000000"/>
          <w:lang w:eastAsia="en-US"/>
        </w:rPr>
      </w:pPr>
      <w:r>
        <w:rPr>
          <w:color w:val="000000"/>
          <w:lang w:eastAsia="en-US"/>
        </w:rPr>
        <w:br w:type="page"/>
      </w:r>
    </w:p>
    <w:tbl>
      <w:tblPr>
        <w:tblStyle w:val="TableGrid"/>
        <w:tblW w:w="0" w:type="auto"/>
        <w:tblLook w:val="04A0"/>
      </w:tblPr>
      <w:tblGrid>
        <w:gridCol w:w="2518"/>
        <w:gridCol w:w="3260"/>
        <w:gridCol w:w="3509"/>
      </w:tblGrid>
      <w:tr w:rsidR="0087738B" w:rsidRPr="00C2669B" w:rsidTr="005D5FA8">
        <w:trPr>
          <w:trHeight w:val="410"/>
        </w:trPr>
        <w:tc>
          <w:tcPr>
            <w:tcW w:w="2518"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lastRenderedPageBreak/>
              <w:t>Economic Activity</w:t>
            </w:r>
          </w:p>
        </w:tc>
        <w:tc>
          <w:tcPr>
            <w:tcW w:w="3260" w:type="dxa"/>
            <w:vAlign w:val="center"/>
          </w:tcPr>
          <w:p w:rsidR="0087738B" w:rsidRPr="00C2669B" w:rsidRDefault="0087738B" w:rsidP="0017170F">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t>Technical Notes</w:t>
            </w:r>
          </w:p>
        </w:tc>
      </w:tr>
      <w:tr w:rsidR="0087738B" w:rsidRPr="00C2669B" w:rsidTr="005D5FA8">
        <w:tc>
          <w:tcPr>
            <w:tcW w:w="2518"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Government sector</w:t>
            </w:r>
          </w:p>
        </w:tc>
        <w:tc>
          <w:tcPr>
            <w:tcW w:w="3260" w:type="dxa"/>
          </w:tcPr>
          <w:p w:rsidR="0087738B" w:rsidRPr="00C2669B" w:rsidRDefault="00B20C9A" w:rsidP="0017170F">
            <w:pPr>
              <w:widowControl w:val="0"/>
              <w:bidi w:val="0"/>
              <w:ind w:right="360"/>
              <w:jc w:val="both"/>
              <w:rPr>
                <w:color w:val="000000" w:themeColor="text1"/>
                <w:lang w:eastAsia="en-US"/>
              </w:rPr>
            </w:pPr>
            <w:r>
              <w:rPr>
                <w:color w:val="000000" w:themeColor="text1"/>
                <w:lang w:eastAsia="en-US"/>
              </w:rPr>
              <w:t xml:space="preserve">- </w:t>
            </w:r>
            <w:r w:rsidR="0087738B" w:rsidRPr="00C2669B">
              <w:rPr>
                <w:color w:val="000000" w:themeColor="text1"/>
                <w:lang w:eastAsia="en-US"/>
              </w:rPr>
              <w:t>Ministry Of Health</w:t>
            </w:r>
          </w:p>
        </w:tc>
        <w:tc>
          <w:tcPr>
            <w:tcW w:w="3509" w:type="dxa"/>
          </w:tcPr>
          <w:p w:rsidR="0087738B" w:rsidRPr="00C2669B" w:rsidRDefault="0087738B" w:rsidP="00F115BD">
            <w:pPr>
              <w:widowControl w:val="0"/>
              <w:bidi w:val="0"/>
              <w:ind w:right="360"/>
              <w:jc w:val="both"/>
              <w:rPr>
                <w:color w:val="000000"/>
                <w:lang w:eastAsia="en-US"/>
              </w:rPr>
            </w:pPr>
            <w:r w:rsidRPr="00C2669B">
              <w:rPr>
                <w:color w:val="000000"/>
                <w:lang w:eastAsia="en-US"/>
              </w:rPr>
              <w:t>1. Obtained detailed data of revenues</w:t>
            </w:r>
            <w:r w:rsidR="00F115BD">
              <w:rPr>
                <w:color w:val="000000"/>
                <w:lang w:eastAsia="en-US"/>
              </w:rPr>
              <w:t xml:space="preserve">, </w:t>
            </w:r>
            <w:r w:rsidRPr="00C2669B">
              <w:rPr>
                <w:color w:val="000000"/>
                <w:lang w:eastAsia="en-US"/>
              </w:rPr>
              <w:t xml:space="preserve">expenditures and treatment </w:t>
            </w:r>
            <w:r>
              <w:rPr>
                <w:color w:val="000000"/>
                <w:lang w:eastAsia="en-US"/>
              </w:rPr>
              <w:t>inside Palestine and transfers abroad.</w:t>
            </w:r>
          </w:p>
          <w:p w:rsidR="00C743C0" w:rsidRDefault="0087738B" w:rsidP="00C743C0">
            <w:pPr>
              <w:widowControl w:val="0"/>
              <w:bidi w:val="0"/>
              <w:ind w:right="360"/>
              <w:jc w:val="both"/>
              <w:rPr>
                <w:color w:val="000000"/>
                <w:lang w:eastAsia="en-US"/>
              </w:rPr>
            </w:pPr>
            <w:r w:rsidRPr="00C2669B">
              <w:rPr>
                <w:color w:val="000000"/>
                <w:lang w:eastAsia="en-US"/>
              </w:rPr>
              <w:t>2.</w:t>
            </w:r>
            <w:r w:rsidR="00C743C0">
              <w:rPr>
                <w:color w:val="000000"/>
                <w:lang w:eastAsia="en-US"/>
              </w:rPr>
              <w:t xml:space="preserve"> Financing schemes for government expenditure of health was determined by source of financing for government. </w:t>
            </w:r>
            <w:r w:rsidRPr="00C2669B">
              <w:rPr>
                <w:color w:val="000000"/>
                <w:lang w:eastAsia="en-US"/>
              </w:rPr>
              <w:t xml:space="preserve"> </w:t>
            </w:r>
          </w:p>
          <w:p w:rsidR="0087738B" w:rsidRPr="00C2669B" w:rsidRDefault="00C743C0" w:rsidP="00CC49B8">
            <w:pPr>
              <w:widowControl w:val="0"/>
              <w:bidi w:val="0"/>
              <w:ind w:right="360"/>
              <w:jc w:val="both"/>
              <w:rPr>
                <w:color w:val="000000"/>
                <w:lang w:eastAsia="en-US"/>
              </w:rPr>
            </w:pPr>
            <w:r>
              <w:rPr>
                <w:color w:val="000000"/>
                <w:lang w:eastAsia="en-US"/>
              </w:rPr>
              <w:t xml:space="preserve">3. </w:t>
            </w:r>
            <w:r w:rsidR="005877B4">
              <w:rPr>
                <w:color w:val="000000"/>
                <w:lang w:eastAsia="en-US"/>
              </w:rPr>
              <w:t>R</w:t>
            </w:r>
            <w:r w:rsidR="00CC49B8" w:rsidRPr="00CC49B8">
              <w:rPr>
                <w:color w:val="000000"/>
                <w:lang w:eastAsia="en-US"/>
              </w:rPr>
              <w:t>eclassify</w:t>
            </w:r>
            <w:r w:rsidR="00CC49B8">
              <w:rPr>
                <w:color w:val="000000"/>
                <w:lang w:eastAsia="en-US"/>
              </w:rPr>
              <w:t>ing the</w:t>
            </w:r>
            <w:r w:rsidR="00CC49B8" w:rsidRPr="00CC49B8">
              <w:rPr>
                <w:color w:val="000000"/>
                <w:lang w:eastAsia="en-US"/>
              </w:rPr>
              <w:t xml:space="preserve"> total cost by health functions</w:t>
            </w:r>
            <w:r w:rsidR="00CC49B8">
              <w:rPr>
                <w:color w:val="000000"/>
                <w:lang w:eastAsia="en-US"/>
              </w:rPr>
              <w:t xml:space="preserve"> was b</w:t>
            </w:r>
            <w:r w:rsidR="003742BE" w:rsidRPr="00CC49B8">
              <w:rPr>
                <w:color w:val="000000"/>
                <w:lang w:eastAsia="en-US"/>
              </w:rPr>
              <w:t>ased on cost analysis study for government hospitals</w:t>
            </w:r>
            <w:r w:rsidR="00CC49B8">
              <w:rPr>
                <w:color w:val="000000"/>
                <w:lang w:eastAsia="en-US"/>
              </w:rPr>
              <w:t>.</w:t>
            </w:r>
            <w:r w:rsidR="003742BE" w:rsidRPr="00CC49B8">
              <w:rPr>
                <w:color w:val="000000"/>
                <w:lang w:eastAsia="en-US"/>
              </w:rPr>
              <w:t xml:space="preserve"> </w:t>
            </w:r>
          </w:p>
        </w:tc>
      </w:tr>
      <w:tr w:rsidR="0087738B" w:rsidRPr="00C2669B" w:rsidTr="005D5FA8">
        <w:tc>
          <w:tcPr>
            <w:tcW w:w="2518" w:type="dxa"/>
            <w:vMerge/>
          </w:tcPr>
          <w:p w:rsidR="0087738B" w:rsidRPr="00C2669B" w:rsidRDefault="0087738B" w:rsidP="0017170F">
            <w:pPr>
              <w:widowControl w:val="0"/>
              <w:bidi w:val="0"/>
              <w:ind w:right="360"/>
              <w:jc w:val="both"/>
              <w:rPr>
                <w:color w:val="000000"/>
                <w:lang w:eastAsia="en-US"/>
              </w:rPr>
            </w:pPr>
          </w:p>
        </w:tc>
        <w:tc>
          <w:tcPr>
            <w:tcW w:w="3260" w:type="dxa"/>
          </w:tcPr>
          <w:p w:rsidR="0087738B" w:rsidRPr="00B20C9A" w:rsidRDefault="0087738B" w:rsidP="00B20C9A">
            <w:pPr>
              <w:pStyle w:val="ListParagraph"/>
              <w:widowControl w:val="0"/>
              <w:numPr>
                <w:ilvl w:val="0"/>
                <w:numId w:val="48"/>
              </w:numPr>
              <w:bidi w:val="0"/>
              <w:ind w:left="175" w:right="360" w:hanging="142"/>
              <w:jc w:val="both"/>
              <w:rPr>
                <w:color w:val="000000" w:themeColor="text1"/>
                <w:lang w:eastAsia="en-US"/>
              </w:rPr>
            </w:pPr>
            <w:r w:rsidRPr="00B20C9A">
              <w:rPr>
                <w:color w:val="000000" w:themeColor="text1"/>
              </w:rPr>
              <w:t>Administrative records of m</w:t>
            </w:r>
            <w:r w:rsidRPr="00B20C9A">
              <w:rPr>
                <w:color w:val="000000" w:themeColor="text1"/>
                <w:lang w:eastAsia="en-US"/>
              </w:rPr>
              <w:t>ilitary services.</w:t>
            </w:r>
          </w:p>
        </w:tc>
        <w:tc>
          <w:tcPr>
            <w:tcW w:w="3509" w:type="dxa"/>
          </w:tcPr>
          <w:p w:rsidR="0087738B" w:rsidRPr="00C2669B" w:rsidRDefault="003742BE" w:rsidP="0017170F">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 but</w:t>
            </w:r>
            <w:r w:rsidR="0087738B"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87738B" w:rsidRPr="00C2669B" w:rsidTr="005D5FA8">
        <w:tc>
          <w:tcPr>
            <w:tcW w:w="2518" w:type="dxa"/>
          </w:tcPr>
          <w:p w:rsidR="0087738B" w:rsidRPr="00B20C9A" w:rsidRDefault="0087738B" w:rsidP="00B20C9A">
            <w:pPr>
              <w:widowControl w:val="0"/>
              <w:bidi w:val="0"/>
              <w:ind w:right="360"/>
              <w:jc w:val="both"/>
              <w:rPr>
                <w:color w:val="000000"/>
                <w:lang w:eastAsia="en-US"/>
              </w:rPr>
            </w:pPr>
            <w:r w:rsidRPr="00B20C9A">
              <w:rPr>
                <w:color w:val="000000"/>
                <w:lang w:eastAsia="en-US"/>
              </w:rPr>
              <w:t>Rest of the world and other sectors</w:t>
            </w:r>
          </w:p>
        </w:tc>
        <w:tc>
          <w:tcPr>
            <w:tcW w:w="3260" w:type="dxa"/>
          </w:tcPr>
          <w:p w:rsidR="0087738B" w:rsidRPr="00C2669B" w:rsidRDefault="0087738B" w:rsidP="007E46F1">
            <w:pPr>
              <w:widowControl w:val="0"/>
              <w:bidi w:val="0"/>
              <w:ind w:right="360"/>
              <w:jc w:val="both"/>
              <w:rPr>
                <w:color w:val="000000"/>
                <w:lang w:eastAsia="en-US"/>
              </w:rPr>
            </w:pPr>
            <w:r w:rsidRPr="00C2669B">
              <w:rPr>
                <w:color w:val="000000"/>
                <w:lang w:eastAsia="en-US"/>
              </w:rPr>
              <w:t xml:space="preserve">Ministry </w:t>
            </w:r>
            <w:r w:rsidR="007E46F1">
              <w:rPr>
                <w:color w:val="000000"/>
                <w:lang w:eastAsia="en-US"/>
              </w:rPr>
              <w:t>of Finance</w:t>
            </w:r>
            <w:r w:rsidR="004A382C">
              <w:rPr>
                <w:color w:val="000000"/>
                <w:lang w:eastAsia="en-US"/>
              </w:rPr>
              <w:t xml:space="preserve"> and Planning</w:t>
            </w:r>
            <w:r w:rsidR="007E46F1">
              <w:rPr>
                <w:color w:val="000000"/>
                <w:lang w:eastAsia="en-US"/>
              </w:rPr>
              <w:t>.</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 xml:space="preserve">PCBS obtained a list of projects that support the health sector in </w:t>
            </w:r>
            <w:r>
              <w:rPr>
                <w:color w:val="000000"/>
                <w:lang w:eastAsia="en-US"/>
              </w:rPr>
              <w:t>Palestine</w:t>
            </w:r>
            <w:r w:rsidRPr="00C2669B">
              <w:rPr>
                <w:color w:val="000000"/>
                <w:lang w:eastAsia="en-US"/>
              </w:rPr>
              <w:t>, as registered in the Ministry of Planning.</w:t>
            </w:r>
          </w:p>
        </w:tc>
      </w:tr>
      <w:tr w:rsidR="0087738B" w:rsidRPr="00C2669B" w:rsidTr="005D5FA8">
        <w:tc>
          <w:tcPr>
            <w:tcW w:w="2518"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Non-profit institution serving households</w:t>
            </w:r>
          </w:p>
        </w:tc>
        <w:tc>
          <w:tcPr>
            <w:tcW w:w="3260" w:type="dxa"/>
          </w:tcPr>
          <w:p w:rsidR="0087738B" w:rsidRPr="009C7D87" w:rsidRDefault="0087738B" w:rsidP="009C7D87">
            <w:pPr>
              <w:pStyle w:val="ListParagraph"/>
              <w:widowControl w:val="0"/>
              <w:numPr>
                <w:ilvl w:val="0"/>
                <w:numId w:val="48"/>
              </w:numPr>
              <w:tabs>
                <w:tab w:val="right" w:pos="175"/>
              </w:tabs>
              <w:bidi w:val="0"/>
              <w:ind w:left="33" w:right="360" w:firstLine="0"/>
              <w:jc w:val="both"/>
              <w:rPr>
                <w:color w:val="000000"/>
                <w:lang w:eastAsia="en-US"/>
              </w:rPr>
            </w:pPr>
            <w:r w:rsidRPr="009C7D87">
              <w:rPr>
                <w:lang w:eastAsia="en-US"/>
              </w:rPr>
              <w:t>United Nations Relief and Works Agency</w:t>
            </w:r>
            <w:r w:rsidRPr="009C7D87">
              <w:rPr>
                <w:color w:val="000000"/>
                <w:lang w:eastAsia="en-US"/>
              </w:rPr>
              <w:t xml:space="preserve"> for Palestine Refugees (UNRWA)</w:t>
            </w:r>
            <w:r w:rsidR="00EC5704" w:rsidRPr="009C7D87">
              <w:rPr>
                <w:color w:val="000000"/>
                <w:lang w:eastAsia="en-US"/>
              </w:rPr>
              <w:t>.</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w:t>
            </w:r>
            <w:r w:rsidR="001C1129">
              <w:rPr>
                <w:color w:val="000000"/>
                <w:lang w:eastAsia="en-US"/>
              </w:rPr>
              <w:t xml:space="preserve"> </w:t>
            </w:r>
            <w:r w:rsidRPr="00C2669B">
              <w:rPr>
                <w:color w:val="000000"/>
                <w:lang w:eastAsia="en-US"/>
              </w:rPr>
              <w:t>care centers.</w:t>
            </w:r>
          </w:p>
        </w:tc>
      </w:tr>
      <w:tr w:rsidR="0087738B" w:rsidRPr="00C2669B" w:rsidTr="005D5FA8">
        <w:tc>
          <w:tcPr>
            <w:tcW w:w="2518" w:type="dxa"/>
            <w:vMerge/>
          </w:tcPr>
          <w:p w:rsidR="0087738B" w:rsidRPr="00C2669B" w:rsidRDefault="0087738B" w:rsidP="0017170F">
            <w:pPr>
              <w:widowControl w:val="0"/>
              <w:bidi w:val="0"/>
              <w:ind w:right="360"/>
              <w:jc w:val="both"/>
              <w:rPr>
                <w:color w:val="000000"/>
                <w:lang w:eastAsia="en-US"/>
              </w:rPr>
            </w:pPr>
          </w:p>
        </w:tc>
        <w:tc>
          <w:tcPr>
            <w:tcW w:w="3260" w:type="dxa"/>
          </w:tcPr>
          <w:p w:rsidR="0087738B" w:rsidRPr="009C7D87" w:rsidRDefault="0087738B" w:rsidP="009C7D87">
            <w:pPr>
              <w:pStyle w:val="ListParagraph"/>
              <w:widowControl w:val="0"/>
              <w:numPr>
                <w:ilvl w:val="0"/>
                <w:numId w:val="48"/>
              </w:numPr>
              <w:tabs>
                <w:tab w:val="right" w:pos="175"/>
              </w:tabs>
              <w:bidi w:val="0"/>
              <w:ind w:left="33" w:right="360" w:firstLine="0"/>
              <w:jc w:val="both"/>
              <w:rPr>
                <w:lang w:eastAsia="en-US"/>
              </w:rPr>
            </w:pPr>
            <w:r w:rsidRPr="009C7D87">
              <w:rPr>
                <w:lang w:eastAsia="en-US"/>
              </w:rPr>
              <w:t>Nonprofit institutions of health activities from the services survey within the economic surveys series conducted annually by PCBS.</w:t>
            </w:r>
          </w:p>
        </w:tc>
        <w:tc>
          <w:tcPr>
            <w:tcW w:w="3509" w:type="dxa"/>
          </w:tcPr>
          <w:p w:rsidR="0087738B" w:rsidRPr="00C2669B" w:rsidRDefault="00EC5704" w:rsidP="0017170F">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87738B" w:rsidRPr="00C2669B" w:rsidTr="005D5FA8">
        <w:tc>
          <w:tcPr>
            <w:tcW w:w="2518" w:type="dxa"/>
          </w:tcPr>
          <w:p w:rsidR="0087738B" w:rsidRPr="00C2669B" w:rsidRDefault="0087738B" w:rsidP="0017170F">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3260" w:type="dxa"/>
          </w:tcPr>
          <w:p w:rsidR="0087738B" w:rsidRPr="00C2669B" w:rsidRDefault="0087738B" w:rsidP="0017170F">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conducted by the Palestinian Central Bureau of Statistics</w:t>
            </w:r>
            <w:r w:rsidR="00AB0204">
              <w:rPr>
                <w:color w:val="000000"/>
                <w:lang w:eastAsia="en-US"/>
              </w:rPr>
              <w:t xml:space="preserve"> (PCBS)</w:t>
            </w:r>
            <w:r>
              <w:rPr>
                <w:color w:val="000000"/>
                <w:lang w:eastAsia="en-US"/>
              </w:rPr>
              <w:t xml:space="preserve"> for the year 2011.</w:t>
            </w:r>
          </w:p>
        </w:tc>
        <w:tc>
          <w:tcPr>
            <w:tcW w:w="3509" w:type="dxa"/>
          </w:tcPr>
          <w:p w:rsidR="0087738B" w:rsidRPr="00C2669B" w:rsidRDefault="0087738B" w:rsidP="0017170F">
            <w:pPr>
              <w:widowControl w:val="0"/>
              <w:bidi w:val="0"/>
              <w:ind w:right="360"/>
              <w:jc w:val="both"/>
              <w:rPr>
                <w:color w:val="000000"/>
                <w:lang w:eastAsia="en-US"/>
              </w:rPr>
            </w:pPr>
          </w:p>
        </w:tc>
      </w:tr>
      <w:tr w:rsidR="0087738B" w:rsidRPr="00C2669B" w:rsidTr="005D5FA8">
        <w:tc>
          <w:tcPr>
            <w:tcW w:w="2518" w:type="dxa"/>
          </w:tcPr>
          <w:p w:rsidR="0087738B" w:rsidRPr="00C2669B" w:rsidRDefault="0087738B" w:rsidP="0017170F">
            <w:pPr>
              <w:widowControl w:val="0"/>
              <w:bidi w:val="0"/>
              <w:ind w:right="360"/>
              <w:jc w:val="both"/>
              <w:rPr>
                <w:color w:val="000000"/>
                <w:lang w:eastAsia="en-US"/>
              </w:rPr>
            </w:pPr>
            <w:r w:rsidRPr="00C2669B">
              <w:rPr>
                <w:color w:val="000000"/>
              </w:rPr>
              <w:t xml:space="preserve">Insurance </w:t>
            </w:r>
            <w:r>
              <w:rPr>
                <w:color w:val="000000"/>
              </w:rPr>
              <w:t>enterprises</w:t>
            </w:r>
          </w:p>
        </w:tc>
        <w:tc>
          <w:tcPr>
            <w:tcW w:w="3260" w:type="dxa"/>
          </w:tcPr>
          <w:p w:rsidR="0087738B" w:rsidRPr="00C2669B" w:rsidRDefault="0087738B" w:rsidP="0017170F">
            <w:pPr>
              <w:widowControl w:val="0"/>
              <w:bidi w:val="0"/>
              <w:ind w:right="360"/>
              <w:jc w:val="both"/>
              <w:rPr>
                <w:color w:val="000000"/>
              </w:rPr>
            </w:pPr>
            <w:r w:rsidRPr="00C2669B">
              <w:rPr>
                <w:rStyle w:val="Emphasis"/>
                <w:i w:val="0"/>
                <w:iCs w:val="0"/>
                <w:color w:val="000000"/>
              </w:rPr>
              <w:t xml:space="preserve">Survey of insurance </w:t>
            </w:r>
            <w:r>
              <w:rPr>
                <w:color w:val="000000"/>
              </w:rPr>
              <w:t>enterprises attached to the Finance and Insurance Survey conducted annually by PCBS.</w:t>
            </w:r>
          </w:p>
        </w:tc>
        <w:tc>
          <w:tcPr>
            <w:tcW w:w="3509" w:type="dxa"/>
          </w:tcPr>
          <w:p w:rsidR="0087738B" w:rsidRPr="00C2669B" w:rsidRDefault="0087738B" w:rsidP="0017170F">
            <w:pPr>
              <w:pStyle w:val="BodyText2"/>
              <w:widowControl w:val="0"/>
              <w:rPr>
                <w:lang w:eastAsia="en-US"/>
              </w:rPr>
            </w:pPr>
            <w:r w:rsidRPr="00C2669B">
              <w:rPr>
                <w:lang w:eastAsia="en-US"/>
              </w:rPr>
              <w:t xml:space="preserve">Determining premiums and claims for health insurance in the total economy. </w:t>
            </w:r>
          </w:p>
          <w:p w:rsidR="0087738B" w:rsidRPr="00C2669B" w:rsidRDefault="0087738B" w:rsidP="0017170F">
            <w:pPr>
              <w:widowControl w:val="0"/>
              <w:bidi w:val="0"/>
              <w:ind w:right="360"/>
              <w:jc w:val="both"/>
              <w:rPr>
                <w:color w:val="000000"/>
                <w:lang w:eastAsia="en-US"/>
              </w:rPr>
            </w:pPr>
          </w:p>
        </w:tc>
      </w:tr>
      <w:tr w:rsidR="0087738B" w:rsidRPr="00C2669B" w:rsidTr="005D5FA8">
        <w:tc>
          <w:tcPr>
            <w:tcW w:w="2518" w:type="dxa"/>
          </w:tcPr>
          <w:p w:rsidR="0087738B" w:rsidRPr="00C2669B" w:rsidRDefault="0087738B" w:rsidP="0017170F">
            <w:pPr>
              <w:widowControl w:val="0"/>
              <w:bidi w:val="0"/>
              <w:ind w:right="360"/>
              <w:jc w:val="both"/>
              <w:rPr>
                <w:color w:val="000000"/>
                <w:lang w:eastAsia="en-US"/>
              </w:rPr>
            </w:pPr>
            <w:r w:rsidRPr="00C2669B">
              <w:rPr>
                <w:color w:val="000000"/>
                <w:lang w:eastAsia="en-US"/>
              </w:rPr>
              <w:t>Private sector</w:t>
            </w:r>
          </w:p>
        </w:tc>
        <w:tc>
          <w:tcPr>
            <w:tcW w:w="3260" w:type="dxa"/>
          </w:tcPr>
          <w:p w:rsidR="0087738B" w:rsidRPr="00C2669B" w:rsidRDefault="0087738B" w:rsidP="00AB0204">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conducted by </w:t>
            </w:r>
            <w:r w:rsidR="00AB0204">
              <w:rPr>
                <w:color w:val="000000"/>
                <w:lang w:eastAsia="en-US"/>
              </w:rPr>
              <w:t xml:space="preserve">PCBS </w:t>
            </w:r>
            <w:r>
              <w:rPr>
                <w:color w:val="000000"/>
                <w:lang w:eastAsia="en-US"/>
              </w:rPr>
              <w:t>for the year 2011.</w:t>
            </w:r>
          </w:p>
        </w:tc>
        <w:tc>
          <w:tcPr>
            <w:tcW w:w="3509" w:type="dxa"/>
          </w:tcPr>
          <w:p w:rsidR="0087738B" w:rsidRPr="00C2669B" w:rsidRDefault="0087738B" w:rsidP="005D5FA8">
            <w:pPr>
              <w:widowControl w:val="0"/>
              <w:bidi w:val="0"/>
              <w:jc w:val="both"/>
              <w:rPr>
                <w:color w:val="000000"/>
                <w:lang w:eastAsia="en-US"/>
              </w:rPr>
            </w:pPr>
            <w:r w:rsidRPr="00C2669B">
              <w:rPr>
                <w:color w:val="000000"/>
                <w:lang w:eastAsia="en-US"/>
              </w:rPr>
              <w:t xml:space="preserve">Determining household out-of-pocket expenditure for private sector to determine the value of expenditure on medical and pharmaceutical goods. </w:t>
            </w:r>
          </w:p>
        </w:tc>
      </w:tr>
    </w:tbl>
    <w:p w:rsidR="00C30F74" w:rsidRDefault="00C30F74">
      <w:pPr>
        <w:bidi w:val="0"/>
        <w:spacing w:after="200" w:line="276" w:lineRule="auto"/>
        <w:rPr>
          <w:b/>
          <w:bCs/>
        </w:rPr>
      </w:pPr>
      <w:r>
        <w:br w:type="page"/>
      </w:r>
    </w:p>
    <w:p w:rsidR="00232F40" w:rsidRPr="001F02EF" w:rsidRDefault="00232F40" w:rsidP="00232F40">
      <w:pPr>
        <w:bidi w:val="0"/>
        <w:spacing w:line="276" w:lineRule="auto"/>
        <w:jc w:val="center"/>
        <w:rPr>
          <w:color w:val="000000"/>
        </w:rPr>
      </w:pPr>
      <w:r w:rsidRPr="001F02EF">
        <w:rPr>
          <w:color w:val="000000"/>
        </w:rPr>
        <w:lastRenderedPageBreak/>
        <w:t>Chapter Four</w:t>
      </w:r>
    </w:p>
    <w:p w:rsidR="00232F40" w:rsidRPr="001147B0" w:rsidRDefault="00232F40" w:rsidP="00232F40">
      <w:pPr>
        <w:rPr>
          <w:rtl/>
          <w:lang w:eastAsia="en-US"/>
        </w:rPr>
      </w:pPr>
    </w:p>
    <w:p w:rsidR="00232F40" w:rsidRDefault="00232F40" w:rsidP="00232F40">
      <w:pPr>
        <w:pStyle w:val="Heading1"/>
        <w:tabs>
          <w:tab w:val="right" w:pos="3600"/>
        </w:tabs>
        <w:rPr>
          <w:color w:val="000000"/>
          <w:szCs w:val="28"/>
        </w:rPr>
      </w:pPr>
      <w:r>
        <w:rPr>
          <w:color w:val="000000"/>
          <w:szCs w:val="28"/>
        </w:rPr>
        <w:t>Quality</w:t>
      </w:r>
    </w:p>
    <w:p w:rsidR="00232F40" w:rsidRDefault="00232F40" w:rsidP="00232F40">
      <w:pPr>
        <w:pStyle w:val="Heading2"/>
        <w:jc w:val="left"/>
        <w:rPr>
          <w:sz w:val="24"/>
          <w:szCs w:val="24"/>
        </w:rPr>
      </w:pPr>
    </w:p>
    <w:p w:rsidR="00232F40" w:rsidRDefault="00232F40" w:rsidP="00232F40">
      <w:pPr>
        <w:bidi w:val="0"/>
        <w:rPr>
          <w:b/>
          <w:bCs/>
        </w:rPr>
      </w:pPr>
      <w:r w:rsidRPr="004D7FE0">
        <w:rPr>
          <w:b/>
          <w:bCs/>
        </w:rPr>
        <w:t>4.1 Accuracy</w:t>
      </w:r>
    </w:p>
    <w:p w:rsidR="00232F40" w:rsidRDefault="00232F40" w:rsidP="00232F40">
      <w:pPr>
        <w:bidi w:val="0"/>
        <w:jc w:val="both"/>
      </w:pPr>
      <w:r>
        <w:t>Palestinian Health A</w:t>
      </w:r>
      <w:r w:rsidRPr="003F620C">
        <w:t xml:space="preserve">ccounts </w:t>
      </w:r>
      <w:r>
        <w:t xml:space="preserve">is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The computerized system of files contains a set of tests through equations to ensure that there are no errors in processing, conversion</w:t>
      </w:r>
      <w:r>
        <w:t>…etc</w:t>
      </w:r>
      <w:r w:rsidRPr="003F620C">
        <w:t xml:space="preserve">. These procedures ensure the </w:t>
      </w:r>
      <w:r>
        <w:t>minimization</w:t>
      </w:r>
      <w:r w:rsidRPr="003F620C">
        <w:t xml:space="preserve"> of errors that may result from omission or inaccuracy when preparing data.</w:t>
      </w:r>
    </w:p>
    <w:p w:rsidR="00232F40" w:rsidRPr="004D7FE0" w:rsidRDefault="00232F40" w:rsidP="00232F40">
      <w:pPr>
        <w:bidi w:val="0"/>
        <w:rPr>
          <w:b/>
          <w:bCs/>
        </w:rPr>
      </w:pPr>
    </w:p>
    <w:p w:rsidR="00232F40" w:rsidRPr="004D7FE0" w:rsidRDefault="00232F40" w:rsidP="00232F40">
      <w:pPr>
        <w:bidi w:val="0"/>
        <w:rPr>
          <w:b/>
          <w:bCs/>
        </w:rPr>
      </w:pPr>
      <w:r w:rsidRPr="004D7FE0">
        <w:rPr>
          <w:b/>
          <w:bCs/>
        </w:rPr>
        <w:t>4.2 Comparability</w:t>
      </w:r>
    </w:p>
    <w:p w:rsidR="00232F40" w:rsidRDefault="00232F40" w:rsidP="00232F40">
      <w:pPr>
        <w:bidi w:val="0"/>
        <w:jc w:val="both"/>
        <w:rPr>
          <w:b/>
          <w:bCs/>
        </w:rPr>
      </w:pPr>
      <w:r w:rsidRPr="003F620C">
        <w:t>This report represent</w:t>
      </w:r>
      <w:r>
        <w:t>s</w:t>
      </w:r>
      <w:r w:rsidRPr="003F620C">
        <w:t xml:space="preserve"> </w:t>
      </w:r>
      <w:r>
        <w:t>annual Palestinian health expenditure tables for 2015-2016, which illustrate Palestinian financing schemes, financing agents and types of financing revenues.  A</w:t>
      </w:r>
      <w:r w:rsidRPr="003F620C">
        <w:t xml:space="preserve">s well as </w:t>
      </w:r>
      <w:r>
        <w:t>total expenditure distributed by health functions and providers of health services in Palestine.  The data was presented as matrix of health expenditure by providers and financing schemes, matrix of functions and financing schemes and total expenditure by providers and health functions.</w:t>
      </w:r>
      <w:r>
        <w:rPr>
          <w:b/>
          <w:bCs/>
        </w:rPr>
        <w:t xml:space="preserve"> </w:t>
      </w:r>
    </w:p>
    <w:p w:rsidR="00232F40" w:rsidRDefault="00232F40" w:rsidP="00232F40">
      <w:pPr>
        <w:bidi w:val="0"/>
        <w:rPr>
          <w:b/>
          <w:bCs/>
        </w:rPr>
      </w:pPr>
    </w:p>
    <w:p w:rsidR="00232F40" w:rsidRDefault="00232F40" w:rsidP="00232F40">
      <w:pPr>
        <w:bidi w:val="0"/>
        <w:rPr>
          <w:b/>
          <w:bCs/>
        </w:rPr>
      </w:pPr>
      <w:r w:rsidRPr="004D7FE0">
        <w:rPr>
          <w:b/>
          <w:bCs/>
        </w:rPr>
        <w:t>4.3 Data Quality</w:t>
      </w:r>
    </w:p>
    <w:p w:rsidR="00232F40" w:rsidRDefault="00232F40" w:rsidP="00232F40">
      <w:pPr>
        <w:bidi w:val="0"/>
        <w:rPr>
          <w:b/>
          <w:bCs/>
        </w:rPr>
      </w:pPr>
    </w:p>
    <w:p w:rsidR="00232F40" w:rsidRDefault="00232F40" w:rsidP="00232F40">
      <w:pPr>
        <w:bidi w:val="0"/>
        <w:rPr>
          <w:b/>
          <w:bCs/>
          <w:rtl/>
        </w:rPr>
      </w:pPr>
      <w:r>
        <w:rPr>
          <w:b/>
          <w:bCs/>
        </w:rPr>
        <w:t>4.3.1 Coverage and I</w:t>
      </w:r>
      <w:r w:rsidRPr="00A13B11">
        <w:rPr>
          <w:b/>
          <w:bCs/>
        </w:rPr>
        <w:t>nclusiveness</w:t>
      </w:r>
    </w:p>
    <w:p w:rsidR="00232F40" w:rsidRDefault="00232F40" w:rsidP="00232F40">
      <w:pPr>
        <w:bidi w:val="0"/>
        <w:jc w:val="both"/>
      </w:pPr>
      <w:r>
        <w:t>Since the Palestinian health accounts were established, PCBS has worked strenuously to ensure data quality and coverage by the adoption of a number of practices, which may be summarized as follows:</w:t>
      </w:r>
    </w:p>
    <w:p w:rsidR="00232F40" w:rsidRDefault="00232F40" w:rsidP="00232F40">
      <w:pPr>
        <w:numPr>
          <w:ilvl w:val="0"/>
          <w:numId w:val="30"/>
        </w:numPr>
        <w:bidi w:val="0"/>
        <w:jc w:val="lowKashida"/>
      </w:pPr>
      <w:r>
        <w:t>Conducting specialized surveys covering health activities; such as the health</w:t>
      </w:r>
      <w:r w:rsidR="001C1129">
        <w:t xml:space="preserve"> </w:t>
      </w:r>
      <w:r>
        <w:t>care providers and beneficiaries survey.</w:t>
      </w:r>
    </w:p>
    <w:p w:rsidR="00232F40" w:rsidRDefault="00232F40" w:rsidP="00232F40">
      <w:pPr>
        <w:numPr>
          <w:ilvl w:val="0"/>
          <w:numId w:val="30"/>
        </w:numPr>
        <w:bidi w:val="0"/>
        <w:jc w:val="lowKashida"/>
      </w:pPr>
      <w:r>
        <w:t xml:space="preserve">Conducting </w:t>
      </w:r>
      <w:r w:rsidRPr="005C2246">
        <w:t>it as an annex</w:t>
      </w:r>
      <w:r>
        <w:t xml:space="preserve"> to finance and insurance survey to cover health insurance.</w:t>
      </w:r>
    </w:p>
    <w:p w:rsidR="00232F40" w:rsidRDefault="00232F40" w:rsidP="00232F40">
      <w:pPr>
        <w:numPr>
          <w:ilvl w:val="0"/>
          <w:numId w:val="30"/>
        </w:numPr>
        <w:bidi w:val="0"/>
        <w:jc w:val="lowKashida"/>
      </w:pPr>
      <w:r w:rsidRPr="004C3C18">
        <w:t>Developing data quality</w:t>
      </w:r>
      <w:r>
        <w:t xml:space="preserve"> for the detailed items of the health expenditure by providers and function of care based on specialized studies.</w:t>
      </w:r>
    </w:p>
    <w:p w:rsidR="00232F40" w:rsidRDefault="00232F40" w:rsidP="00232F40">
      <w:pPr>
        <w:numPr>
          <w:ilvl w:val="0"/>
          <w:numId w:val="30"/>
        </w:numPr>
        <w:bidi w:val="0"/>
        <w:jc w:val="lowKashida"/>
      </w:pPr>
      <w:r>
        <w:t>Developing the consistency of data after updating from various sources and comparing data structure (percentage of total health expenditure according to the source of funding, health</w:t>
      </w:r>
      <w:r w:rsidR="001C1129">
        <w:t xml:space="preserve"> </w:t>
      </w:r>
      <w:r>
        <w:t>care provider and function of care) in addition to comparing consistency during the time series.</w:t>
      </w:r>
    </w:p>
    <w:p w:rsidR="00232F40" w:rsidRDefault="00232F40" w:rsidP="00232F40">
      <w:pPr>
        <w:bidi w:val="0"/>
        <w:ind w:left="360"/>
        <w:jc w:val="lowKashida"/>
      </w:pPr>
    </w:p>
    <w:p w:rsidR="00232F40" w:rsidRDefault="00232F40" w:rsidP="00232F40">
      <w:pPr>
        <w:pStyle w:val="Heading2"/>
        <w:jc w:val="both"/>
        <w:rPr>
          <w:sz w:val="24"/>
          <w:szCs w:val="24"/>
        </w:rPr>
      </w:pPr>
      <w:r>
        <w:rPr>
          <w:sz w:val="24"/>
          <w:szCs w:val="24"/>
        </w:rPr>
        <w:t>4.3.2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rsidR="00232F40" w:rsidRDefault="00232F40" w:rsidP="00232F40">
      <w:pPr>
        <w:numPr>
          <w:ilvl w:val="0"/>
          <w:numId w:val="30"/>
        </w:numPr>
        <w:bidi w:val="0"/>
        <w:jc w:val="lowKashida"/>
      </w:pPr>
      <w:r>
        <w:t>Processing of financing source of Ministry of Health: through distribution of revenues by source: internal ( local revenues) and external (rest of the world).</w:t>
      </w:r>
    </w:p>
    <w:p w:rsidR="00232F40" w:rsidRDefault="00232F40" w:rsidP="00232F40">
      <w:pPr>
        <w:numPr>
          <w:ilvl w:val="0"/>
          <w:numId w:val="30"/>
        </w:numPr>
        <w:bidi w:val="0"/>
        <w:jc w:val="lowKashida"/>
      </w:pPr>
      <w:r>
        <w:t>Database of Ministry of Finance and Planning (DARP) is the source of health projects which were conducted by rest of the world.</w:t>
      </w:r>
    </w:p>
    <w:p w:rsidR="00232F40" w:rsidRDefault="00232F40" w:rsidP="00232F40">
      <w:pPr>
        <w:numPr>
          <w:ilvl w:val="0"/>
          <w:numId w:val="30"/>
        </w:numPr>
        <w:bidi w:val="0"/>
        <w:jc w:val="lowKashida"/>
      </w:pPr>
      <w:r>
        <w:t xml:space="preserve">Reclassification of health expenditure transaction after changing the system of health accounts (2011 edition) taking into consideration - while being implemented-  that some of the transaction were transferred to the reporting items in the new system that were deducted from the total current health costs in the new system.   </w:t>
      </w:r>
    </w:p>
    <w:p w:rsidR="00232F40" w:rsidRDefault="00232F40" w:rsidP="00232F40">
      <w:pPr>
        <w:numPr>
          <w:ilvl w:val="0"/>
          <w:numId w:val="30"/>
        </w:numPr>
        <w:bidi w:val="0"/>
        <w:jc w:val="lowKashida"/>
      </w:pPr>
      <w:r>
        <w:t xml:space="preserve">Premium of health insurance which was paid by households was canceled through processing of 2015-2016 data depending on system of health accounts concepts while the </w:t>
      </w:r>
      <w:r>
        <w:lastRenderedPageBreak/>
        <w:t>total expenditure on health outside Palestine by household was added to Palestinian current health expenditure.</w:t>
      </w:r>
    </w:p>
    <w:p w:rsidR="00232F40" w:rsidRDefault="00232F40" w:rsidP="00232F40">
      <w:pPr>
        <w:numPr>
          <w:ilvl w:val="0"/>
          <w:numId w:val="30"/>
        </w:numPr>
        <w:bidi w:val="0"/>
        <w:jc w:val="lowKashida"/>
      </w:pPr>
      <w:r>
        <w:t>Splitting the total health expenditure to current expenditure and capital expenditure based on guidance of system of health accounts (2011 edition).</w:t>
      </w:r>
    </w:p>
    <w:p w:rsidR="00232F40" w:rsidRPr="00215A3C" w:rsidRDefault="00232F40" w:rsidP="00232F40">
      <w:pPr>
        <w:bidi w:val="0"/>
        <w:jc w:val="both"/>
      </w:pPr>
    </w:p>
    <w:p w:rsidR="00232F40" w:rsidRPr="00A13B11" w:rsidRDefault="00232F40" w:rsidP="00232F40">
      <w:pPr>
        <w:bidi w:val="0"/>
        <w:rPr>
          <w:color w:val="000000"/>
          <w:rtl/>
        </w:rPr>
      </w:pPr>
    </w:p>
    <w:p w:rsidR="00232F40" w:rsidRPr="004D7FE0" w:rsidRDefault="00232F40" w:rsidP="00232F40">
      <w:pPr>
        <w:bidi w:val="0"/>
        <w:jc w:val="both"/>
        <w:rPr>
          <w:b/>
          <w:bCs/>
        </w:rPr>
      </w:pPr>
      <w:r w:rsidRPr="004D7FE0">
        <w:rPr>
          <w:b/>
          <w:bCs/>
        </w:rPr>
        <w:t>4.4 Technical Comments</w:t>
      </w:r>
    </w:p>
    <w:p w:rsidR="00232F40" w:rsidRDefault="00232F40" w:rsidP="00232F40">
      <w:pPr>
        <w:bidi w:val="0"/>
        <w:jc w:val="both"/>
        <w:rPr>
          <w:rStyle w:val="longtext1"/>
          <w:color w:val="000000"/>
          <w:sz w:val="24"/>
          <w:szCs w:val="24"/>
        </w:rPr>
      </w:pPr>
      <w:r>
        <w:rPr>
          <w:rStyle w:val="longtext1"/>
          <w:color w:val="000000"/>
          <w:sz w:val="24"/>
          <w:szCs w:val="24"/>
          <w:shd w:val="clear" w:color="auto" w:fill="FFFFFF"/>
        </w:rPr>
        <w:t>Despite the said measures, some problems and challenges remained in the development of coverage and the comprehensiveness of the data, primarily:</w:t>
      </w:r>
    </w:p>
    <w:p w:rsidR="00232F40" w:rsidRDefault="00232F40" w:rsidP="00232F40">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The lack of financial statements for the military medical services sector, which is part of government spending.</w:t>
      </w:r>
    </w:p>
    <w:p w:rsidR="00232F40" w:rsidRPr="00265EE1" w:rsidRDefault="00232F40" w:rsidP="00232F40">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have</w:t>
      </w:r>
      <w:r>
        <w:rPr>
          <w:rStyle w:val="longtext1"/>
          <w:color w:val="000000"/>
          <w:sz w:val="24"/>
          <w:szCs w:val="24"/>
          <w:shd w:val="clear" w:color="auto" w:fill="FFFFFF"/>
        </w:rPr>
        <w:t xml:space="preserve"> two sources, namely UNRWA (as the main provider of health services in Palestine) and secondly, charitable associations working to provide medical services in different governorates as ascertained in the economic surveys and weighted to reflect conditions in the general economy.</w:t>
      </w:r>
    </w:p>
    <w:p w:rsidR="00232F40" w:rsidRPr="00265EE1" w:rsidRDefault="00232F40" w:rsidP="00232F40">
      <w:pPr>
        <w:pStyle w:val="ListParagraph"/>
        <w:numPr>
          <w:ilvl w:val="0"/>
          <w:numId w:val="35"/>
        </w:numPr>
        <w:bidi w:val="0"/>
        <w:jc w:val="both"/>
        <w:rPr>
          <w:color w:val="000000" w:themeColor="text1"/>
          <w:lang w:eastAsia="en-US"/>
        </w:rPr>
      </w:pPr>
      <w:r>
        <w:rPr>
          <w:color w:val="000000" w:themeColor="text1"/>
          <w:lang w:eastAsia="en-US"/>
        </w:rPr>
        <w:t xml:space="preserve">Health expenditure covered Palestine </w:t>
      </w:r>
      <w:r w:rsidRPr="00265EE1">
        <w:rPr>
          <w:color w:val="000000" w:themeColor="text1"/>
          <w:lang w:eastAsia="en-US"/>
        </w:rPr>
        <w:t xml:space="preserve">excluding </w:t>
      </w:r>
      <w:r w:rsidRPr="00165C4C">
        <w:rPr>
          <w:color w:val="000000" w:themeColor="text1"/>
          <w:lang w:eastAsia="en-US"/>
        </w:rPr>
        <w:t>those parts of Jerusalem</w:t>
      </w:r>
      <w:r>
        <w:rPr>
          <w:color w:val="000000" w:themeColor="text1"/>
          <w:lang w:eastAsia="en-US"/>
        </w:rPr>
        <w:t>,</w:t>
      </w:r>
      <w:r w:rsidRPr="00165C4C">
        <w:rPr>
          <w:color w:val="000000" w:themeColor="text1"/>
          <w:lang w:eastAsia="en-US"/>
        </w:rPr>
        <w:t xml:space="preserve"> annex</w:t>
      </w:r>
      <w:r>
        <w:rPr>
          <w:color w:val="000000" w:themeColor="text1"/>
          <w:lang w:eastAsia="en-US"/>
        </w:rPr>
        <w:t xml:space="preserve">ed by Israel in 1967 </w:t>
      </w:r>
      <w:r w:rsidRPr="00265EE1">
        <w:rPr>
          <w:color w:val="000000" w:themeColor="text1"/>
          <w:lang w:eastAsia="en-US"/>
        </w:rPr>
        <w:t>and Gaza Strip</w:t>
      </w:r>
      <w:r>
        <w:rPr>
          <w:color w:val="000000" w:themeColor="text1"/>
          <w:lang w:eastAsia="en-US"/>
        </w:rPr>
        <w:t>, due to the lack of detailed data from its sources</w:t>
      </w:r>
      <w:r w:rsidRPr="00265EE1">
        <w:rPr>
          <w:color w:val="000000" w:themeColor="text1"/>
          <w:lang w:eastAsia="en-US"/>
        </w:rPr>
        <w:t xml:space="preserve">. </w:t>
      </w:r>
    </w:p>
    <w:p w:rsidR="00232F40" w:rsidRDefault="00232F40" w:rsidP="00232F40">
      <w:pPr>
        <w:bidi w:val="0"/>
        <w:jc w:val="both"/>
        <w:rPr>
          <w:color w:val="000000"/>
          <w:sz w:val="28"/>
          <w:szCs w:val="28"/>
          <w:lang w:val="en-GB"/>
        </w:rPr>
      </w:pPr>
    </w:p>
    <w:p w:rsidR="00232F40" w:rsidRDefault="00232F40" w:rsidP="00232F40">
      <w:pPr>
        <w:bidi w:val="0"/>
        <w:jc w:val="center"/>
        <w:rPr>
          <w:color w:val="000000"/>
          <w:sz w:val="28"/>
          <w:szCs w:val="28"/>
          <w:lang w:val="en-GB"/>
        </w:rPr>
      </w:pPr>
      <w:r>
        <w:rPr>
          <w:color w:val="000000"/>
          <w:sz w:val="28"/>
          <w:szCs w:val="28"/>
          <w:lang w:val="en-GB"/>
        </w:rPr>
        <w:br/>
      </w:r>
    </w:p>
    <w:p w:rsidR="009839BC" w:rsidRDefault="009839BC" w:rsidP="009839BC">
      <w:pPr>
        <w:bidi w:val="0"/>
        <w:jc w:val="center"/>
        <w:rPr>
          <w:color w:val="000000"/>
          <w:sz w:val="28"/>
          <w:szCs w:val="28"/>
          <w:lang w:val="en-GB"/>
        </w:rPr>
      </w:pPr>
    </w:p>
    <w:sectPr w:rsidR="009839BC"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B4D" w:rsidRDefault="004E6B4D">
      <w:pPr>
        <w:rPr>
          <w:rtl/>
        </w:rPr>
      </w:pPr>
      <w:r>
        <w:separator/>
      </w:r>
    </w:p>
  </w:endnote>
  <w:endnote w:type="continuationSeparator" w:id="0">
    <w:p w:rsidR="004E6B4D" w:rsidRDefault="004E6B4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Default="00DA49CA">
    <w:pPr>
      <w:pStyle w:val="Footer"/>
      <w:jc w:val="center"/>
      <w:rPr>
        <w:rtl/>
      </w:rPr>
    </w:pPr>
    <w:r w:rsidRPr="00B175E4">
      <w:rPr>
        <w:color w:val="000000"/>
        <w:sz w:val="24"/>
        <w:szCs w:val="24"/>
      </w:rPr>
      <w:t>]</w:t>
    </w:r>
    <w:fldSimple w:instr=" PAGE   \* MERGEFORMAT ">
      <w:r w:rsidR="00190C36">
        <w:rPr>
          <w:rtl/>
        </w:rPr>
        <w:t>26</w:t>
      </w:r>
    </w:fldSimple>
    <w:r w:rsidRPr="00B175E4">
      <w:rPr>
        <w:color w:val="000000"/>
        <w:sz w:val="24"/>
        <w:szCs w:val="24"/>
      </w:rPr>
      <w:t>[</w:t>
    </w:r>
  </w:p>
  <w:p w:rsidR="002911CC" w:rsidRDefault="002911CC">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B4D" w:rsidRDefault="004E6B4D" w:rsidP="00DA0C78">
      <w:pPr>
        <w:jc w:val="right"/>
        <w:rPr>
          <w:rtl/>
        </w:rPr>
      </w:pPr>
      <w:r>
        <w:separator/>
      </w:r>
    </w:p>
  </w:footnote>
  <w:footnote w:type="continuationSeparator" w:id="0">
    <w:p w:rsidR="004E6B4D" w:rsidRDefault="004E6B4D">
      <w:pPr>
        <w:rPr>
          <w:rtl/>
        </w:rPr>
      </w:pPr>
      <w:r>
        <w:continuationSeparator/>
      </w:r>
    </w:p>
  </w:footnote>
  <w:footnote w:id="1">
    <w:p w:rsidR="005F5797" w:rsidRPr="00C36779" w:rsidRDefault="005F5797" w:rsidP="005F5797">
      <w:pPr>
        <w:pStyle w:val="FootnoteText"/>
        <w:rPr>
          <w:sz w:val="18"/>
          <w:szCs w:val="22"/>
        </w:rPr>
      </w:pPr>
      <w:r w:rsidRPr="00C36779">
        <w:rPr>
          <w:rStyle w:val="FootnoteReference"/>
          <w:sz w:val="18"/>
          <w:szCs w:val="22"/>
        </w:rPr>
        <w:footnoteRef/>
      </w:r>
      <w:r w:rsidRPr="00C36779">
        <w:rPr>
          <w:sz w:val="18"/>
          <w:szCs w:val="22"/>
        </w:rPr>
        <w:t xml:space="preserve"> Include all sources of funding.</w:t>
      </w:r>
    </w:p>
  </w:footnote>
  <w:footnote w:id="2">
    <w:p w:rsidR="005F5797" w:rsidRPr="008912A2" w:rsidRDefault="005F5797" w:rsidP="005F5797">
      <w:pPr>
        <w:pStyle w:val="FootnoteText"/>
        <w:rPr>
          <w:sz w:val="18"/>
          <w:szCs w:val="22"/>
        </w:rPr>
      </w:pPr>
      <w:r w:rsidRPr="008912A2">
        <w:rPr>
          <w:rStyle w:val="FootnoteReference"/>
          <w:sz w:val="18"/>
          <w:szCs w:val="22"/>
        </w:rPr>
        <w:footnoteRef/>
      </w:r>
      <w:r w:rsidRPr="008912A2">
        <w:rPr>
          <w:sz w:val="18"/>
          <w:szCs w:val="22"/>
        </w:rPr>
        <w:t xml:space="preserve"> Include gross capital formation in health</w:t>
      </w:r>
      <w:r w:rsidR="001C1129">
        <w:rPr>
          <w:sz w:val="18"/>
          <w:szCs w:val="22"/>
        </w:rPr>
        <w:t xml:space="preserve"> </w:t>
      </w:r>
      <w:r w:rsidRPr="008912A2">
        <w:rPr>
          <w:sz w:val="18"/>
          <w:szCs w:val="22"/>
        </w:rPr>
        <w:t>care providers.</w:t>
      </w:r>
    </w:p>
  </w:footnote>
  <w:footnote w:id="3">
    <w:p w:rsidR="002924C5" w:rsidRDefault="002924C5">
      <w:pPr>
        <w:pStyle w:val="FootnoteText"/>
      </w:pPr>
      <w:r>
        <w:rPr>
          <w:rStyle w:val="FootnoteReference"/>
        </w:rPr>
        <w:footnoteRef/>
      </w:r>
      <w:r>
        <w:t xml:space="preserve"> Include total current expenditure and gross capital formation.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Pr="00F93F69" w:rsidRDefault="002911CC" w:rsidP="005E4BA5">
    <w:pPr>
      <w:pStyle w:val="Header"/>
      <w:jc w:val="right"/>
      <w:rPr>
        <w:rFonts w:cs="Traditional Arabic"/>
        <w:noProof w:val="0"/>
        <w:sz w:val="16"/>
        <w:szCs w:val="16"/>
        <w:rtl/>
      </w:rPr>
    </w:pPr>
    <w:r w:rsidRPr="00F93F69">
      <w:rPr>
        <w:rFonts w:cs="Traditional Arabic"/>
        <w:noProof w:val="0"/>
        <w:sz w:val="16"/>
        <w:szCs w:val="16"/>
      </w:rPr>
      <w:t xml:space="preserve">PCBS: Statistical Report, </w:t>
    </w:r>
    <w:r w:rsidR="002B62BC">
      <w:rPr>
        <w:rFonts w:cs="Traditional Arabic"/>
        <w:noProof w:val="0"/>
        <w:sz w:val="16"/>
        <w:szCs w:val="16"/>
      </w:rPr>
      <w:t>Palestinian</w:t>
    </w:r>
    <w:r w:rsidR="0009345A">
      <w:rPr>
        <w:rFonts w:cs="Traditional Arabic"/>
        <w:noProof w:val="0"/>
        <w:sz w:val="16"/>
        <w:szCs w:val="16"/>
      </w:rPr>
      <w:t xml:space="preserve"> Health Accounts </w:t>
    </w:r>
    <w:r w:rsidR="001A7593">
      <w:rPr>
        <w:rFonts w:cs="Traditional Arabic"/>
        <w:noProof w:val="0"/>
        <w:sz w:val="16"/>
        <w:szCs w:val="16"/>
      </w:rPr>
      <w:t>201</w:t>
    </w:r>
    <w:r w:rsidR="005E4BA5">
      <w:rPr>
        <w:rFonts w:cs="Traditional Arabic"/>
        <w:noProof w:val="0"/>
        <w:sz w:val="16"/>
        <w:szCs w:val="16"/>
      </w:rPr>
      <w:t>6</w:t>
    </w:r>
  </w:p>
  <w:p w:rsidR="002911CC" w:rsidRDefault="002911CC">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9">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2">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3">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4">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6">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8">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9">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5">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38CB047F"/>
    <w:multiLevelType w:val="multilevel"/>
    <w:tmpl w:val="86389CD0"/>
    <w:lvl w:ilvl="0">
      <w:start w:val="1"/>
      <w:numFmt w:val="decimal"/>
      <w:lvlText w:val="%1."/>
      <w:lvlJc w:val="left"/>
      <w:pPr>
        <w:ind w:left="720" w:hanging="360"/>
      </w:pPr>
      <w:rPr>
        <w:rFonts w:cs="Times New Roman"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9">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1">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3">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4">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6">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8">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9">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0">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3">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4">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45">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6">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7">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9">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28"/>
  </w:num>
  <w:num w:numId="4">
    <w:abstractNumId w:val="29"/>
  </w:num>
  <w:num w:numId="5">
    <w:abstractNumId w:val="48"/>
  </w:num>
  <w:num w:numId="6">
    <w:abstractNumId w:val="13"/>
  </w:num>
  <w:num w:numId="7">
    <w:abstractNumId w:val="37"/>
  </w:num>
  <w:num w:numId="8">
    <w:abstractNumId w:val="16"/>
  </w:num>
  <w:num w:numId="9">
    <w:abstractNumId w:val="11"/>
  </w:num>
  <w:num w:numId="10">
    <w:abstractNumId w:val="30"/>
  </w:num>
  <w:num w:numId="11">
    <w:abstractNumId w:val="18"/>
  </w:num>
  <w:num w:numId="12">
    <w:abstractNumId w:val="24"/>
  </w:num>
  <w:num w:numId="13">
    <w:abstractNumId w:val="9"/>
  </w:num>
  <w:num w:numId="14">
    <w:abstractNumId w:val="33"/>
  </w:num>
  <w:num w:numId="15">
    <w:abstractNumId w:val="21"/>
  </w:num>
  <w:num w:numId="16">
    <w:abstractNumId w:val="25"/>
  </w:num>
  <w:num w:numId="17">
    <w:abstractNumId w:val="46"/>
  </w:num>
  <w:num w:numId="18">
    <w:abstractNumId w:val="0"/>
  </w:num>
  <w:num w:numId="19">
    <w:abstractNumId w:val="32"/>
  </w:num>
  <w:num w:numId="20">
    <w:abstractNumId w:val="38"/>
  </w:num>
  <w:num w:numId="21">
    <w:abstractNumId w:val="27"/>
  </w:num>
  <w:num w:numId="22">
    <w:abstractNumId w:val="17"/>
  </w:num>
  <w:num w:numId="23">
    <w:abstractNumId w:val="4"/>
  </w:num>
  <w:num w:numId="24">
    <w:abstractNumId w:val="31"/>
  </w:num>
  <w:num w:numId="25">
    <w:abstractNumId w:val="42"/>
  </w:num>
  <w:num w:numId="26">
    <w:abstractNumId w:val="43"/>
  </w:num>
  <w:num w:numId="27">
    <w:abstractNumId w:val="6"/>
  </w:num>
  <w:num w:numId="28">
    <w:abstractNumId w:val="3"/>
  </w:num>
  <w:num w:numId="29">
    <w:abstractNumId w:val="34"/>
  </w:num>
  <w:num w:numId="30">
    <w:abstractNumId w:val="45"/>
  </w:num>
  <w:num w:numId="31">
    <w:abstractNumId w:val="8"/>
  </w:num>
  <w:num w:numId="32">
    <w:abstractNumId w:val="35"/>
  </w:num>
  <w:num w:numId="33">
    <w:abstractNumId w:val="44"/>
  </w:num>
  <w:num w:numId="34">
    <w:abstractNumId w:val="20"/>
  </w:num>
  <w:num w:numId="35">
    <w:abstractNumId w:val="12"/>
  </w:num>
  <w:num w:numId="36">
    <w:abstractNumId w:val="40"/>
  </w:num>
  <w:num w:numId="37">
    <w:abstractNumId w:val="49"/>
  </w:num>
  <w:num w:numId="38">
    <w:abstractNumId w:val="15"/>
  </w:num>
  <w:num w:numId="39">
    <w:abstractNumId w:val="2"/>
  </w:num>
  <w:num w:numId="40">
    <w:abstractNumId w:val="41"/>
  </w:num>
  <w:num w:numId="41">
    <w:abstractNumId w:val="26"/>
  </w:num>
  <w:num w:numId="42">
    <w:abstractNumId w:val="39"/>
  </w:num>
  <w:num w:numId="43">
    <w:abstractNumId w:val="7"/>
  </w:num>
  <w:num w:numId="44">
    <w:abstractNumId w:val="23"/>
  </w:num>
  <w:num w:numId="45">
    <w:abstractNumId w:val="22"/>
  </w:num>
  <w:num w:numId="46">
    <w:abstractNumId w:val="47"/>
  </w:num>
  <w:num w:numId="47">
    <w:abstractNumId w:val="36"/>
  </w:num>
  <w:num w:numId="48">
    <w:abstractNumId w:val="5"/>
  </w:num>
  <w:num w:numId="49">
    <w:abstractNumId w:val="14"/>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3703"/>
    <w:rsid w:val="0000622F"/>
    <w:rsid w:val="00010A5D"/>
    <w:rsid w:val="000118E6"/>
    <w:rsid w:val="00012407"/>
    <w:rsid w:val="00014FB6"/>
    <w:rsid w:val="00015765"/>
    <w:rsid w:val="00016F8F"/>
    <w:rsid w:val="0002074B"/>
    <w:rsid w:val="00026116"/>
    <w:rsid w:val="00031C79"/>
    <w:rsid w:val="00031F69"/>
    <w:rsid w:val="00033826"/>
    <w:rsid w:val="00033D9B"/>
    <w:rsid w:val="00034CED"/>
    <w:rsid w:val="00036803"/>
    <w:rsid w:val="00040772"/>
    <w:rsid w:val="000412FA"/>
    <w:rsid w:val="000418A8"/>
    <w:rsid w:val="00042C78"/>
    <w:rsid w:val="000438CC"/>
    <w:rsid w:val="000443CC"/>
    <w:rsid w:val="00044D63"/>
    <w:rsid w:val="000455D7"/>
    <w:rsid w:val="00047731"/>
    <w:rsid w:val="000479F6"/>
    <w:rsid w:val="00050C88"/>
    <w:rsid w:val="000533AB"/>
    <w:rsid w:val="00053DC6"/>
    <w:rsid w:val="00061AA1"/>
    <w:rsid w:val="0006359D"/>
    <w:rsid w:val="00064DD6"/>
    <w:rsid w:val="00072A39"/>
    <w:rsid w:val="00072CB8"/>
    <w:rsid w:val="000745F8"/>
    <w:rsid w:val="0007519A"/>
    <w:rsid w:val="00077F37"/>
    <w:rsid w:val="00082DF6"/>
    <w:rsid w:val="00085404"/>
    <w:rsid w:val="0009098A"/>
    <w:rsid w:val="00091401"/>
    <w:rsid w:val="00092637"/>
    <w:rsid w:val="00092FC1"/>
    <w:rsid w:val="0009345A"/>
    <w:rsid w:val="0009421E"/>
    <w:rsid w:val="000A3040"/>
    <w:rsid w:val="000A4329"/>
    <w:rsid w:val="000B1C0E"/>
    <w:rsid w:val="000B2627"/>
    <w:rsid w:val="000B2A76"/>
    <w:rsid w:val="000B342A"/>
    <w:rsid w:val="000B52BB"/>
    <w:rsid w:val="000C3D1B"/>
    <w:rsid w:val="000D2012"/>
    <w:rsid w:val="000D2041"/>
    <w:rsid w:val="000D73E4"/>
    <w:rsid w:val="000E39CF"/>
    <w:rsid w:val="000E54C7"/>
    <w:rsid w:val="000E5A3D"/>
    <w:rsid w:val="000F1389"/>
    <w:rsid w:val="000F4520"/>
    <w:rsid w:val="000F5302"/>
    <w:rsid w:val="00100375"/>
    <w:rsid w:val="00101C80"/>
    <w:rsid w:val="00101F49"/>
    <w:rsid w:val="00105F98"/>
    <w:rsid w:val="00106EFF"/>
    <w:rsid w:val="00113765"/>
    <w:rsid w:val="00114267"/>
    <w:rsid w:val="001147B0"/>
    <w:rsid w:val="001148E0"/>
    <w:rsid w:val="00121B49"/>
    <w:rsid w:val="0012268B"/>
    <w:rsid w:val="00124068"/>
    <w:rsid w:val="00124D8E"/>
    <w:rsid w:val="00126384"/>
    <w:rsid w:val="00131C52"/>
    <w:rsid w:val="00133051"/>
    <w:rsid w:val="00133A95"/>
    <w:rsid w:val="001363DE"/>
    <w:rsid w:val="00140214"/>
    <w:rsid w:val="00140C95"/>
    <w:rsid w:val="00142AA9"/>
    <w:rsid w:val="00145951"/>
    <w:rsid w:val="001543F6"/>
    <w:rsid w:val="00155AD5"/>
    <w:rsid w:val="001561AD"/>
    <w:rsid w:val="00156F68"/>
    <w:rsid w:val="00162AFC"/>
    <w:rsid w:val="001636E1"/>
    <w:rsid w:val="00165C4C"/>
    <w:rsid w:val="001661F2"/>
    <w:rsid w:val="00166CB0"/>
    <w:rsid w:val="00167596"/>
    <w:rsid w:val="00167AB9"/>
    <w:rsid w:val="00167C68"/>
    <w:rsid w:val="00167EE0"/>
    <w:rsid w:val="0017070D"/>
    <w:rsid w:val="0017072C"/>
    <w:rsid w:val="00175842"/>
    <w:rsid w:val="0017749D"/>
    <w:rsid w:val="0018065C"/>
    <w:rsid w:val="00181D41"/>
    <w:rsid w:val="0018561B"/>
    <w:rsid w:val="00186EFB"/>
    <w:rsid w:val="00190C36"/>
    <w:rsid w:val="001910ED"/>
    <w:rsid w:val="0019131A"/>
    <w:rsid w:val="00194DB2"/>
    <w:rsid w:val="00194F4D"/>
    <w:rsid w:val="001953FF"/>
    <w:rsid w:val="0019728F"/>
    <w:rsid w:val="001A039D"/>
    <w:rsid w:val="001A07EB"/>
    <w:rsid w:val="001A0D1B"/>
    <w:rsid w:val="001A116B"/>
    <w:rsid w:val="001A2BD1"/>
    <w:rsid w:val="001A39FA"/>
    <w:rsid w:val="001A5377"/>
    <w:rsid w:val="001A57CB"/>
    <w:rsid w:val="001A58DC"/>
    <w:rsid w:val="001A7593"/>
    <w:rsid w:val="001B2215"/>
    <w:rsid w:val="001B4F3A"/>
    <w:rsid w:val="001B4F77"/>
    <w:rsid w:val="001B68FA"/>
    <w:rsid w:val="001C0065"/>
    <w:rsid w:val="001C0A2B"/>
    <w:rsid w:val="001C1129"/>
    <w:rsid w:val="001C2184"/>
    <w:rsid w:val="001C2486"/>
    <w:rsid w:val="001C291C"/>
    <w:rsid w:val="001C349C"/>
    <w:rsid w:val="001C4BF5"/>
    <w:rsid w:val="001C4F9B"/>
    <w:rsid w:val="001C55C6"/>
    <w:rsid w:val="001C5B75"/>
    <w:rsid w:val="001C6FBE"/>
    <w:rsid w:val="001D0FD7"/>
    <w:rsid w:val="001D12F1"/>
    <w:rsid w:val="001D18ED"/>
    <w:rsid w:val="001D1C23"/>
    <w:rsid w:val="001D2088"/>
    <w:rsid w:val="001D2411"/>
    <w:rsid w:val="001D2420"/>
    <w:rsid w:val="001D308A"/>
    <w:rsid w:val="001D5B0D"/>
    <w:rsid w:val="001D6C52"/>
    <w:rsid w:val="001E0719"/>
    <w:rsid w:val="001E092A"/>
    <w:rsid w:val="001E345D"/>
    <w:rsid w:val="001F02EF"/>
    <w:rsid w:val="001F4789"/>
    <w:rsid w:val="001F4AC7"/>
    <w:rsid w:val="001F5586"/>
    <w:rsid w:val="001F5B8D"/>
    <w:rsid w:val="001F726B"/>
    <w:rsid w:val="001F72FA"/>
    <w:rsid w:val="001F7B30"/>
    <w:rsid w:val="00200D1F"/>
    <w:rsid w:val="00201B09"/>
    <w:rsid w:val="00202903"/>
    <w:rsid w:val="00202984"/>
    <w:rsid w:val="00204A68"/>
    <w:rsid w:val="00204C1F"/>
    <w:rsid w:val="00205730"/>
    <w:rsid w:val="002059D7"/>
    <w:rsid w:val="00205D46"/>
    <w:rsid w:val="00207385"/>
    <w:rsid w:val="00207AFA"/>
    <w:rsid w:val="00211C16"/>
    <w:rsid w:val="00212DFE"/>
    <w:rsid w:val="0021426D"/>
    <w:rsid w:val="002143AD"/>
    <w:rsid w:val="00214DBE"/>
    <w:rsid w:val="00215A3C"/>
    <w:rsid w:val="002166B0"/>
    <w:rsid w:val="00221A2C"/>
    <w:rsid w:val="00221E7A"/>
    <w:rsid w:val="00223001"/>
    <w:rsid w:val="00226008"/>
    <w:rsid w:val="002261C1"/>
    <w:rsid w:val="00232F40"/>
    <w:rsid w:val="00233F85"/>
    <w:rsid w:val="00237B34"/>
    <w:rsid w:val="00240690"/>
    <w:rsid w:val="00240F65"/>
    <w:rsid w:val="00245970"/>
    <w:rsid w:val="00250741"/>
    <w:rsid w:val="00250EC4"/>
    <w:rsid w:val="0025374E"/>
    <w:rsid w:val="0025535C"/>
    <w:rsid w:val="00256AF5"/>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FA5"/>
    <w:rsid w:val="00285F0E"/>
    <w:rsid w:val="00290280"/>
    <w:rsid w:val="002911CC"/>
    <w:rsid w:val="002919BA"/>
    <w:rsid w:val="002924C5"/>
    <w:rsid w:val="002939A2"/>
    <w:rsid w:val="002961B3"/>
    <w:rsid w:val="00297941"/>
    <w:rsid w:val="002A083B"/>
    <w:rsid w:val="002A1830"/>
    <w:rsid w:val="002A28E0"/>
    <w:rsid w:val="002A2BF6"/>
    <w:rsid w:val="002A6CDF"/>
    <w:rsid w:val="002B0A1E"/>
    <w:rsid w:val="002B35DD"/>
    <w:rsid w:val="002B3C03"/>
    <w:rsid w:val="002B62BC"/>
    <w:rsid w:val="002B6CA7"/>
    <w:rsid w:val="002C5727"/>
    <w:rsid w:val="002C5E54"/>
    <w:rsid w:val="002C6380"/>
    <w:rsid w:val="002C7A08"/>
    <w:rsid w:val="002D2008"/>
    <w:rsid w:val="002D3AB6"/>
    <w:rsid w:val="002D3EFB"/>
    <w:rsid w:val="002D41F7"/>
    <w:rsid w:val="002D49F8"/>
    <w:rsid w:val="002D640A"/>
    <w:rsid w:val="002D6B5E"/>
    <w:rsid w:val="002E11A6"/>
    <w:rsid w:val="002E395A"/>
    <w:rsid w:val="002E46CE"/>
    <w:rsid w:val="002F05F8"/>
    <w:rsid w:val="002F2962"/>
    <w:rsid w:val="002F318C"/>
    <w:rsid w:val="002F4938"/>
    <w:rsid w:val="002F7B54"/>
    <w:rsid w:val="00303B5E"/>
    <w:rsid w:val="00305CF3"/>
    <w:rsid w:val="00307021"/>
    <w:rsid w:val="00310174"/>
    <w:rsid w:val="00312B4D"/>
    <w:rsid w:val="00317076"/>
    <w:rsid w:val="003172C0"/>
    <w:rsid w:val="00320D61"/>
    <w:rsid w:val="00321B8F"/>
    <w:rsid w:val="003222B5"/>
    <w:rsid w:val="00324ED6"/>
    <w:rsid w:val="00325A5F"/>
    <w:rsid w:val="00325AF5"/>
    <w:rsid w:val="003301BF"/>
    <w:rsid w:val="00332678"/>
    <w:rsid w:val="00332AA8"/>
    <w:rsid w:val="00333049"/>
    <w:rsid w:val="00333EFE"/>
    <w:rsid w:val="0033513C"/>
    <w:rsid w:val="00335638"/>
    <w:rsid w:val="003361A7"/>
    <w:rsid w:val="003421BC"/>
    <w:rsid w:val="00343C0B"/>
    <w:rsid w:val="00344B8D"/>
    <w:rsid w:val="00346688"/>
    <w:rsid w:val="00347AAB"/>
    <w:rsid w:val="00351347"/>
    <w:rsid w:val="00353BD0"/>
    <w:rsid w:val="00354587"/>
    <w:rsid w:val="003567D8"/>
    <w:rsid w:val="00356DBD"/>
    <w:rsid w:val="00361BD5"/>
    <w:rsid w:val="00364935"/>
    <w:rsid w:val="00365A1C"/>
    <w:rsid w:val="00366841"/>
    <w:rsid w:val="00366E1F"/>
    <w:rsid w:val="00366E63"/>
    <w:rsid w:val="003677CB"/>
    <w:rsid w:val="003703A9"/>
    <w:rsid w:val="00371679"/>
    <w:rsid w:val="003742BE"/>
    <w:rsid w:val="00376EF4"/>
    <w:rsid w:val="003805AA"/>
    <w:rsid w:val="00384DC7"/>
    <w:rsid w:val="00385D54"/>
    <w:rsid w:val="00386B2F"/>
    <w:rsid w:val="00386FEC"/>
    <w:rsid w:val="00394153"/>
    <w:rsid w:val="00394A41"/>
    <w:rsid w:val="00394E77"/>
    <w:rsid w:val="003A03DA"/>
    <w:rsid w:val="003A2872"/>
    <w:rsid w:val="003A305E"/>
    <w:rsid w:val="003A42F3"/>
    <w:rsid w:val="003A6638"/>
    <w:rsid w:val="003A6B87"/>
    <w:rsid w:val="003B01D1"/>
    <w:rsid w:val="003B32E9"/>
    <w:rsid w:val="003B3868"/>
    <w:rsid w:val="003B4605"/>
    <w:rsid w:val="003B587A"/>
    <w:rsid w:val="003B58EC"/>
    <w:rsid w:val="003B6A81"/>
    <w:rsid w:val="003B6BD8"/>
    <w:rsid w:val="003B753B"/>
    <w:rsid w:val="003B776C"/>
    <w:rsid w:val="003C0D38"/>
    <w:rsid w:val="003C1B92"/>
    <w:rsid w:val="003C79D1"/>
    <w:rsid w:val="003D03EC"/>
    <w:rsid w:val="003D0C3F"/>
    <w:rsid w:val="003D2659"/>
    <w:rsid w:val="003D2BF4"/>
    <w:rsid w:val="003D5AE2"/>
    <w:rsid w:val="003D7F88"/>
    <w:rsid w:val="003E09EB"/>
    <w:rsid w:val="003E61F4"/>
    <w:rsid w:val="003F2435"/>
    <w:rsid w:val="003F3B2E"/>
    <w:rsid w:val="003F603F"/>
    <w:rsid w:val="003F7E42"/>
    <w:rsid w:val="004012A1"/>
    <w:rsid w:val="004014B2"/>
    <w:rsid w:val="004045E3"/>
    <w:rsid w:val="004076BF"/>
    <w:rsid w:val="004078B6"/>
    <w:rsid w:val="00410A58"/>
    <w:rsid w:val="004128DE"/>
    <w:rsid w:val="00414303"/>
    <w:rsid w:val="004172CA"/>
    <w:rsid w:val="004203EA"/>
    <w:rsid w:val="00420738"/>
    <w:rsid w:val="00420992"/>
    <w:rsid w:val="00420F60"/>
    <w:rsid w:val="004303EB"/>
    <w:rsid w:val="004323BD"/>
    <w:rsid w:val="00433787"/>
    <w:rsid w:val="00440762"/>
    <w:rsid w:val="00441BCC"/>
    <w:rsid w:val="00443678"/>
    <w:rsid w:val="00445E27"/>
    <w:rsid w:val="00450450"/>
    <w:rsid w:val="00451C0F"/>
    <w:rsid w:val="00451C9B"/>
    <w:rsid w:val="00454526"/>
    <w:rsid w:val="00455D59"/>
    <w:rsid w:val="00457657"/>
    <w:rsid w:val="00457892"/>
    <w:rsid w:val="004638F7"/>
    <w:rsid w:val="004661F6"/>
    <w:rsid w:val="00467A2A"/>
    <w:rsid w:val="00471E25"/>
    <w:rsid w:val="0047395E"/>
    <w:rsid w:val="00473D48"/>
    <w:rsid w:val="00474914"/>
    <w:rsid w:val="00476C8E"/>
    <w:rsid w:val="004819E9"/>
    <w:rsid w:val="004841AD"/>
    <w:rsid w:val="004846DE"/>
    <w:rsid w:val="00484991"/>
    <w:rsid w:val="00487F29"/>
    <w:rsid w:val="00491F05"/>
    <w:rsid w:val="004925FD"/>
    <w:rsid w:val="004971F3"/>
    <w:rsid w:val="00497730"/>
    <w:rsid w:val="004A057C"/>
    <w:rsid w:val="004A0B05"/>
    <w:rsid w:val="004A2F0D"/>
    <w:rsid w:val="004A382C"/>
    <w:rsid w:val="004A5A6E"/>
    <w:rsid w:val="004B4D59"/>
    <w:rsid w:val="004C3BD6"/>
    <w:rsid w:val="004C5F64"/>
    <w:rsid w:val="004C7244"/>
    <w:rsid w:val="004D1D39"/>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1A62"/>
    <w:rsid w:val="00501D80"/>
    <w:rsid w:val="00502A6E"/>
    <w:rsid w:val="00502B42"/>
    <w:rsid w:val="00502FAA"/>
    <w:rsid w:val="00510614"/>
    <w:rsid w:val="00510BC2"/>
    <w:rsid w:val="00511050"/>
    <w:rsid w:val="00511F4A"/>
    <w:rsid w:val="005168EC"/>
    <w:rsid w:val="00516D53"/>
    <w:rsid w:val="00516F6A"/>
    <w:rsid w:val="00517F63"/>
    <w:rsid w:val="00527D3A"/>
    <w:rsid w:val="005351C3"/>
    <w:rsid w:val="00541A08"/>
    <w:rsid w:val="00544CB8"/>
    <w:rsid w:val="00546311"/>
    <w:rsid w:val="00547CB6"/>
    <w:rsid w:val="0055448E"/>
    <w:rsid w:val="00555D48"/>
    <w:rsid w:val="00557F48"/>
    <w:rsid w:val="00561508"/>
    <w:rsid w:val="0056369E"/>
    <w:rsid w:val="00566A31"/>
    <w:rsid w:val="0056796D"/>
    <w:rsid w:val="00567FCB"/>
    <w:rsid w:val="00571099"/>
    <w:rsid w:val="00571241"/>
    <w:rsid w:val="00573943"/>
    <w:rsid w:val="00574085"/>
    <w:rsid w:val="00574AEB"/>
    <w:rsid w:val="00577B17"/>
    <w:rsid w:val="0058055A"/>
    <w:rsid w:val="00584CC7"/>
    <w:rsid w:val="005877B4"/>
    <w:rsid w:val="005901B5"/>
    <w:rsid w:val="005903CB"/>
    <w:rsid w:val="00591F84"/>
    <w:rsid w:val="0059420E"/>
    <w:rsid w:val="00595E2D"/>
    <w:rsid w:val="005A1D1C"/>
    <w:rsid w:val="005B11A0"/>
    <w:rsid w:val="005B1BE3"/>
    <w:rsid w:val="005C1E2E"/>
    <w:rsid w:val="005C2053"/>
    <w:rsid w:val="005C26BC"/>
    <w:rsid w:val="005C284E"/>
    <w:rsid w:val="005C3881"/>
    <w:rsid w:val="005C4DAF"/>
    <w:rsid w:val="005C6405"/>
    <w:rsid w:val="005C64E7"/>
    <w:rsid w:val="005C6946"/>
    <w:rsid w:val="005C7B58"/>
    <w:rsid w:val="005D28BC"/>
    <w:rsid w:val="005D3336"/>
    <w:rsid w:val="005D3CDA"/>
    <w:rsid w:val="005D4B82"/>
    <w:rsid w:val="005D5FA8"/>
    <w:rsid w:val="005E1595"/>
    <w:rsid w:val="005E1824"/>
    <w:rsid w:val="005E1C8F"/>
    <w:rsid w:val="005E3A70"/>
    <w:rsid w:val="005E425F"/>
    <w:rsid w:val="005E4BA5"/>
    <w:rsid w:val="005E61C7"/>
    <w:rsid w:val="005E7041"/>
    <w:rsid w:val="005F18C1"/>
    <w:rsid w:val="005F4A07"/>
    <w:rsid w:val="005F5797"/>
    <w:rsid w:val="00601FC0"/>
    <w:rsid w:val="006030FA"/>
    <w:rsid w:val="00603F37"/>
    <w:rsid w:val="00606AB3"/>
    <w:rsid w:val="00607FD0"/>
    <w:rsid w:val="006103F1"/>
    <w:rsid w:val="006115D4"/>
    <w:rsid w:val="00613B4F"/>
    <w:rsid w:val="00614C1C"/>
    <w:rsid w:val="006203DB"/>
    <w:rsid w:val="006249A1"/>
    <w:rsid w:val="00624A6A"/>
    <w:rsid w:val="00626BCD"/>
    <w:rsid w:val="0063157F"/>
    <w:rsid w:val="006318DA"/>
    <w:rsid w:val="00643554"/>
    <w:rsid w:val="00644D95"/>
    <w:rsid w:val="006505A4"/>
    <w:rsid w:val="00652B5B"/>
    <w:rsid w:val="00654C70"/>
    <w:rsid w:val="006627BA"/>
    <w:rsid w:val="00662D03"/>
    <w:rsid w:val="00664E37"/>
    <w:rsid w:val="006706AE"/>
    <w:rsid w:val="006733D1"/>
    <w:rsid w:val="00674512"/>
    <w:rsid w:val="0067678C"/>
    <w:rsid w:val="006769C1"/>
    <w:rsid w:val="00680E49"/>
    <w:rsid w:val="00683E1F"/>
    <w:rsid w:val="00684469"/>
    <w:rsid w:val="00684A61"/>
    <w:rsid w:val="00685459"/>
    <w:rsid w:val="00687AC1"/>
    <w:rsid w:val="00693CEF"/>
    <w:rsid w:val="00695419"/>
    <w:rsid w:val="006A412F"/>
    <w:rsid w:val="006A64B5"/>
    <w:rsid w:val="006A7405"/>
    <w:rsid w:val="006B2DE3"/>
    <w:rsid w:val="006B35C6"/>
    <w:rsid w:val="006B36C5"/>
    <w:rsid w:val="006B38AC"/>
    <w:rsid w:val="006B3C22"/>
    <w:rsid w:val="006B4D77"/>
    <w:rsid w:val="006B576C"/>
    <w:rsid w:val="006B62D7"/>
    <w:rsid w:val="006C35D8"/>
    <w:rsid w:val="006C55DE"/>
    <w:rsid w:val="006C5DE0"/>
    <w:rsid w:val="006C790C"/>
    <w:rsid w:val="006D03FB"/>
    <w:rsid w:val="006D68C5"/>
    <w:rsid w:val="006E0883"/>
    <w:rsid w:val="006E19D1"/>
    <w:rsid w:val="006E4F0E"/>
    <w:rsid w:val="006E5F5E"/>
    <w:rsid w:val="006F217F"/>
    <w:rsid w:val="006F3F9D"/>
    <w:rsid w:val="006F473A"/>
    <w:rsid w:val="006F4C13"/>
    <w:rsid w:val="006F5182"/>
    <w:rsid w:val="006F5861"/>
    <w:rsid w:val="006F6FC8"/>
    <w:rsid w:val="006F7EC8"/>
    <w:rsid w:val="00700A38"/>
    <w:rsid w:val="0070346B"/>
    <w:rsid w:val="00703F6F"/>
    <w:rsid w:val="00704694"/>
    <w:rsid w:val="00706865"/>
    <w:rsid w:val="007069C9"/>
    <w:rsid w:val="00707489"/>
    <w:rsid w:val="00713BA3"/>
    <w:rsid w:val="007144D5"/>
    <w:rsid w:val="00715290"/>
    <w:rsid w:val="00720048"/>
    <w:rsid w:val="00726EA7"/>
    <w:rsid w:val="0073555C"/>
    <w:rsid w:val="00735ABF"/>
    <w:rsid w:val="00737729"/>
    <w:rsid w:val="00741B58"/>
    <w:rsid w:val="0074293E"/>
    <w:rsid w:val="007451BD"/>
    <w:rsid w:val="00752E8D"/>
    <w:rsid w:val="007557C2"/>
    <w:rsid w:val="007607DC"/>
    <w:rsid w:val="0076084B"/>
    <w:rsid w:val="00763A85"/>
    <w:rsid w:val="00767566"/>
    <w:rsid w:val="007740C9"/>
    <w:rsid w:val="00774305"/>
    <w:rsid w:val="00774393"/>
    <w:rsid w:val="00775887"/>
    <w:rsid w:val="007772F3"/>
    <w:rsid w:val="00777888"/>
    <w:rsid w:val="007821C3"/>
    <w:rsid w:val="0078253E"/>
    <w:rsid w:val="00782863"/>
    <w:rsid w:val="007917BC"/>
    <w:rsid w:val="007918A0"/>
    <w:rsid w:val="007921BB"/>
    <w:rsid w:val="00793C55"/>
    <w:rsid w:val="00794DF5"/>
    <w:rsid w:val="00795A7D"/>
    <w:rsid w:val="007A1056"/>
    <w:rsid w:val="007A11DA"/>
    <w:rsid w:val="007A1DE7"/>
    <w:rsid w:val="007A28DD"/>
    <w:rsid w:val="007A2EC2"/>
    <w:rsid w:val="007A469D"/>
    <w:rsid w:val="007B122F"/>
    <w:rsid w:val="007B183A"/>
    <w:rsid w:val="007B42F8"/>
    <w:rsid w:val="007B46F1"/>
    <w:rsid w:val="007B6BA4"/>
    <w:rsid w:val="007B6EC8"/>
    <w:rsid w:val="007B7467"/>
    <w:rsid w:val="007B7F16"/>
    <w:rsid w:val="007B7FB5"/>
    <w:rsid w:val="007C6327"/>
    <w:rsid w:val="007C6787"/>
    <w:rsid w:val="007C68C1"/>
    <w:rsid w:val="007D0E39"/>
    <w:rsid w:val="007D1F0A"/>
    <w:rsid w:val="007D3514"/>
    <w:rsid w:val="007D3CBB"/>
    <w:rsid w:val="007E0E51"/>
    <w:rsid w:val="007E46AE"/>
    <w:rsid w:val="007E46F1"/>
    <w:rsid w:val="007E47FE"/>
    <w:rsid w:val="007E5F8E"/>
    <w:rsid w:val="007E669B"/>
    <w:rsid w:val="007F47C4"/>
    <w:rsid w:val="007F64FC"/>
    <w:rsid w:val="007F6C7E"/>
    <w:rsid w:val="007F6F31"/>
    <w:rsid w:val="007F7A67"/>
    <w:rsid w:val="008019F8"/>
    <w:rsid w:val="00803BE6"/>
    <w:rsid w:val="00803CE9"/>
    <w:rsid w:val="00804817"/>
    <w:rsid w:val="008048DB"/>
    <w:rsid w:val="008052E9"/>
    <w:rsid w:val="00805C6B"/>
    <w:rsid w:val="00805E51"/>
    <w:rsid w:val="00806B48"/>
    <w:rsid w:val="0081012E"/>
    <w:rsid w:val="008137CC"/>
    <w:rsid w:val="00815514"/>
    <w:rsid w:val="00816BE6"/>
    <w:rsid w:val="00823084"/>
    <w:rsid w:val="008230B5"/>
    <w:rsid w:val="00823652"/>
    <w:rsid w:val="0082426E"/>
    <w:rsid w:val="00824B6B"/>
    <w:rsid w:val="00825CBC"/>
    <w:rsid w:val="008327BF"/>
    <w:rsid w:val="00833006"/>
    <w:rsid w:val="0083324D"/>
    <w:rsid w:val="008334FE"/>
    <w:rsid w:val="008358A0"/>
    <w:rsid w:val="008432F0"/>
    <w:rsid w:val="00845089"/>
    <w:rsid w:val="00846479"/>
    <w:rsid w:val="00846983"/>
    <w:rsid w:val="00846DFF"/>
    <w:rsid w:val="00847410"/>
    <w:rsid w:val="00850FA2"/>
    <w:rsid w:val="00852D21"/>
    <w:rsid w:val="00854DBD"/>
    <w:rsid w:val="00855B3E"/>
    <w:rsid w:val="00862A99"/>
    <w:rsid w:val="00863CFB"/>
    <w:rsid w:val="00865BD6"/>
    <w:rsid w:val="00865BE1"/>
    <w:rsid w:val="00871A67"/>
    <w:rsid w:val="008721D0"/>
    <w:rsid w:val="008740C6"/>
    <w:rsid w:val="008743BC"/>
    <w:rsid w:val="00875195"/>
    <w:rsid w:val="00876DA7"/>
    <w:rsid w:val="00876EFA"/>
    <w:rsid w:val="0087738B"/>
    <w:rsid w:val="00881C77"/>
    <w:rsid w:val="00881F10"/>
    <w:rsid w:val="00882FEB"/>
    <w:rsid w:val="00883E2D"/>
    <w:rsid w:val="00887BF7"/>
    <w:rsid w:val="00887E20"/>
    <w:rsid w:val="0089026C"/>
    <w:rsid w:val="008912A2"/>
    <w:rsid w:val="0089387D"/>
    <w:rsid w:val="00893AAC"/>
    <w:rsid w:val="00894025"/>
    <w:rsid w:val="008946D4"/>
    <w:rsid w:val="00895650"/>
    <w:rsid w:val="008976C7"/>
    <w:rsid w:val="008A0FA8"/>
    <w:rsid w:val="008A14EC"/>
    <w:rsid w:val="008A3301"/>
    <w:rsid w:val="008B3FE2"/>
    <w:rsid w:val="008B4057"/>
    <w:rsid w:val="008B4D0F"/>
    <w:rsid w:val="008B72B8"/>
    <w:rsid w:val="008C2D50"/>
    <w:rsid w:val="008C4386"/>
    <w:rsid w:val="008C5177"/>
    <w:rsid w:val="008C7765"/>
    <w:rsid w:val="008C7F2C"/>
    <w:rsid w:val="008E34A3"/>
    <w:rsid w:val="008F0487"/>
    <w:rsid w:val="008F5F49"/>
    <w:rsid w:val="00901D30"/>
    <w:rsid w:val="00903C0C"/>
    <w:rsid w:val="009052C8"/>
    <w:rsid w:val="00906016"/>
    <w:rsid w:val="00910462"/>
    <w:rsid w:val="00911B35"/>
    <w:rsid w:val="00912480"/>
    <w:rsid w:val="0091249E"/>
    <w:rsid w:val="009150D9"/>
    <w:rsid w:val="00921863"/>
    <w:rsid w:val="00924573"/>
    <w:rsid w:val="00925020"/>
    <w:rsid w:val="00930720"/>
    <w:rsid w:val="0093237A"/>
    <w:rsid w:val="009324F2"/>
    <w:rsid w:val="0093268F"/>
    <w:rsid w:val="0093444D"/>
    <w:rsid w:val="00934479"/>
    <w:rsid w:val="009410B7"/>
    <w:rsid w:val="00941294"/>
    <w:rsid w:val="009427C8"/>
    <w:rsid w:val="009432FB"/>
    <w:rsid w:val="00944E38"/>
    <w:rsid w:val="009452F3"/>
    <w:rsid w:val="00947182"/>
    <w:rsid w:val="00950733"/>
    <w:rsid w:val="009518F1"/>
    <w:rsid w:val="00957A0B"/>
    <w:rsid w:val="009615D8"/>
    <w:rsid w:val="00961FAC"/>
    <w:rsid w:val="00961FB1"/>
    <w:rsid w:val="00962564"/>
    <w:rsid w:val="00962F88"/>
    <w:rsid w:val="009648F3"/>
    <w:rsid w:val="0098309D"/>
    <w:rsid w:val="009839BC"/>
    <w:rsid w:val="00986A1D"/>
    <w:rsid w:val="00987E43"/>
    <w:rsid w:val="0099280A"/>
    <w:rsid w:val="00992D09"/>
    <w:rsid w:val="00994714"/>
    <w:rsid w:val="00994A35"/>
    <w:rsid w:val="00995105"/>
    <w:rsid w:val="00997FE6"/>
    <w:rsid w:val="009A2544"/>
    <w:rsid w:val="009A2B3B"/>
    <w:rsid w:val="009A328E"/>
    <w:rsid w:val="009A585B"/>
    <w:rsid w:val="009A708A"/>
    <w:rsid w:val="009B2307"/>
    <w:rsid w:val="009B3B17"/>
    <w:rsid w:val="009C163A"/>
    <w:rsid w:val="009C1A70"/>
    <w:rsid w:val="009C73CD"/>
    <w:rsid w:val="009C7D87"/>
    <w:rsid w:val="009D0EE6"/>
    <w:rsid w:val="009D13D8"/>
    <w:rsid w:val="009D2AAF"/>
    <w:rsid w:val="009D40FF"/>
    <w:rsid w:val="009D55B2"/>
    <w:rsid w:val="009D5A64"/>
    <w:rsid w:val="009D5D4C"/>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7463"/>
    <w:rsid w:val="00A212C3"/>
    <w:rsid w:val="00A2136B"/>
    <w:rsid w:val="00A21672"/>
    <w:rsid w:val="00A21F8B"/>
    <w:rsid w:val="00A22441"/>
    <w:rsid w:val="00A25511"/>
    <w:rsid w:val="00A2584E"/>
    <w:rsid w:val="00A25FAA"/>
    <w:rsid w:val="00A2634B"/>
    <w:rsid w:val="00A279B6"/>
    <w:rsid w:val="00A32629"/>
    <w:rsid w:val="00A32D2C"/>
    <w:rsid w:val="00A3514E"/>
    <w:rsid w:val="00A36324"/>
    <w:rsid w:val="00A36A10"/>
    <w:rsid w:val="00A37F92"/>
    <w:rsid w:val="00A40DD3"/>
    <w:rsid w:val="00A43FD4"/>
    <w:rsid w:val="00A44AE3"/>
    <w:rsid w:val="00A45D80"/>
    <w:rsid w:val="00A47A36"/>
    <w:rsid w:val="00A5009D"/>
    <w:rsid w:val="00A528FD"/>
    <w:rsid w:val="00A53318"/>
    <w:rsid w:val="00A573AE"/>
    <w:rsid w:val="00A63672"/>
    <w:rsid w:val="00A6400B"/>
    <w:rsid w:val="00A64364"/>
    <w:rsid w:val="00A64802"/>
    <w:rsid w:val="00A70B99"/>
    <w:rsid w:val="00A71772"/>
    <w:rsid w:val="00A7374C"/>
    <w:rsid w:val="00A7641C"/>
    <w:rsid w:val="00A76C1E"/>
    <w:rsid w:val="00A77DD1"/>
    <w:rsid w:val="00A80953"/>
    <w:rsid w:val="00A82439"/>
    <w:rsid w:val="00A82DE6"/>
    <w:rsid w:val="00A82F24"/>
    <w:rsid w:val="00A86D61"/>
    <w:rsid w:val="00A93F5C"/>
    <w:rsid w:val="00A95D2A"/>
    <w:rsid w:val="00AA1BCD"/>
    <w:rsid w:val="00AA38D5"/>
    <w:rsid w:val="00AA5CA4"/>
    <w:rsid w:val="00AA756E"/>
    <w:rsid w:val="00AB0204"/>
    <w:rsid w:val="00AB0969"/>
    <w:rsid w:val="00AB1446"/>
    <w:rsid w:val="00AB15EE"/>
    <w:rsid w:val="00AB2380"/>
    <w:rsid w:val="00AB2D9A"/>
    <w:rsid w:val="00AB41BE"/>
    <w:rsid w:val="00AC0550"/>
    <w:rsid w:val="00AC0BC3"/>
    <w:rsid w:val="00AC14F8"/>
    <w:rsid w:val="00AC2C8C"/>
    <w:rsid w:val="00AC3D17"/>
    <w:rsid w:val="00AC3D1D"/>
    <w:rsid w:val="00AC44E3"/>
    <w:rsid w:val="00AC645F"/>
    <w:rsid w:val="00AC6D6D"/>
    <w:rsid w:val="00AD3E8A"/>
    <w:rsid w:val="00AE4154"/>
    <w:rsid w:val="00AF04C4"/>
    <w:rsid w:val="00AF0A94"/>
    <w:rsid w:val="00AF6FA7"/>
    <w:rsid w:val="00AF7DC1"/>
    <w:rsid w:val="00B01D79"/>
    <w:rsid w:val="00B02416"/>
    <w:rsid w:val="00B05710"/>
    <w:rsid w:val="00B108F8"/>
    <w:rsid w:val="00B16A93"/>
    <w:rsid w:val="00B170EF"/>
    <w:rsid w:val="00B20C9A"/>
    <w:rsid w:val="00B21C9F"/>
    <w:rsid w:val="00B239C3"/>
    <w:rsid w:val="00B24BF0"/>
    <w:rsid w:val="00B31092"/>
    <w:rsid w:val="00B3343C"/>
    <w:rsid w:val="00B353CF"/>
    <w:rsid w:val="00B377E9"/>
    <w:rsid w:val="00B41184"/>
    <w:rsid w:val="00B415D7"/>
    <w:rsid w:val="00B42318"/>
    <w:rsid w:val="00B42D70"/>
    <w:rsid w:val="00B42E90"/>
    <w:rsid w:val="00B43BC6"/>
    <w:rsid w:val="00B450BB"/>
    <w:rsid w:val="00B464DD"/>
    <w:rsid w:val="00B509E3"/>
    <w:rsid w:val="00B51EAA"/>
    <w:rsid w:val="00B524FE"/>
    <w:rsid w:val="00B53EF2"/>
    <w:rsid w:val="00B54C84"/>
    <w:rsid w:val="00B55B97"/>
    <w:rsid w:val="00B564EB"/>
    <w:rsid w:val="00B57077"/>
    <w:rsid w:val="00B62772"/>
    <w:rsid w:val="00B6372B"/>
    <w:rsid w:val="00B642AF"/>
    <w:rsid w:val="00B6440B"/>
    <w:rsid w:val="00B661CD"/>
    <w:rsid w:val="00B72DD5"/>
    <w:rsid w:val="00B72F77"/>
    <w:rsid w:val="00B755A0"/>
    <w:rsid w:val="00B76A7D"/>
    <w:rsid w:val="00B802E7"/>
    <w:rsid w:val="00B81426"/>
    <w:rsid w:val="00B8157E"/>
    <w:rsid w:val="00B82469"/>
    <w:rsid w:val="00B83440"/>
    <w:rsid w:val="00B84067"/>
    <w:rsid w:val="00B84681"/>
    <w:rsid w:val="00B93488"/>
    <w:rsid w:val="00B9400C"/>
    <w:rsid w:val="00B9445D"/>
    <w:rsid w:val="00BA0B0C"/>
    <w:rsid w:val="00BA396E"/>
    <w:rsid w:val="00BA3D61"/>
    <w:rsid w:val="00BA52E5"/>
    <w:rsid w:val="00BA56F3"/>
    <w:rsid w:val="00BA76F4"/>
    <w:rsid w:val="00BB024B"/>
    <w:rsid w:val="00BB58E4"/>
    <w:rsid w:val="00BC0081"/>
    <w:rsid w:val="00BC2635"/>
    <w:rsid w:val="00BC727F"/>
    <w:rsid w:val="00BD030B"/>
    <w:rsid w:val="00BD1B72"/>
    <w:rsid w:val="00BD26FB"/>
    <w:rsid w:val="00BD3E87"/>
    <w:rsid w:val="00BD463A"/>
    <w:rsid w:val="00BD56B2"/>
    <w:rsid w:val="00BE373C"/>
    <w:rsid w:val="00BE3B9F"/>
    <w:rsid w:val="00BE68CE"/>
    <w:rsid w:val="00BE748D"/>
    <w:rsid w:val="00BF1A77"/>
    <w:rsid w:val="00BF4C9D"/>
    <w:rsid w:val="00BF4D13"/>
    <w:rsid w:val="00BF6842"/>
    <w:rsid w:val="00BF7786"/>
    <w:rsid w:val="00C00396"/>
    <w:rsid w:val="00C04D1C"/>
    <w:rsid w:val="00C04DD1"/>
    <w:rsid w:val="00C12C12"/>
    <w:rsid w:val="00C17197"/>
    <w:rsid w:val="00C20115"/>
    <w:rsid w:val="00C21BF1"/>
    <w:rsid w:val="00C23172"/>
    <w:rsid w:val="00C23C0B"/>
    <w:rsid w:val="00C2630A"/>
    <w:rsid w:val="00C2669B"/>
    <w:rsid w:val="00C26E95"/>
    <w:rsid w:val="00C30F74"/>
    <w:rsid w:val="00C32E05"/>
    <w:rsid w:val="00C352C4"/>
    <w:rsid w:val="00C356E4"/>
    <w:rsid w:val="00C36779"/>
    <w:rsid w:val="00C41089"/>
    <w:rsid w:val="00C41FBD"/>
    <w:rsid w:val="00C436B8"/>
    <w:rsid w:val="00C45A2E"/>
    <w:rsid w:val="00C47652"/>
    <w:rsid w:val="00C506BC"/>
    <w:rsid w:val="00C5094F"/>
    <w:rsid w:val="00C50A00"/>
    <w:rsid w:val="00C50D7F"/>
    <w:rsid w:val="00C52C7F"/>
    <w:rsid w:val="00C53DA3"/>
    <w:rsid w:val="00C54844"/>
    <w:rsid w:val="00C54B6E"/>
    <w:rsid w:val="00C55053"/>
    <w:rsid w:val="00C606EB"/>
    <w:rsid w:val="00C67BD2"/>
    <w:rsid w:val="00C7277D"/>
    <w:rsid w:val="00C743C0"/>
    <w:rsid w:val="00C7490A"/>
    <w:rsid w:val="00C76FAC"/>
    <w:rsid w:val="00C80991"/>
    <w:rsid w:val="00C82946"/>
    <w:rsid w:val="00C85AC8"/>
    <w:rsid w:val="00C87279"/>
    <w:rsid w:val="00C9116D"/>
    <w:rsid w:val="00C91B85"/>
    <w:rsid w:val="00C93113"/>
    <w:rsid w:val="00C932F8"/>
    <w:rsid w:val="00C961DA"/>
    <w:rsid w:val="00C971E1"/>
    <w:rsid w:val="00CA00EC"/>
    <w:rsid w:val="00CA60D7"/>
    <w:rsid w:val="00CA71DD"/>
    <w:rsid w:val="00CA739F"/>
    <w:rsid w:val="00CB10CE"/>
    <w:rsid w:val="00CC1A00"/>
    <w:rsid w:val="00CC1BE4"/>
    <w:rsid w:val="00CC2AF9"/>
    <w:rsid w:val="00CC2D56"/>
    <w:rsid w:val="00CC2FBC"/>
    <w:rsid w:val="00CC49B8"/>
    <w:rsid w:val="00CC5F9B"/>
    <w:rsid w:val="00CD19FA"/>
    <w:rsid w:val="00CD3092"/>
    <w:rsid w:val="00CD6CA3"/>
    <w:rsid w:val="00CD7711"/>
    <w:rsid w:val="00CD7BBD"/>
    <w:rsid w:val="00CE040C"/>
    <w:rsid w:val="00CE1255"/>
    <w:rsid w:val="00CE5642"/>
    <w:rsid w:val="00CE5AF9"/>
    <w:rsid w:val="00CF2106"/>
    <w:rsid w:val="00CF447F"/>
    <w:rsid w:val="00CF73D9"/>
    <w:rsid w:val="00D0090F"/>
    <w:rsid w:val="00D0165C"/>
    <w:rsid w:val="00D042CC"/>
    <w:rsid w:val="00D04492"/>
    <w:rsid w:val="00D044F2"/>
    <w:rsid w:val="00D04709"/>
    <w:rsid w:val="00D068BA"/>
    <w:rsid w:val="00D10A80"/>
    <w:rsid w:val="00D12FC5"/>
    <w:rsid w:val="00D169A8"/>
    <w:rsid w:val="00D20381"/>
    <w:rsid w:val="00D27D96"/>
    <w:rsid w:val="00D31B29"/>
    <w:rsid w:val="00D32C10"/>
    <w:rsid w:val="00D34438"/>
    <w:rsid w:val="00D346CC"/>
    <w:rsid w:val="00D34786"/>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BFF"/>
    <w:rsid w:val="00D65B76"/>
    <w:rsid w:val="00D71FE3"/>
    <w:rsid w:val="00D734B1"/>
    <w:rsid w:val="00D815F0"/>
    <w:rsid w:val="00D822A1"/>
    <w:rsid w:val="00D825A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B1372"/>
    <w:rsid w:val="00DB59BE"/>
    <w:rsid w:val="00DB668B"/>
    <w:rsid w:val="00DC1A03"/>
    <w:rsid w:val="00DC3026"/>
    <w:rsid w:val="00DC3AE1"/>
    <w:rsid w:val="00DC43B1"/>
    <w:rsid w:val="00DC5127"/>
    <w:rsid w:val="00DC5EC9"/>
    <w:rsid w:val="00DC6356"/>
    <w:rsid w:val="00DD6DB8"/>
    <w:rsid w:val="00DE0A1C"/>
    <w:rsid w:val="00DE5D88"/>
    <w:rsid w:val="00DE6335"/>
    <w:rsid w:val="00DF0786"/>
    <w:rsid w:val="00DF093C"/>
    <w:rsid w:val="00DF3616"/>
    <w:rsid w:val="00DF59BC"/>
    <w:rsid w:val="00DF65E5"/>
    <w:rsid w:val="00DF6E65"/>
    <w:rsid w:val="00E01296"/>
    <w:rsid w:val="00E01EA4"/>
    <w:rsid w:val="00E033ED"/>
    <w:rsid w:val="00E03AEF"/>
    <w:rsid w:val="00E05671"/>
    <w:rsid w:val="00E06D58"/>
    <w:rsid w:val="00E06F47"/>
    <w:rsid w:val="00E12821"/>
    <w:rsid w:val="00E1387D"/>
    <w:rsid w:val="00E14BBE"/>
    <w:rsid w:val="00E1745B"/>
    <w:rsid w:val="00E23671"/>
    <w:rsid w:val="00E24F5D"/>
    <w:rsid w:val="00E2536B"/>
    <w:rsid w:val="00E25DEE"/>
    <w:rsid w:val="00E33879"/>
    <w:rsid w:val="00E346FC"/>
    <w:rsid w:val="00E34B0F"/>
    <w:rsid w:val="00E3526F"/>
    <w:rsid w:val="00E44247"/>
    <w:rsid w:val="00E44B64"/>
    <w:rsid w:val="00E50A93"/>
    <w:rsid w:val="00E519EA"/>
    <w:rsid w:val="00E523F3"/>
    <w:rsid w:val="00E52767"/>
    <w:rsid w:val="00E53619"/>
    <w:rsid w:val="00E55A7B"/>
    <w:rsid w:val="00E56600"/>
    <w:rsid w:val="00E57FC6"/>
    <w:rsid w:val="00E60525"/>
    <w:rsid w:val="00E629C4"/>
    <w:rsid w:val="00E65126"/>
    <w:rsid w:val="00E6544E"/>
    <w:rsid w:val="00E74409"/>
    <w:rsid w:val="00E74EE9"/>
    <w:rsid w:val="00E757A1"/>
    <w:rsid w:val="00E76DCC"/>
    <w:rsid w:val="00E777E6"/>
    <w:rsid w:val="00E77B2C"/>
    <w:rsid w:val="00E8014D"/>
    <w:rsid w:val="00E80C55"/>
    <w:rsid w:val="00E82311"/>
    <w:rsid w:val="00E833A2"/>
    <w:rsid w:val="00E841AA"/>
    <w:rsid w:val="00E8511F"/>
    <w:rsid w:val="00E864CA"/>
    <w:rsid w:val="00E91955"/>
    <w:rsid w:val="00E93E28"/>
    <w:rsid w:val="00E95492"/>
    <w:rsid w:val="00E97D62"/>
    <w:rsid w:val="00EA0088"/>
    <w:rsid w:val="00EA4306"/>
    <w:rsid w:val="00EA50B5"/>
    <w:rsid w:val="00EA5FD7"/>
    <w:rsid w:val="00EA6865"/>
    <w:rsid w:val="00EA7EBE"/>
    <w:rsid w:val="00EB01DE"/>
    <w:rsid w:val="00EB292E"/>
    <w:rsid w:val="00EB5677"/>
    <w:rsid w:val="00EB57BD"/>
    <w:rsid w:val="00EC1E09"/>
    <w:rsid w:val="00EC5704"/>
    <w:rsid w:val="00EC6081"/>
    <w:rsid w:val="00EC7973"/>
    <w:rsid w:val="00ED0D4B"/>
    <w:rsid w:val="00ED2367"/>
    <w:rsid w:val="00ED5856"/>
    <w:rsid w:val="00EE1983"/>
    <w:rsid w:val="00EE2D84"/>
    <w:rsid w:val="00EE40BF"/>
    <w:rsid w:val="00EE4585"/>
    <w:rsid w:val="00EE5896"/>
    <w:rsid w:val="00EE6D1F"/>
    <w:rsid w:val="00EE6F51"/>
    <w:rsid w:val="00EE70AE"/>
    <w:rsid w:val="00EE787C"/>
    <w:rsid w:val="00EF2524"/>
    <w:rsid w:val="00EF312F"/>
    <w:rsid w:val="00EF41B5"/>
    <w:rsid w:val="00EF4C46"/>
    <w:rsid w:val="00F03C76"/>
    <w:rsid w:val="00F03E89"/>
    <w:rsid w:val="00F05F3F"/>
    <w:rsid w:val="00F06173"/>
    <w:rsid w:val="00F115BD"/>
    <w:rsid w:val="00F22C86"/>
    <w:rsid w:val="00F24748"/>
    <w:rsid w:val="00F262B9"/>
    <w:rsid w:val="00F26421"/>
    <w:rsid w:val="00F31C50"/>
    <w:rsid w:val="00F3473A"/>
    <w:rsid w:val="00F41A87"/>
    <w:rsid w:val="00F420F2"/>
    <w:rsid w:val="00F42E42"/>
    <w:rsid w:val="00F5054B"/>
    <w:rsid w:val="00F52070"/>
    <w:rsid w:val="00F53097"/>
    <w:rsid w:val="00F5736D"/>
    <w:rsid w:val="00F63DAD"/>
    <w:rsid w:val="00F64560"/>
    <w:rsid w:val="00F65513"/>
    <w:rsid w:val="00F66163"/>
    <w:rsid w:val="00F7089C"/>
    <w:rsid w:val="00F70901"/>
    <w:rsid w:val="00F718F0"/>
    <w:rsid w:val="00F730EA"/>
    <w:rsid w:val="00F773FB"/>
    <w:rsid w:val="00F77DFF"/>
    <w:rsid w:val="00F83843"/>
    <w:rsid w:val="00F8450B"/>
    <w:rsid w:val="00F85E34"/>
    <w:rsid w:val="00F86FD4"/>
    <w:rsid w:val="00F91DC6"/>
    <w:rsid w:val="00F91E31"/>
    <w:rsid w:val="00F933CD"/>
    <w:rsid w:val="00F93F69"/>
    <w:rsid w:val="00F95442"/>
    <w:rsid w:val="00F96EE7"/>
    <w:rsid w:val="00FA34F4"/>
    <w:rsid w:val="00FA5BC0"/>
    <w:rsid w:val="00FA5C4B"/>
    <w:rsid w:val="00FA5E52"/>
    <w:rsid w:val="00FA70D9"/>
    <w:rsid w:val="00FA7FBF"/>
    <w:rsid w:val="00FB2667"/>
    <w:rsid w:val="00FB72EF"/>
    <w:rsid w:val="00FC4777"/>
    <w:rsid w:val="00FC57AB"/>
    <w:rsid w:val="00FC6870"/>
    <w:rsid w:val="00FD027F"/>
    <w:rsid w:val="00FD0B87"/>
    <w:rsid w:val="00FD5062"/>
    <w:rsid w:val="00FD55CB"/>
    <w:rsid w:val="00FD56BC"/>
    <w:rsid w:val="00FD63EF"/>
    <w:rsid w:val="00FE024F"/>
    <w:rsid w:val="00FE4AF0"/>
    <w:rsid w:val="00FF02B6"/>
    <w:rsid w:val="00FF1D36"/>
    <w:rsid w:val="00FF4179"/>
    <w:rsid w:val="00FF4413"/>
    <w:rsid w:val="00FF53D0"/>
    <w:rsid w:val="00FF69BB"/>
    <w:rsid w:val="00FF7D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n.wikipedia.org/wiki/Secondary_car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1741287369605262"/>
          <c:y val="6.174866745314854E-2"/>
          <c:w val="0.53846012785134456"/>
          <c:h val="0.75987724524033584"/>
        </c:manualLayout>
      </c:layout>
      <c:barChart>
        <c:barDir val="bar"/>
        <c:grouping val="clustered"/>
        <c:ser>
          <c:idx val="0"/>
          <c:order val="0"/>
          <c:tx>
            <c:strRef>
              <c:f>'fig 1'!$B$9</c:f>
              <c:strCache>
                <c:ptCount val="1"/>
                <c:pt idx="0">
                  <c:v>2015</c:v>
                </c:pt>
              </c:strCache>
            </c:strRef>
          </c:tx>
          <c:spPr>
            <a:solidFill>
              <a:schemeClr val="accent1">
                <a:lumMod val="40000"/>
                <a:lumOff val="60000"/>
              </a:schemeClr>
            </a:solidFill>
          </c:spPr>
          <c:cat>
            <c:strRef>
              <c:f>'fig 1'!$A$10:$A$13</c:f>
              <c:strCache>
                <c:ptCount val="4"/>
                <c:pt idx="0">
                  <c:v>Household out-of-pocket payment</c:v>
                </c:pt>
                <c:pt idx="1">
                  <c:v>Government schemes and compulsory contributory health care financing schemes </c:v>
                </c:pt>
                <c:pt idx="2">
                  <c:v>Rest of the world</c:v>
                </c:pt>
                <c:pt idx="3">
                  <c:v>Voluntary health care payment schemes</c:v>
                </c:pt>
              </c:strCache>
            </c:strRef>
          </c:cat>
          <c:val>
            <c:numRef>
              <c:f>'fig 1'!$B$10:$B$13</c:f>
              <c:numCache>
                <c:formatCode>0.0</c:formatCode>
                <c:ptCount val="4"/>
                <c:pt idx="0">
                  <c:v>45.5</c:v>
                </c:pt>
                <c:pt idx="1">
                  <c:v>33</c:v>
                </c:pt>
                <c:pt idx="2">
                  <c:v>14.000000000000002</c:v>
                </c:pt>
                <c:pt idx="3">
                  <c:v>7.5</c:v>
                </c:pt>
              </c:numCache>
            </c:numRef>
          </c:val>
        </c:ser>
        <c:ser>
          <c:idx val="1"/>
          <c:order val="1"/>
          <c:tx>
            <c:strRef>
              <c:f>'fig 1'!$C$9</c:f>
              <c:strCache>
                <c:ptCount val="1"/>
                <c:pt idx="0">
                  <c:v>2016</c:v>
                </c:pt>
              </c:strCache>
            </c:strRef>
          </c:tx>
          <c:cat>
            <c:strRef>
              <c:f>'fig 1'!$A$10:$A$13</c:f>
              <c:strCache>
                <c:ptCount val="4"/>
                <c:pt idx="0">
                  <c:v>Household out-of-pocket payment</c:v>
                </c:pt>
                <c:pt idx="1">
                  <c:v>Government schemes and compulsory contributory health care financing schemes </c:v>
                </c:pt>
                <c:pt idx="2">
                  <c:v>Rest of the world</c:v>
                </c:pt>
                <c:pt idx="3">
                  <c:v>Voluntary health care payment schemes</c:v>
                </c:pt>
              </c:strCache>
            </c:strRef>
          </c:cat>
          <c:val>
            <c:numRef>
              <c:f>'fig 1'!$C$10:$C$13</c:f>
              <c:numCache>
                <c:formatCode>0.0</c:formatCode>
                <c:ptCount val="4"/>
                <c:pt idx="0">
                  <c:v>45.5</c:v>
                </c:pt>
                <c:pt idx="1">
                  <c:v>30.6</c:v>
                </c:pt>
                <c:pt idx="2">
                  <c:v>15.2</c:v>
                </c:pt>
                <c:pt idx="3">
                  <c:v>8.8000000000000007</c:v>
                </c:pt>
              </c:numCache>
            </c:numRef>
          </c:val>
        </c:ser>
        <c:axId val="167128064"/>
        <c:axId val="167133952"/>
      </c:barChart>
      <c:catAx>
        <c:axId val="167128064"/>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167133952"/>
        <c:crosses val="autoZero"/>
        <c:auto val="1"/>
        <c:lblAlgn val="ctr"/>
        <c:lblOffset val="100"/>
      </c:catAx>
      <c:valAx>
        <c:axId val="167133952"/>
        <c:scaling>
          <c:orientation val="minMax"/>
        </c:scaling>
        <c:axPos val="b"/>
        <c:numFmt formatCode="0.0" sourceLinked="1"/>
        <c:tickLblPos val="nextTo"/>
        <c:txPr>
          <a:bodyPr/>
          <a:lstStyle/>
          <a:p>
            <a:pPr>
              <a:defRPr sz="900">
                <a:latin typeface="Arial" pitchFamily="34" charset="0"/>
                <a:cs typeface="Arial" pitchFamily="34" charset="0"/>
              </a:defRPr>
            </a:pPr>
            <a:endParaRPr lang="ar-SA"/>
          </a:p>
        </c:txPr>
        <c:crossAx val="167128064"/>
        <c:crosses val="autoZero"/>
        <c:crossBetween val="between"/>
      </c:valAx>
    </c:plotArea>
    <c:legend>
      <c:legendPos val="l"/>
      <c:layout>
        <c:manualLayout>
          <c:xMode val="edge"/>
          <c:yMode val="edge"/>
          <c:x val="0.80142158529269047"/>
          <c:y val="6.1680156046882956E-2"/>
          <c:w val="0.16718998691354767"/>
          <c:h val="0.12442820601335663"/>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2"/>
  <c:chart>
    <c:autoTitleDeleted val="1"/>
    <c:plotArea>
      <c:layout>
        <c:manualLayout>
          <c:layoutTarget val="inner"/>
          <c:xMode val="edge"/>
          <c:yMode val="edge"/>
          <c:x val="2.0068022747156598E-2"/>
          <c:y val="5.0925925925925923E-2"/>
          <c:w val="0.94937642169728786"/>
          <c:h val="0.71863043161271878"/>
        </c:manualLayout>
      </c:layout>
      <c:barChart>
        <c:barDir val="col"/>
        <c:grouping val="clustered"/>
        <c:ser>
          <c:idx val="0"/>
          <c:order val="0"/>
          <c:tx>
            <c:strRef>
              <c:f>'fig 1'!$B$48</c:f>
              <c:strCache>
                <c:ptCount val="1"/>
                <c:pt idx="0">
                  <c:v>2015</c:v>
                </c:pt>
              </c:strCache>
            </c:strRef>
          </c:tx>
          <c:dLbls>
            <c:dLbl>
              <c:idx val="1"/>
              <c:layout>
                <c:manualLayout>
                  <c:x val="-2.5000000000000001E-2"/>
                  <c:y val="-1.8518518518518583E-2"/>
                </c:manualLayout>
              </c:layout>
              <c:dLblPos val="outEnd"/>
              <c:showVal val="1"/>
            </c:dLbl>
            <c:dLbl>
              <c:idx val="2"/>
              <c:layout>
                <c:manualLayout>
                  <c:x val="-2.2222222222222251E-2"/>
                  <c:y val="-3.7037037037037056E-2"/>
                </c:manualLayout>
              </c:layout>
              <c:dLblPos val="outEnd"/>
              <c:showVal val="1"/>
            </c:dLbl>
            <c:dLbl>
              <c:idx val="3"/>
              <c:layout>
                <c:manualLayout>
                  <c:x val="-1.66666666666667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1'!$A$49:$A$53</c:f>
              <c:strCache>
                <c:ptCount val="5"/>
                <c:pt idx="0">
                  <c:v>Household</c:v>
                </c:pt>
                <c:pt idx="1">
                  <c:v>Central government</c:v>
                </c:pt>
                <c:pt idx="2">
                  <c:v>Non-profit institutions serving households (NPISH)</c:v>
                </c:pt>
                <c:pt idx="3">
                  <c:v>Rest of the world</c:v>
                </c:pt>
                <c:pt idx="4">
                  <c:v>Commercial insurance companies</c:v>
                </c:pt>
              </c:strCache>
            </c:strRef>
          </c:cat>
          <c:val>
            <c:numRef>
              <c:f>'fig 1'!$B$49:$B$53</c:f>
              <c:numCache>
                <c:formatCode>0.0%</c:formatCode>
                <c:ptCount val="5"/>
                <c:pt idx="0">
                  <c:v>0.45500000000000002</c:v>
                </c:pt>
                <c:pt idx="1">
                  <c:v>0.41100000000000031</c:v>
                </c:pt>
                <c:pt idx="2">
                  <c:v>5.6000000000000001E-2</c:v>
                </c:pt>
                <c:pt idx="3">
                  <c:v>5.8000000000000003E-2</c:v>
                </c:pt>
                <c:pt idx="4">
                  <c:v>2.0000000000000011E-2</c:v>
                </c:pt>
              </c:numCache>
            </c:numRef>
          </c:val>
        </c:ser>
        <c:ser>
          <c:idx val="1"/>
          <c:order val="1"/>
          <c:tx>
            <c:strRef>
              <c:f>'fig 1'!$C$48</c:f>
              <c:strCache>
                <c:ptCount val="1"/>
                <c:pt idx="0">
                  <c:v>2016</c:v>
                </c:pt>
              </c:strCache>
            </c:strRef>
          </c:tx>
          <c:dLbls>
            <c:dLbl>
              <c:idx val="0"/>
              <c:layout>
                <c:manualLayout>
                  <c:x val="5.2777777777777792E-2"/>
                  <c:y val="0"/>
                </c:manualLayout>
              </c:layout>
              <c:dLblPos val="outEnd"/>
              <c:showVal val="1"/>
            </c:dLbl>
            <c:dLbl>
              <c:idx val="3"/>
              <c:layout>
                <c:manualLayout>
                  <c:x val="2.7777777777778092E-2"/>
                  <c:y val="0"/>
                </c:manualLayout>
              </c:layout>
              <c:dLblPos val="outEnd"/>
              <c:showVal val="1"/>
            </c:dLbl>
            <c:dLbl>
              <c:idx val="4"/>
              <c:layout>
                <c:manualLayout>
                  <c:x val="2.50000000000000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1'!$A$49:$A$53</c:f>
              <c:strCache>
                <c:ptCount val="5"/>
                <c:pt idx="0">
                  <c:v>Household</c:v>
                </c:pt>
                <c:pt idx="1">
                  <c:v>Central government</c:v>
                </c:pt>
                <c:pt idx="2">
                  <c:v>Non-profit institutions serving households (NPISH)</c:v>
                </c:pt>
                <c:pt idx="3">
                  <c:v>Rest of the world</c:v>
                </c:pt>
                <c:pt idx="4">
                  <c:v>Commercial insurance companies</c:v>
                </c:pt>
              </c:strCache>
            </c:strRef>
          </c:cat>
          <c:val>
            <c:numRef>
              <c:f>'fig 1'!$C$49:$C$53</c:f>
              <c:numCache>
                <c:formatCode>0.0%</c:formatCode>
                <c:ptCount val="5"/>
                <c:pt idx="0">
                  <c:v>0.45500000000000002</c:v>
                </c:pt>
                <c:pt idx="1">
                  <c:v>0.38200000000000139</c:v>
                </c:pt>
                <c:pt idx="2">
                  <c:v>8.0000000000000043E-2</c:v>
                </c:pt>
                <c:pt idx="3">
                  <c:v>5.6000000000000001E-2</c:v>
                </c:pt>
                <c:pt idx="4">
                  <c:v>2.7000000000000111E-2</c:v>
                </c:pt>
              </c:numCache>
            </c:numRef>
          </c:val>
        </c:ser>
        <c:axId val="167154816"/>
        <c:axId val="167156352"/>
      </c:barChart>
      <c:catAx>
        <c:axId val="167154816"/>
        <c:scaling>
          <c:orientation val="maxMin"/>
        </c:scaling>
        <c:axPos val="b"/>
        <c:numFmt formatCode="General" sourceLinked="1"/>
        <c:tickLblPos val="nextTo"/>
        <c:txPr>
          <a:bodyPr/>
          <a:lstStyle/>
          <a:p>
            <a:pPr>
              <a:defRPr sz="900">
                <a:latin typeface="Arial" pitchFamily="34" charset="0"/>
                <a:cs typeface="Arial" pitchFamily="34" charset="0"/>
              </a:defRPr>
            </a:pPr>
            <a:endParaRPr lang="ar-SA"/>
          </a:p>
        </c:txPr>
        <c:crossAx val="167156352"/>
        <c:crosses val="autoZero"/>
        <c:auto val="1"/>
        <c:lblAlgn val="ctr"/>
        <c:lblOffset val="100"/>
      </c:catAx>
      <c:valAx>
        <c:axId val="167156352"/>
        <c:scaling>
          <c:orientation val="minMax"/>
        </c:scaling>
        <c:delete val="1"/>
        <c:axPos val="r"/>
        <c:numFmt formatCode="0.0%" sourceLinked="1"/>
        <c:tickLblPos val="none"/>
        <c:crossAx val="167154816"/>
        <c:crosses val="autoZero"/>
        <c:crossBetween val="between"/>
      </c:valAx>
    </c:plotArea>
    <c:legend>
      <c:legendPos val="l"/>
      <c:layout>
        <c:manualLayout>
          <c:xMode val="edge"/>
          <c:yMode val="edge"/>
          <c:x val="3.6111111111111212E-2"/>
          <c:y val="3.8736512102653851E-2"/>
          <c:w val="0.10895691163604551"/>
          <c:h val="0.16743438320210119"/>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7796146776712973"/>
          <c:y val="0.19454372747248141"/>
          <c:w val="0.71968107810173365"/>
          <c:h val="0.60408542166828694"/>
        </c:manualLayout>
      </c:layout>
      <c:pie3DChart>
        <c:varyColors val="1"/>
        <c:ser>
          <c:idx val="0"/>
          <c:order val="0"/>
          <c:tx>
            <c:strRef>
              <c:f>'fig 2'!$F$45</c:f>
              <c:strCache>
                <c:ptCount val="1"/>
                <c:pt idx="0">
                  <c:v>2016</c:v>
                </c:pt>
              </c:strCache>
            </c:strRef>
          </c:tx>
          <c:spPr>
            <a:ln>
              <a:noFill/>
            </a:ln>
          </c:spPr>
          <c:dLbls>
            <c:dLbl>
              <c:idx val="0"/>
              <c:layout>
                <c:manualLayout>
                  <c:x val="-5.4155009546152218E-2"/>
                  <c:y val="-0.1549803961602674"/>
                </c:manualLayout>
              </c:layout>
              <c:tx>
                <c:rich>
                  <a:bodyPr/>
                  <a:lstStyle/>
                  <a:p>
                    <a:r>
                      <a:rPr lang="en-US"/>
                      <a:t>hospitals
39.6%</a:t>
                    </a:r>
                  </a:p>
                </c:rich>
              </c:tx>
              <c:showCatName val="1"/>
              <c:showPercent val="1"/>
            </c:dLbl>
            <c:dLbl>
              <c:idx val="1"/>
              <c:layout>
                <c:manualLayout>
                  <c:x val="8.0133876494604864E-2"/>
                  <c:y val="-0.13991984610961394"/>
                </c:manualLayout>
              </c:layout>
              <c:showCatName val="1"/>
              <c:showPercent val="1"/>
            </c:dLbl>
            <c:dLbl>
              <c:idx val="2"/>
              <c:layout>
                <c:manualLayout>
                  <c:x val="0.10439577865266852"/>
                  <c:y val="9.5660475363719272E-3"/>
                </c:manualLayout>
              </c:layout>
              <c:showCatName val="1"/>
              <c:showPercent val="1"/>
            </c:dLbl>
            <c:dLbl>
              <c:idx val="3"/>
              <c:layout>
                <c:manualLayout>
                  <c:x val="-8.9858103674540724E-2"/>
                  <c:y val="3.1880788958269492E-2"/>
                </c:manualLayout>
              </c:layout>
              <c:showCatName val="1"/>
              <c:showPercent val="1"/>
            </c:dLbl>
            <c:dLbl>
              <c:idx val="5"/>
              <c:layout>
                <c:manualLayout>
                  <c:x val="-0.16608367096032292"/>
                  <c:y val="-5.3621159396250791E-2"/>
                </c:manualLayout>
              </c:layout>
              <c:showCatName val="1"/>
              <c:showPercent val="1"/>
            </c:dLbl>
            <c:dLbl>
              <c:idx val="6"/>
              <c:layout>
                <c:manualLayout>
                  <c:x val="-3.8600788425342796E-3"/>
                  <c:y val="-3.5191872566118623E-2"/>
                </c:manualLayout>
              </c:layout>
              <c:showCatName val="1"/>
              <c:showPercent val="1"/>
            </c:dLbl>
            <c:dLbl>
              <c:idx val="7"/>
              <c:layout>
                <c:manualLayout>
                  <c:x val="-1.9240051411957407E-2"/>
                  <c:y val="6.5400172677360396E-2"/>
                </c:manualLayout>
              </c:layout>
              <c:showCatName val="1"/>
              <c:showPercent val="1"/>
            </c:dLbl>
            <c:dLbl>
              <c:idx val="8"/>
              <c:layout>
                <c:manualLayout>
                  <c:x val="-0.13284129848352291"/>
                  <c:y val="7.3069341216350423E-5"/>
                </c:manualLayout>
              </c:layout>
              <c:showCatName val="1"/>
              <c:showPercent val="1"/>
            </c:dLbl>
            <c:dLbl>
              <c:idx val="9"/>
              <c:layout>
                <c:manualLayout>
                  <c:x val="-9.6374671916010547E-3"/>
                  <c:y val="-6.5759230166836533E-2"/>
                </c:manualLayout>
              </c:layout>
              <c:showCatName val="1"/>
              <c:showPercent val="1"/>
            </c:dLbl>
            <c:dLbl>
              <c:idx val="10"/>
              <c:layout>
                <c:manualLayout>
                  <c:x val="0.19470846092155147"/>
                  <c:y val="-4.3544561973126374E-2"/>
                </c:manualLayout>
              </c:layout>
              <c:showCatName val="1"/>
              <c:showPercent val="1"/>
            </c:dLbl>
            <c:dLbl>
              <c:idx val="11"/>
              <c:layout>
                <c:manualLayout>
                  <c:x val="0.16816551655290321"/>
                  <c:y val="-5.0415176814482633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'fig 2'!$D$46:$D$56</c:f>
              <c:strCache>
                <c:ptCount val="11"/>
                <c:pt idx="0">
                  <c:v>hospitals</c:v>
                </c:pt>
                <c:pt idx="1">
                  <c:v>Residential long-term care facilities</c:v>
                </c:pt>
                <c:pt idx="2">
                  <c:v>Medical practices</c:v>
                </c:pt>
                <c:pt idx="3">
                  <c:v>Dental practice</c:v>
                </c:pt>
                <c:pt idx="4">
                  <c:v>Other health care practitioners</c:v>
                </c:pt>
                <c:pt idx="5">
                  <c:v>Ambulatory health care centres</c:v>
                </c:pt>
                <c:pt idx="6">
                  <c:v>Providers of ancillary services</c:v>
                </c:pt>
                <c:pt idx="7">
                  <c:v>Retailers and other providers of medical goods</c:v>
                </c:pt>
                <c:pt idx="8">
                  <c:v>Providers of preventive care</c:v>
                </c:pt>
                <c:pt idx="9">
                  <c:v>Providers of health care system administration and financing</c:v>
                </c:pt>
                <c:pt idx="10">
                  <c:v>Rest of the world</c:v>
                </c:pt>
              </c:strCache>
            </c:strRef>
          </c:cat>
          <c:val>
            <c:numRef>
              <c:f>'fig 2'!$F$46:$F$57</c:f>
              <c:numCache>
                <c:formatCode>General</c:formatCode>
                <c:ptCount val="12"/>
                <c:pt idx="0">
                  <c:v>39.5</c:v>
                </c:pt>
                <c:pt idx="1">
                  <c:v>1.2</c:v>
                </c:pt>
                <c:pt idx="2">
                  <c:v>0.9</c:v>
                </c:pt>
                <c:pt idx="3">
                  <c:v>3.6</c:v>
                </c:pt>
                <c:pt idx="4">
                  <c:v>1.6</c:v>
                </c:pt>
                <c:pt idx="5">
                  <c:v>19.2</c:v>
                </c:pt>
                <c:pt idx="6">
                  <c:v>3.7</c:v>
                </c:pt>
                <c:pt idx="7">
                  <c:v>18.3</c:v>
                </c:pt>
                <c:pt idx="8">
                  <c:v>0.4</c:v>
                </c:pt>
                <c:pt idx="9">
                  <c:v>2.7</c:v>
                </c:pt>
                <c:pt idx="10">
                  <c:v>8.8000000000000007</c:v>
                </c:pt>
              </c:numCache>
            </c:numRef>
          </c:val>
        </c:ser>
        <c:dLbls>
          <c:showCatName val="1"/>
          <c:showPercent val="1"/>
        </c:dLbls>
      </c:pie3D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1.9323671497584825E-2"/>
          <c:y val="4.7503798304876714E-2"/>
          <c:w val="0.87196912638885393"/>
          <c:h val="0.7455187724549468"/>
        </c:manualLayout>
      </c:layout>
      <c:barChart>
        <c:barDir val="col"/>
        <c:grouping val="clustered"/>
        <c:ser>
          <c:idx val="0"/>
          <c:order val="0"/>
          <c:tx>
            <c:strRef>
              <c:f>'fig 3'!$A$7</c:f>
              <c:strCache>
                <c:ptCount val="1"/>
                <c:pt idx="0">
                  <c:v>GDP (in million USD)</c:v>
                </c:pt>
              </c:strCache>
            </c:strRef>
          </c:tx>
          <c:cat>
            <c:numRef>
              <c:f>'fig 3'!$C$6:$D$6</c:f>
              <c:numCache>
                <c:formatCode>General</c:formatCode>
                <c:ptCount val="2"/>
                <c:pt idx="0">
                  <c:v>2015</c:v>
                </c:pt>
                <c:pt idx="1">
                  <c:v>2016</c:v>
                </c:pt>
              </c:numCache>
            </c:numRef>
          </c:cat>
          <c:val>
            <c:numRef>
              <c:f>'fig 3'!$C$7:$D$7</c:f>
              <c:numCache>
                <c:formatCode>#,##0.0</c:formatCode>
                <c:ptCount val="2"/>
                <c:pt idx="0">
                  <c:v>12673</c:v>
                </c:pt>
                <c:pt idx="1">
                  <c:v>13425.7</c:v>
                </c:pt>
              </c:numCache>
            </c:numRef>
          </c:val>
        </c:ser>
        <c:ser>
          <c:idx val="1"/>
          <c:order val="1"/>
          <c:tx>
            <c:strRef>
              <c:f>'fig 3'!$A$8</c:f>
              <c:strCache>
                <c:ptCount val="1"/>
                <c:pt idx="0">
                  <c:v>Total health expenditure  (in million USD)</c:v>
                </c:pt>
              </c:strCache>
            </c:strRef>
          </c:tx>
          <c:cat>
            <c:numRef>
              <c:f>'fig 3'!$C$6:$D$6</c:f>
              <c:numCache>
                <c:formatCode>General</c:formatCode>
                <c:ptCount val="2"/>
                <c:pt idx="0">
                  <c:v>2015</c:v>
                </c:pt>
                <c:pt idx="1">
                  <c:v>2016</c:v>
                </c:pt>
              </c:numCache>
            </c:numRef>
          </c:cat>
          <c:val>
            <c:numRef>
              <c:f>'fig 3'!$C$8:$D$8</c:f>
              <c:numCache>
                <c:formatCode>#,##0.0</c:formatCode>
                <c:ptCount val="2"/>
                <c:pt idx="0">
                  <c:v>1350.2</c:v>
                </c:pt>
                <c:pt idx="1">
                  <c:v>1437.9</c:v>
                </c:pt>
              </c:numCache>
            </c:numRef>
          </c:val>
        </c:ser>
        <c:dLbls>
          <c:showVal val="1"/>
        </c:dLbls>
        <c:gapWidth val="75"/>
        <c:axId val="167275136"/>
        <c:axId val="167273600"/>
      </c:barChart>
      <c:valAx>
        <c:axId val="167273600"/>
        <c:scaling>
          <c:orientation val="minMax"/>
        </c:scaling>
        <c:axPos val="l"/>
        <c:numFmt formatCode="#,##0.0" sourceLinked="1"/>
        <c:majorTickMark val="none"/>
        <c:tickLblPos val="nextTo"/>
        <c:crossAx val="167275136"/>
        <c:crosses val="autoZero"/>
        <c:crossBetween val="between"/>
      </c:valAx>
      <c:catAx>
        <c:axId val="167275136"/>
        <c:scaling>
          <c:orientation val="minMax"/>
        </c:scaling>
        <c:axPos val="b"/>
        <c:numFmt formatCode="General" sourceLinked="1"/>
        <c:majorTickMark val="none"/>
        <c:tickLblPos val="nextTo"/>
        <c:txPr>
          <a:bodyPr/>
          <a:lstStyle/>
          <a:p>
            <a:pPr>
              <a:defRPr b="1"/>
            </a:pPr>
            <a:endParaRPr lang="ar-SA"/>
          </a:p>
        </c:txPr>
        <c:crossAx val="167273600"/>
        <c:crossesAt val="0"/>
        <c:auto val="1"/>
        <c:lblAlgn val="ctr"/>
        <c:lblOffset val="100"/>
      </c:catAx>
      <c:spPr>
        <a:noFill/>
      </c:spPr>
    </c:plotArea>
    <c:legend>
      <c:legendPos val="b"/>
      <c:layout>
        <c:manualLayout>
          <c:xMode val="edge"/>
          <c:yMode val="edge"/>
          <c:x val="7.7051928691178689E-2"/>
          <c:y val="0.90313650134734946"/>
          <c:w val="0.85491567093158616"/>
          <c:h val="8.5337607576802504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4136F-1200-43B7-B3E6-7A495229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5802</Words>
  <Characters>33078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18</cp:revision>
  <cp:lastPrinted>2018-02-01T10:55:00Z</cp:lastPrinted>
  <dcterms:created xsi:type="dcterms:W3CDTF">2018-01-30T07:26:00Z</dcterms:created>
  <dcterms:modified xsi:type="dcterms:W3CDTF">2018-02-01T10:55:00Z</dcterms:modified>
</cp:coreProperties>
</file>