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Default Extension="jpeg" ContentType="image/jpe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Default="001960A0" w:rsidP="00950858">
      <w:pPr>
        <w:jc w:val="center"/>
        <w:rPr>
          <w:rFonts w:cs="Simplified Arabic"/>
          <w:sz w:val="18"/>
          <w:lang w:eastAsia="en-US"/>
        </w:rPr>
      </w:pPr>
      <w:r>
        <w:rPr>
          <w:noProof/>
          <w:lang w:val="en-GB" w:eastAsia="en-GB"/>
        </w:rPr>
        <w:drawing>
          <wp:inline distT="0" distB="0" distL="0" distR="0">
            <wp:extent cx="828675" cy="1190625"/>
            <wp:effectExtent l="19050" t="0" r="9525" b="0"/>
            <wp:docPr id="1"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rcRect/>
                    <a:stretch>
                      <a:fillRect/>
                    </a:stretch>
                  </pic:blipFill>
                  <pic:spPr bwMode="auto">
                    <a:xfrm>
                      <a:off x="0" y="0"/>
                      <a:ext cx="828675" cy="1190625"/>
                    </a:xfrm>
                    <a:prstGeom prst="rect">
                      <a:avLst/>
                    </a:prstGeom>
                    <a:noFill/>
                    <a:ln w="9525">
                      <a:noFill/>
                      <a:miter lim="800000"/>
                      <a:headEnd/>
                      <a:tailEnd/>
                    </a:ln>
                  </pic:spPr>
                </pic:pic>
              </a:graphicData>
            </a:graphic>
          </wp:inline>
        </w:drawing>
      </w:r>
    </w:p>
    <w:p w:rsidR="00950858" w:rsidRPr="00194010" w:rsidRDefault="00950858" w:rsidP="00062F16">
      <w:pPr>
        <w:bidi w:val="0"/>
        <w:jc w:val="center"/>
        <w:rPr>
          <w:rFonts w:cs="Simplified Arabic"/>
          <w:sz w:val="8"/>
          <w:szCs w:val="14"/>
          <w:rtl/>
          <w:lang w:eastAsia="en-US"/>
        </w:rPr>
      </w:pPr>
    </w:p>
    <w:p w:rsidR="00062F16" w:rsidRPr="00162CA4" w:rsidRDefault="00062F16" w:rsidP="00062F16">
      <w:pPr>
        <w:pStyle w:val="Caption"/>
        <w:bidi w:val="0"/>
        <w:rPr>
          <w:rFonts w:cs="Times New Roman"/>
          <w:sz w:val="48"/>
          <w:szCs w:val="48"/>
          <w:rtl/>
        </w:rPr>
      </w:pPr>
      <w:r w:rsidRPr="00162CA4">
        <w:rPr>
          <w:rFonts w:cs="Times New Roman"/>
          <w:sz w:val="48"/>
          <w:szCs w:val="48"/>
        </w:rPr>
        <w:t>State of Palestine</w:t>
      </w:r>
    </w:p>
    <w:p w:rsidR="00062F16" w:rsidRPr="00930848" w:rsidRDefault="00062F16" w:rsidP="00062F16">
      <w:pPr>
        <w:pStyle w:val="Caption"/>
        <w:bidi w:val="0"/>
        <w:rPr>
          <w:rFonts w:cs="Times New Roman"/>
          <w:sz w:val="52"/>
          <w:szCs w:val="52"/>
          <w:rtl/>
        </w:rPr>
      </w:pPr>
      <w:r w:rsidRPr="00930848">
        <w:rPr>
          <w:rFonts w:cs="Times New Roman"/>
          <w:sz w:val="52"/>
          <w:szCs w:val="52"/>
        </w:rPr>
        <w:t>Palestinian Central Bureau of Statistics</w:t>
      </w:r>
    </w:p>
    <w:p w:rsidR="00062F16" w:rsidRDefault="00062F16" w:rsidP="00062F16">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Default="00E42492" w:rsidP="00E42492">
      <w:pPr>
        <w:bidi w:val="0"/>
        <w:jc w:val="lowKashida"/>
        <w:rPr>
          <w:b/>
          <w:bCs/>
          <w:sz w:val="18"/>
          <w:szCs w:val="33"/>
          <w:lang w:eastAsia="en-US"/>
        </w:rPr>
      </w:pPr>
    </w:p>
    <w:p w:rsidR="00E42492" w:rsidRPr="00930848" w:rsidRDefault="00E42492" w:rsidP="00E42492">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Pr="00930848" w:rsidRDefault="00062F16" w:rsidP="00062F16">
      <w:pPr>
        <w:bidi w:val="0"/>
        <w:jc w:val="lowKashida"/>
        <w:rPr>
          <w:b/>
          <w:bCs/>
          <w:sz w:val="18"/>
          <w:szCs w:val="33"/>
          <w:rtl/>
          <w:lang w:eastAsia="en-US"/>
        </w:rPr>
      </w:pPr>
    </w:p>
    <w:p w:rsidR="00062F16" w:rsidRDefault="00062F16" w:rsidP="00062F16">
      <w:pPr>
        <w:bidi w:val="0"/>
        <w:jc w:val="lowKashida"/>
        <w:rPr>
          <w:b/>
          <w:bCs/>
          <w:sz w:val="18"/>
          <w:szCs w:val="33"/>
          <w:lang w:eastAsia="en-US"/>
        </w:rPr>
      </w:pPr>
    </w:p>
    <w:p w:rsidR="00E42492" w:rsidRPr="00930848" w:rsidRDefault="00E42492" w:rsidP="00E42492">
      <w:pPr>
        <w:bidi w:val="0"/>
        <w:jc w:val="lowKashida"/>
        <w:rPr>
          <w:b/>
          <w:bCs/>
          <w:sz w:val="18"/>
          <w:szCs w:val="33"/>
          <w:rtl/>
          <w:lang w:eastAsia="en-US"/>
        </w:rPr>
      </w:pPr>
    </w:p>
    <w:p w:rsidR="00062F16" w:rsidRDefault="00062F16" w:rsidP="00E42492">
      <w:pPr>
        <w:bidi w:val="0"/>
        <w:jc w:val="center"/>
        <w:rPr>
          <w:b/>
          <w:bCs/>
          <w:color w:val="000000"/>
          <w:sz w:val="40"/>
          <w:szCs w:val="40"/>
          <w:rtl/>
        </w:rPr>
      </w:pPr>
      <w:r w:rsidRPr="00930848">
        <w:rPr>
          <w:b/>
          <w:bCs/>
          <w:color w:val="000000"/>
          <w:sz w:val="40"/>
          <w:szCs w:val="40"/>
        </w:rPr>
        <w:t xml:space="preserve">Survey </w:t>
      </w:r>
      <w:r>
        <w:rPr>
          <w:b/>
          <w:bCs/>
          <w:color w:val="000000"/>
          <w:sz w:val="40"/>
          <w:szCs w:val="40"/>
        </w:rPr>
        <w:t xml:space="preserve">on </w:t>
      </w:r>
      <w:r w:rsidRPr="00930848">
        <w:rPr>
          <w:b/>
          <w:bCs/>
          <w:color w:val="000000"/>
          <w:sz w:val="40"/>
          <w:szCs w:val="40"/>
        </w:rPr>
        <w:t xml:space="preserve">the Impact of Israeli Aggression </w:t>
      </w:r>
      <w:r>
        <w:rPr>
          <w:b/>
          <w:bCs/>
          <w:color w:val="000000"/>
          <w:sz w:val="40"/>
          <w:szCs w:val="40"/>
        </w:rPr>
        <w:t xml:space="preserve">on </w:t>
      </w:r>
      <w:r w:rsidRPr="00930848">
        <w:rPr>
          <w:b/>
          <w:bCs/>
          <w:color w:val="000000"/>
          <w:sz w:val="40"/>
          <w:szCs w:val="40"/>
        </w:rPr>
        <w:t xml:space="preserve">Gaza Strip in 2014 </w:t>
      </w:r>
      <w:r>
        <w:rPr>
          <w:b/>
          <w:bCs/>
          <w:color w:val="000000"/>
          <w:sz w:val="40"/>
          <w:szCs w:val="40"/>
        </w:rPr>
        <w:t>and</w:t>
      </w:r>
      <w:r w:rsidRPr="00930848">
        <w:rPr>
          <w:b/>
          <w:bCs/>
          <w:color w:val="000000"/>
          <w:sz w:val="40"/>
          <w:szCs w:val="40"/>
        </w:rPr>
        <w:t xml:space="preserve"> Socio-Economic Conditions of </w:t>
      </w:r>
      <w:r>
        <w:rPr>
          <w:b/>
          <w:bCs/>
          <w:color w:val="000000"/>
          <w:sz w:val="40"/>
          <w:szCs w:val="40"/>
        </w:rPr>
        <w:t>the Palestinian Households</w:t>
      </w:r>
      <w:r w:rsidR="00E42492">
        <w:rPr>
          <w:b/>
          <w:bCs/>
          <w:color w:val="000000"/>
          <w:sz w:val="40"/>
          <w:szCs w:val="40"/>
        </w:rPr>
        <w:t xml:space="preserve"> - </w:t>
      </w:r>
      <w:r w:rsidRPr="00930848">
        <w:rPr>
          <w:b/>
          <w:bCs/>
          <w:color w:val="000000"/>
          <w:sz w:val="40"/>
          <w:szCs w:val="40"/>
        </w:rPr>
        <w:t xml:space="preserve">Main </w:t>
      </w:r>
      <w:r>
        <w:rPr>
          <w:b/>
          <w:bCs/>
          <w:color w:val="000000"/>
          <w:sz w:val="40"/>
          <w:szCs w:val="40"/>
        </w:rPr>
        <w:t>F</w:t>
      </w:r>
      <w:r w:rsidRPr="00930848">
        <w:rPr>
          <w:b/>
          <w:bCs/>
          <w:color w:val="000000"/>
          <w:sz w:val="40"/>
          <w:szCs w:val="40"/>
        </w:rPr>
        <w:t>inding</w:t>
      </w:r>
      <w:r>
        <w:rPr>
          <w:b/>
          <w:bCs/>
          <w:color w:val="000000"/>
          <w:sz w:val="40"/>
          <w:szCs w:val="40"/>
        </w:rPr>
        <w:t>s</w:t>
      </w:r>
    </w:p>
    <w:p w:rsidR="00062F16" w:rsidRPr="00930848" w:rsidRDefault="00062F16" w:rsidP="00062F16">
      <w:pPr>
        <w:bidi w:val="0"/>
        <w:jc w:val="center"/>
        <w:rPr>
          <w:sz w:val="40"/>
          <w:szCs w:val="40"/>
          <w:rtl/>
          <w:lang w:eastAsia="en-US" w:bidi="ar-JO"/>
        </w:rPr>
      </w:pPr>
    </w:p>
    <w:p w:rsidR="00062F16" w:rsidRPr="004473AD" w:rsidRDefault="00062F16" w:rsidP="00062F16">
      <w:pPr>
        <w:bidi w:val="0"/>
        <w:jc w:val="lowKashida"/>
        <w:rPr>
          <w:rFonts w:ascii="Arial" w:hAnsi="Arial" w:cs="Simplified Arabic"/>
          <w:b/>
          <w:bCs/>
          <w:sz w:val="18"/>
          <w:szCs w:val="33"/>
          <w:rtl/>
          <w:lang w:eastAsia="en-US" w:bidi="ar-JO"/>
        </w:rPr>
      </w:pPr>
    </w:p>
    <w:p w:rsidR="00062F16"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Pr="004473AD" w:rsidRDefault="00062F16" w:rsidP="00062F16">
      <w:pPr>
        <w:bidi w:val="0"/>
        <w:rPr>
          <w:rFonts w:ascii="Arial" w:hAnsi="Arial" w:cs="Simplified Arabic"/>
          <w:lang w:eastAsia="en-US"/>
        </w:rPr>
      </w:pPr>
    </w:p>
    <w:p w:rsidR="00062F16" w:rsidRDefault="00062F16" w:rsidP="00062F16">
      <w:pPr>
        <w:bidi w:val="0"/>
        <w:rPr>
          <w:rFonts w:ascii="Arial" w:hAnsi="Arial" w:cs="Simplified Arabic"/>
          <w:lang w:eastAsia="en-US"/>
        </w:rPr>
      </w:pPr>
    </w:p>
    <w:p w:rsidR="00E42492" w:rsidRDefault="00E42492" w:rsidP="00E42492">
      <w:pPr>
        <w:bidi w:val="0"/>
        <w:rPr>
          <w:rFonts w:ascii="Arial" w:hAnsi="Arial" w:cs="Simplified Arabic"/>
          <w:lang w:eastAsia="en-US"/>
        </w:rPr>
      </w:pPr>
    </w:p>
    <w:p w:rsidR="00E42492" w:rsidRDefault="00E42492" w:rsidP="00E42492">
      <w:pPr>
        <w:bidi w:val="0"/>
        <w:rPr>
          <w:rFonts w:ascii="Arial" w:hAnsi="Arial" w:cs="Simplified Arabic"/>
          <w:lang w:eastAsia="en-US"/>
        </w:rPr>
      </w:pPr>
    </w:p>
    <w:p w:rsidR="00E42492" w:rsidRPr="004473AD" w:rsidRDefault="00E42492" w:rsidP="00E42492">
      <w:pPr>
        <w:bidi w:val="0"/>
        <w:rPr>
          <w:rFonts w:ascii="Arial" w:hAnsi="Arial" w:cs="Simplified Arabic"/>
          <w:lang w:eastAsia="en-US"/>
        </w:rPr>
      </w:pPr>
    </w:p>
    <w:p w:rsidR="00062F16" w:rsidRPr="004473AD" w:rsidRDefault="00062F16" w:rsidP="00062F16">
      <w:pPr>
        <w:pStyle w:val="Heading9"/>
        <w:bidi w:val="0"/>
        <w:rPr>
          <w:rFonts w:ascii="Arial" w:hAnsi="Arial"/>
          <w:rtl/>
        </w:rPr>
      </w:pPr>
    </w:p>
    <w:p w:rsidR="00062F16" w:rsidRDefault="009D5D52" w:rsidP="00E42492">
      <w:pPr>
        <w:pStyle w:val="Heading9"/>
        <w:bidi w:val="0"/>
        <w:rPr>
          <w:rFonts w:ascii="Times New Roman" w:hAnsi="Times New Roman" w:cs="Traditional Arabic"/>
          <w:b/>
          <w:bCs/>
          <w:sz w:val="28"/>
          <w:szCs w:val="28"/>
          <w:lang w:eastAsia="en-US"/>
        </w:rPr>
      </w:pPr>
      <w:r w:rsidRPr="00E42492">
        <w:rPr>
          <w:rFonts w:ascii="Times New Roman" w:hAnsi="Times New Roman" w:cs="Traditional Arabic"/>
          <w:b/>
          <w:bCs/>
          <w:sz w:val="28"/>
          <w:szCs w:val="28"/>
          <w:lang w:eastAsia="en-US"/>
        </w:rPr>
        <w:t>October</w:t>
      </w:r>
      <w:r w:rsidR="00062F16" w:rsidRPr="00E42492">
        <w:rPr>
          <w:rFonts w:ascii="Times New Roman" w:hAnsi="Times New Roman" w:cs="Traditional Arabic"/>
          <w:b/>
          <w:bCs/>
          <w:sz w:val="28"/>
          <w:szCs w:val="28"/>
          <w:lang w:eastAsia="en-US"/>
        </w:rPr>
        <w:t>, 2016</w:t>
      </w:r>
    </w:p>
    <w:p w:rsidR="00E42492" w:rsidRPr="00E42492" w:rsidRDefault="00E42492" w:rsidP="00E42492">
      <w:pPr>
        <w:bidi w:val="0"/>
        <w:rPr>
          <w:rtl/>
          <w:lang w:eastAsia="en-US"/>
        </w:rPr>
      </w:pPr>
    </w:p>
    <w:p w:rsidR="00062F16" w:rsidRPr="004473AD" w:rsidRDefault="00062F16" w:rsidP="00062F16">
      <w:pPr>
        <w:bidi w:val="0"/>
        <w:rPr>
          <w:rFonts w:ascii="Arial" w:hAnsi="Arial" w:cs="Simplified Arabic"/>
          <w:lang w:eastAsia="en-US"/>
        </w:rPr>
      </w:pPr>
    </w:p>
    <w:p w:rsidR="00062F16" w:rsidRPr="00930848" w:rsidRDefault="00062F16" w:rsidP="00062F16">
      <w:pPr>
        <w:bidi w:val="0"/>
        <w:jc w:val="lowKashida"/>
        <w:rPr>
          <w:color w:val="000000"/>
        </w:rPr>
      </w:pPr>
      <w:r w:rsidRPr="00E42492">
        <w:rPr>
          <w:color w:val="000000"/>
        </w:rPr>
        <w:lastRenderedPageBreak/>
        <w:t>PAGE NUMBERS</w:t>
      </w:r>
      <w:r w:rsidRPr="00930848">
        <w:rPr>
          <w:color w:val="000000"/>
        </w:rPr>
        <w:t xml:space="preserve"> OF ENGLISH TEXT ARE PRINTED IN SQUARE BRACKETS.</w:t>
      </w:r>
    </w:p>
    <w:p w:rsidR="00062F16" w:rsidRDefault="00D71F15" w:rsidP="00062F16">
      <w:pPr>
        <w:bidi w:val="0"/>
        <w:jc w:val="lowKashida"/>
        <w:rPr>
          <w:color w:val="000000"/>
        </w:rPr>
      </w:pPr>
      <w:r w:rsidRPr="00D71F15">
        <w:rPr>
          <w:noProof/>
          <w:lang w:eastAsia="en-US"/>
        </w:rPr>
        <w:pict>
          <v:shapetype id="_x0000_t202" coordsize="21600,21600" o:spt="202" path="m,l,21600r21600,l21600,xe">
            <v:stroke joinstyle="miter"/>
            <v:path gradientshapeok="t" o:connecttype="rect"/>
          </v:shapetype>
          <v:shape id="Text Box 2" o:spid="_x0000_s1037" type="#_x0000_t202" style="position:absolute;left:0;text-align:left;margin-left:6pt;margin-top:52.3pt;width:437.15pt;height:70.45pt;z-index:251657728;visibility:visible" wrapcoords="-148 -919 -148 22289 21748 22289 21748 -919 -148 -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" strokeweight="6pt">
            <v:stroke linestyle="thickBetweenThin"/>
            <v:textbox>
              <w:txbxContent>
                <w:p w:rsidR="002F2636" w:rsidRDefault="002F2636" w:rsidP="00062F16">
                  <w:pPr>
                    <w:pStyle w:val="BodyText2"/>
                    <w:bidi w:val="0"/>
                    <w:rPr>
                      <w:b/>
                      <w:bCs/>
                      <w:sz w:val="30"/>
                      <w:szCs w:val="30"/>
                      <w:rtl/>
                      <w:lang w:val="en-AU"/>
                    </w:rPr>
                  </w:pPr>
                  <w:r>
                    <w:rPr>
                      <w:b/>
                      <w:bCs/>
                      <w:sz w:val="30"/>
                      <w:szCs w:val="30"/>
                    </w:rPr>
                    <w:t>This document is prepared in accordance with the standard procedures stated in the Code of Practice for Palestine Official Statistics 2006</w:t>
                  </w:r>
                </w:p>
                <w:p w:rsidR="002F2636" w:rsidRDefault="002F2636" w:rsidP="00062F16">
                  <w:pPr>
                    <w:pStyle w:val="BodyText"/>
                    <w:bidi w:val="0"/>
                    <w:jc w:val="both"/>
                    <w:rPr>
                      <w:b/>
                      <w:bCs/>
                      <w:sz w:val="32"/>
                      <w:szCs w:val="32"/>
                    </w:rPr>
                  </w:pPr>
                </w:p>
              </w:txbxContent>
            </v:textbox>
            <w10:wrap type="tight"/>
          </v:shape>
        </w:pict>
      </w:r>
      <w:r w:rsidR="00062F16" w:rsidRPr="00930848">
        <w:rPr>
          <w:color w:val="000000"/>
        </w:rPr>
        <w:t>TABLES ARE PRINTED IN THE ARABIC ORDER (FROM RIGHT TO LEFT).</w:t>
      </w:r>
    </w:p>
    <w:p w:rsidR="00062F16" w:rsidRDefault="00062F16" w:rsidP="00062F16">
      <w:pPr>
        <w:bidi w:val="0"/>
        <w:jc w:val="lowKashida"/>
        <w:rPr>
          <w:color w:val="000000"/>
        </w:rPr>
      </w:pPr>
    </w:p>
    <w:p w:rsidR="00062F16" w:rsidRDefault="00062F16" w:rsidP="00062F16">
      <w:pPr>
        <w:bidi w:val="0"/>
        <w:jc w:val="lowKashida"/>
        <w:rPr>
          <w:color w:val="000000"/>
        </w:rPr>
      </w:pPr>
    </w:p>
    <w:p w:rsidR="00062F16" w:rsidRPr="00930848" w:rsidRDefault="00062F16" w:rsidP="00062F16">
      <w:pPr>
        <w:bidi w:val="0"/>
        <w:jc w:val="lowKashida"/>
        <w:rPr>
          <w:b/>
          <w:bCs/>
          <w:lang w:eastAsia="en-US"/>
        </w:rPr>
      </w:pPr>
    </w:p>
    <w:p w:rsidR="00062F16" w:rsidRDefault="00062F16" w:rsidP="00062F16">
      <w:pPr>
        <w:bidi w:val="0"/>
        <w:jc w:val="lowKashida"/>
        <w:rPr>
          <w:b/>
          <w:bCs/>
          <w:u w:val="single"/>
          <w:lang w:eastAsia="en-US"/>
        </w:rPr>
      </w:pPr>
      <w:bookmarkStart w:id="0" w:name="_GoBack"/>
      <w:bookmarkEnd w:id="0"/>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062F16" w:rsidRDefault="00062F16" w:rsidP="00062F16">
      <w:pPr>
        <w:bidi w:val="0"/>
        <w:jc w:val="lowKashida"/>
        <w:rPr>
          <w:b/>
          <w:bCs/>
          <w:u w:val="single"/>
          <w:lang w:eastAsia="en-US"/>
        </w:rPr>
      </w:pPr>
    </w:p>
    <w:p w:rsidR="00E42492" w:rsidRDefault="00E42492" w:rsidP="00E42492">
      <w:pPr>
        <w:bidi w:val="0"/>
        <w:jc w:val="lowKashida"/>
        <w:rPr>
          <w:b/>
          <w:bCs/>
          <w:u w:val="single"/>
          <w:lang w:eastAsia="en-US"/>
        </w:rPr>
      </w:pPr>
    </w:p>
    <w:p w:rsidR="00E42492" w:rsidRDefault="00E42492" w:rsidP="00E42492">
      <w:pPr>
        <w:bidi w:val="0"/>
        <w:jc w:val="lowKashida"/>
        <w:rPr>
          <w:b/>
          <w:bCs/>
          <w:u w:val="single"/>
          <w:lang w:eastAsia="en-US"/>
        </w:rPr>
      </w:pPr>
    </w:p>
    <w:p w:rsidR="00E42492" w:rsidRDefault="00E42492" w:rsidP="00E42492">
      <w:pPr>
        <w:bidi w:val="0"/>
        <w:jc w:val="lowKashida"/>
        <w:rPr>
          <w:b/>
          <w:bCs/>
          <w:u w:val="single"/>
          <w:lang w:eastAsia="en-US"/>
        </w:rPr>
      </w:pPr>
    </w:p>
    <w:p w:rsidR="00E42492" w:rsidRDefault="00E42492" w:rsidP="00E42492">
      <w:pPr>
        <w:bidi w:val="0"/>
        <w:jc w:val="lowKashida"/>
        <w:rPr>
          <w:b/>
          <w:bCs/>
          <w:u w:val="single"/>
          <w:lang w:eastAsia="en-US"/>
        </w:rPr>
      </w:pPr>
    </w:p>
    <w:p w:rsidR="00E42492" w:rsidRDefault="00E42492" w:rsidP="00E42492">
      <w:pPr>
        <w:bidi w:val="0"/>
        <w:jc w:val="lowKashida"/>
        <w:rPr>
          <w:b/>
          <w:bCs/>
          <w:u w:val="single"/>
          <w:lang w:eastAsia="en-US"/>
        </w:rPr>
      </w:pPr>
    </w:p>
    <w:p w:rsidR="00162CA4" w:rsidRDefault="00162CA4" w:rsidP="00162CA4">
      <w:pPr>
        <w:bidi w:val="0"/>
        <w:jc w:val="lowKashida"/>
        <w:rPr>
          <w:b/>
          <w:bCs/>
          <w:u w:val="single"/>
          <w:lang w:eastAsia="en-US"/>
        </w:rPr>
      </w:pPr>
    </w:p>
    <w:p w:rsidR="00162CA4" w:rsidRDefault="00162CA4" w:rsidP="00162CA4">
      <w:pPr>
        <w:bidi w:val="0"/>
        <w:jc w:val="lowKashida"/>
        <w:rPr>
          <w:b/>
          <w:bCs/>
          <w:u w:val="single"/>
          <w:lang w:eastAsia="en-US"/>
        </w:rPr>
      </w:pPr>
    </w:p>
    <w:p w:rsidR="00E42492" w:rsidRPr="00930848" w:rsidRDefault="00E42492" w:rsidP="00E42492">
      <w:pPr>
        <w:bidi w:val="0"/>
        <w:jc w:val="lowKashida"/>
        <w:rPr>
          <w:b/>
          <w:bCs/>
          <w:u w:val="single"/>
          <w:lang w:eastAsia="en-US"/>
        </w:rPr>
      </w:pPr>
    </w:p>
    <w:p w:rsidR="00062F16" w:rsidRPr="00930848" w:rsidRDefault="00062F16" w:rsidP="00062F16">
      <w:pPr>
        <w:bidi w:val="0"/>
        <w:jc w:val="lowKashida"/>
        <w:rPr>
          <w:b/>
          <w:bCs/>
          <w:u w:val="single"/>
          <w:rtl/>
          <w:lang w:eastAsia="en-US"/>
        </w:rPr>
      </w:pPr>
    </w:p>
    <w:p w:rsidR="00062F16" w:rsidRPr="00930848" w:rsidRDefault="00062F16" w:rsidP="009D5D52">
      <w:pPr>
        <w:bidi w:val="0"/>
        <w:snapToGrid w:val="0"/>
        <w:jc w:val="lowKashida"/>
        <w:rPr>
          <w:color w:val="000000"/>
          <w:sz w:val="20"/>
          <w:szCs w:val="20"/>
        </w:rPr>
      </w:pPr>
      <w:r w:rsidRPr="00930848">
        <w:rPr>
          <w:color w:val="000000"/>
          <w:sz w:val="20"/>
          <w:szCs w:val="20"/>
        </w:rPr>
        <w:sym w:font="Symbol" w:char="F0D3"/>
      </w:r>
      <w:r w:rsidR="009D5D52">
        <w:rPr>
          <w:color w:val="000000"/>
          <w:sz w:val="20"/>
          <w:szCs w:val="20"/>
        </w:rPr>
        <w:t>October</w:t>
      </w:r>
      <w:r w:rsidRPr="00930848">
        <w:rPr>
          <w:color w:val="000000"/>
          <w:sz w:val="20"/>
          <w:szCs w:val="20"/>
        </w:rPr>
        <w:t xml:space="preserve">, </w:t>
      </w:r>
      <w:r w:rsidRPr="00930848">
        <w:rPr>
          <w:color w:val="000000"/>
          <w:sz w:val="20"/>
          <w:szCs w:val="20"/>
          <w:lang w:val="en-AU"/>
        </w:rPr>
        <w:t>201</w:t>
      </w:r>
      <w:r>
        <w:rPr>
          <w:color w:val="000000"/>
          <w:sz w:val="20"/>
          <w:szCs w:val="20"/>
          <w:lang w:val="en-AU"/>
        </w:rPr>
        <w:t>6</w:t>
      </w:r>
      <w:r w:rsidRPr="00930848">
        <w:rPr>
          <w:color w:val="000000"/>
          <w:sz w:val="20"/>
          <w:szCs w:val="20"/>
        </w:rPr>
        <w:t>.</w:t>
      </w:r>
    </w:p>
    <w:p w:rsidR="00062F16" w:rsidRPr="00930848" w:rsidRDefault="00062F16" w:rsidP="00062F16">
      <w:pPr>
        <w:bidi w:val="0"/>
        <w:snapToGrid w:val="0"/>
        <w:jc w:val="lowKashida"/>
        <w:rPr>
          <w:b/>
          <w:bCs/>
          <w:color w:val="000000"/>
          <w:sz w:val="20"/>
          <w:szCs w:val="20"/>
        </w:rPr>
      </w:pPr>
      <w:r w:rsidRPr="00930848">
        <w:rPr>
          <w:b/>
          <w:bCs/>
          <w:color w:val="000000"/>
          <w:sz w:val="20"/>
          <w:szCs w:val="20"/>
        </w:rPr>
        <w:t>All rights reserved</w:t>
      </w:r>
    </w:p>
    <w:p w:rsidR="00062F16" w:rsidRPr="00930848" w:rsidRDefault="00062F16" w:rsidP="00062F16">
      <w:pPr>
        <w:bidi w:val="0"/>
        <w:snapToGrid w:val="0"/>
        <w:jc w:val="lowKashida"/>
        <w:rPr>
          <w:b/>
          <w:bCs/>
          <w:color w:val="000000"/>
          <w:sz w:val="20"/>
          <w:szCs w:val="20"/>
        </w:rPr>
      </w:pPr>
    </w:p>
    <w:p w:rsidR="00062F16" w:rsidRPr="00930848" w:rsidRDefault="00062F16" w:rsidP="00062F16">
      <w:pPr>
        <w:bidi w:val="0"/>
        <w:snapToGrid w:val="0"/>
        <w:jc w:val="lowKashida"/>
        <w:rPr>
          <w:b/>
          <w:bCs/>
          <w:color w:val="000000"/>
          <w:sz w:val="20"/>
          <w:szCs w:val="20"/>
        </w:rPr>
      </w:pPr>
      <w:r w:rsidRPr="00930848">
        <w:rPr>
          <w:b/>
          <w:bCs/>
          <w:color w:val="000000"/>
          <w:sz w:val="20"/>
          <w:szCs w:val="20"/>
        </w:rPr>
        <w:t>Citation:</w:t>
      </w:r>
    </w:p>
    <w:p w:rsidR="00062F16" w:rsidRPr="00930848" w:rsidRDefault="00062F16" w:rsidP="00062F16">
      <w:pPr>
        <w:bidi w:val="0"/>
        <w:jc w:val="lowKashida"/>
        <w:rPr>
          <w:b/>
          <w:bCs/>
          <w:color w:val="000000"/>
          <w:sz w:val="20"/>
          <w:szCs w:val="20"/>
        </w:rPr>
      </w:pPr>
    </w:p>
    <w:p w:rsidR="00062F16" w:rsidRPr="00930848" w:rsidRDefault="00062F16" w:rsidP="00E42492">
      <w:pPr>
        <w:bidi w:val="0"/>
        <w:rPr>
          <w:i/>
          <w:iCs/>
          <w:color w:val="000000"/>
          <w:sz w:val="20"/>
          <w:szCs w:val="20"/>
        </w:rPr>
      </w:pPr>
      <w:r w:rsidRPr="00E42492">
        <w:rPr>
          <w:rFonts w:cs="Traditional Arabic"/>
          <w:b/>
          <w:bCs/>
          <w:lang w:eastAsia="en-US"/>
        </w:rPr>
        <w:t>Palestinian Central Bureau of Statistics, 2016</w:t>
      </w:r>
      <w:r w:rsidRPr="00930848">
        <w:rPr>
          <w:b/>
          <w:bCs/>
          <w:color w:val="000000"/>
          <w:sz w:val="20"/>
          <w:szCs w:val="20"/>
        </w:rPr>
        <w:t xml:space="preserve">. </w:t>
      </w:r>
      <w:r w:rsidRPr="00E42492">
        <w:rPr>
          <w:rFonts w:cs="Traditional Arabic"/>
          <w:i/>
          <w:iCs/>
          <w:lang w:eastAsia="en-US"/>
        </w:rPr>
        <w:t>Survey on the Impact of Israeli Aggression on Gaza Strip in 2014 and Socio-Economic Conditions of the Palestinian Households</w:t>
      </w:r>
      <w:r w:rsidR="00E42492">
        <w:rPr>
          <w:rFonts w:cs="Traditional Arabic"/>
          <w:i/>
          <w:iCs/>
          <w:lang w:eastAsia="en-US"/>
        </w:rPr>
        <w:t xml:space="preserve">:     </w:t>
      </w:r>
      <w:r w:rsidRPr="00E42492">
        <w:rPr>
          <w:rFonts w:cs="Traditional Arabic"/>
          <w:i/>
          <w:iCs/>
          <w:lang w:eastAsia="en-US"/>
        </w:rPr>
        <w:t xml:space="preserve"> Main Finding</w:t>
      </w:r>
      <w:r>
        <w:rPr>
          <w:i/>
          <w:iCs/>
          <w:color w:val="000000"/>
          <w:sz w:val="20"/>
          <w:szCs w:val="20"/>
        </w:rPr>
        <w:t xml:space="preserve">. </w:t>
      </w:r>
      <w:r w:rsidRPr="00E42492">
        <w:rPr>
          <w:rFonts w:cs="Traditional Arabic"/>
          <w:lang w:eastAsia="en-US"/>
        </w:rPr>
        <w:t>Ramallah - Palestine</w:t>
      </w:r>
      <w:r w:rsidRPr="00930848">
        <w:rPr>
          <w:color w:val="000000"/>
          <w:sz w:val="20"/>
          <w:szCs w:val="20"/>
        </w:rPr>
        <w:t>.</w:t>
      </w:r>
    </w:p>
    <w:p w:rsidR="00062F16" w:rsidRPr="00930848" w:rsidRDefault="00062F16" w:rsidP="00062F16">
      <w:pPr>
        <w:bidi w:val="0"/>
        <w:jc w:val="lowKashida"/>
        <w:rPr>
          <w:color w:val="000000"/>
          <w:sz w:val="20"/>
          <w:szCs w:val="20"/>
        </w:rPr>
      </w:pPr>
    </w:p>
    <w:p w:rsidR="00062F16" w:rsidRPr="00930848" w:rsidRDefault="00062F16" w:rsidP="00062F16">
      <w:pPr>
        <w:bidi w:val="0"/>
        <w:jc w:val="lowKashida"/>
        <w:rPr>
          <w:color w:val="000000"/>
          <w:sz w:val="20"/>
          <w:szCs w:val="20"/>
        </w:rPr>
      </w:pPr>
      <w:r w:rsidRPr="00930848">
        <w:rPr>
          <w:color w:val="000000"/>
          <w:sz w:val="20"/>
          <w:szCs w:val="20"/>
        </w:rPr>
        <w:t>All correspondence should</w:t>
      </w:r>
      <w:r w:rsidRPr="00930848">
        <w:rPr>
          <w:color w:val="000000"/>
          <w:sz w:val="20"/>
          <w:szCs w:val="20"/>
          <w:rtl/>
        </w:rPr>
        <w:t xml:space="preserve"> </w:t>
      </w:r>
      <w:r w:rsidRPr="00930848">
        <w:rPr>
          <w:color w:val="000000"/>
          <w:sz w:val="20"/>
          <w:szCs w:val="20"/>
        </w:rPr>
        <w:t>be directed to</w:t>
      </w:r>
      <w:proofErr w:type="spellStart"/>
      <w:r w:rsidRPr="00930848">
        <w:rPr>
          <w:color w:val="000000"/>
          <w:sz w:val="20"/>
          <w:szCs w:val="20"/>
          <w:rtl/>
        </w:rPr>
        <w:t>:</w:t>
      </w:r>
      <w:proofErr w:type="spellEnd"/>
    </w:p>
    <w:p w:rsidR="00062F16" w:rsidRPr="00930848" w:rsidRDefault="00062F16" w:rsidP="00062F16">
      <w:pPr>
        <w:bidi w:val="0"/>
        <w:jc w:val="lowKashida"/>
        <w:rPr>
          <w:b/>
          <w:bCs/>
          <w:color w:val="000000"/>
          <w:sz w:val="20"/>
          <w:szCs w:val="20"/>
        </w:rPr>
      </w:pPr>
      <w:r w:rsidRPr="00930848">
        <w:rPr>
          <w:b/>
          <w:bCs/>
          <w:color w:val="000000"/>
          <w:sz w:val="20"/>
          <w:szCs w:val="20"/>
        </w:rPr>
        <w:t>Palestinian Central Bureau of Statistics</w:t>
      </w:r>
    </w:p>
    <w:p w:rsidR="00062F16" w:rsidRPr="00930848" w:rsidRDefault="00062F16" w:rsidP="00062F16">
      <w:pPr>
        <w:bidi w:val="0"/>
        <w:jc w:val="lowKashida"/>
        <w:rPr>
          <w:color w:val="000000"/>
          <w:sz w:val="20"/>
          <w:szCs w:val="20"/>
        </w:rPr>
      </w:pPr>
      <w:proofErr w:type="spellStart"/>
      <w:r w:rsidRPr="00930848">
        <w:rPr>
          <w:b/>
          <w:bCs/>
          <w:color w:val="000000"/>
          <w:sz w:val="20"/>
          <w:szCs w:val="20"/>
        </w:rPr>
        <w:t>P.O.Box</w:t>
      </w:r>
      <w:proofErr w:type="spellEnd"/>
      <w:r w:rsidRPr="00930848">
        <w:rPr>
          <w:b/>
          <w:bCs/>
          <w:color w:val="000000"/>
          <w:sz w:val="20"/>
          <w:szCs w:val="20"/>
        </w:rPr>
        <w:t xml:space="preserve"> 1647,</w:t>
      </w:r>
      <w:r w:rsidRPr="00930848">
        <w:rPr>
          <w:color w:val="000000"/>
          <w:sz w:val="20"/>
          <w:szCs w:val="20"/>
        </w:rPr>
        <w:t xml:space="preserve"> Ramallah - Palestine </w:t>
      </w:r>
    </w:p>
    <w:p w:rsidR="00062F16" w:rsidRPr="00930848" w:rsidRDefault="00062F16" w:rsidP="00062F16">
      <w:pPr>
        <w:bidi w:val="0"/>
        <w:jc w:val="lowKashida"/>
        <w:rPr>
          <w:color w:val="000000"/>
          <w:sz w:val="20"/>
          <w:szCs w:val="20"/>
        </w:rPr>
      </w:pPr>
    </w:p>
    <w:p w:rsidR="00062F16" w:rsidRPr="00930848" w:rsidRDefault="00062F16" w:rsidP="00062F16">
      <w:pPr>
        <w:bidi w:val="0"/>
        <w:jc w:val="lowKashida"/>
        <w:rPr>
          <w:color w:val="000000"/>
          <w:sz w:val="20"/>
          <w:szCs w:val="20"/>
          <w:lang w:eastAsia="fr-FR"/>
        </w:rPr>
      </w:pPr>
      <w:r w:rsidRPr="00930848">
        <w:rPr>
          <w:color w:val="000000"/>
          <w:sz w:val="20"/>
          <w:szCs w:val="20"/>
          <w:lang w:eastAsia="fr-FR"/>
        </w:rPr>
        <w:t xml:space="preserve">Tel: </w:t>
      </w:r>
      <w:r w:rsidRPr="00930848">
        <w:rPr>
          <w:color w:val="000000"/>
          <w:sz w:val="20"/>
          <w:szCs w:val="20"/>
        </w:rPr>
        <w:t>(970/972) 2 2982700</w:t>
      </w:r>
    </w:p>
    <w:p w:rsidR="00062F16" w:rsidRPr="00930848" w:rsidRDefault="00062F16" w:rsidP="00062F16">
      <w:pPr>
        <w:bidi w:val="0"/>
        <w:jc w:val="lowKashida"/>
        <w:rPr>
          <w:color w:val="000000"/>
          <w:sz w:val="20"/>
          <w:szCs w:val="20"/>
        </w:rPr>
      </w:pPr>
      <w:r w:rsidRPr="00930848">
        <w:rPr>
          <w:color w:val="000000"/>
          <w:sz w:val="20"/>
          <w:szCs w:val="20"/>
          <w:lang w:eastAsia="fr-FR"/>
        </w:rPr>
        <w:t xml:space="preserve">Fax: </w:t>
      </w:r>
      <w:r w:rsidRPr="00930848">
        <w:rPr>
          <w:color w:val="000000"/>
          <w:sz w:val="20"/>
          <w:szCs w:val="20"/>
        </w:rPr>
        <w:t>(970/972) 2 2982710</w:t>
      </w:r>
    </w:p>
    <w:p w:rsidR="00062F16" w:rsidRPr="00930848" w:rsidRDefault="00062F16" w:rsidP="00062F16">
      <w:pPr>
        <w:bidi w:val="0"/>
        <w:jc w:val="lowKashida"/>
        <w:rPr>
          <w:color w:val="000000"/>
          <w:sz w:val="20"/>
          <w:szCs w:val="20"/>
          <w:rtl/>
        </w:rPr>
      </w:pPr>
      <w:r w:rsidRPr="00930848">
        <w:rPr>
          <w:color w:val="000000"/>
          <w:sz w:val="20"/>
          <w:szCs w:val="20"/>
        </w:rPr>
        <w:t>Toll Free:1800300300</w:t>
      </w:r>
    </w:p>
    <w:p w:rsidR="00062F16" w:rsidRPr="00930848" w:rsidRDefault="00062F16" w:rsidP="00062F16">
      <w:pPr>
        <w:bidi w:val="0"/>
        <w:jc w:val="lowKashida"/>
        <w:rPr>
          <w:color w:val="000000"/>
          <w:sz w:val="20"/>
          <w:szCs w:val="20"/>
        </w:rPr>
      </w:pPr>
      <w:r w:rsidRPr="00930848">
        <w:rPr>
          <w:color w:val="000000"/>
          <w:sz w:val="20"/>
          <w:szCs w:val="20"/>
          <w:lang w:eastAsia="fr-FR"/>
        </w:rPr>
        <w:t>E-Mail</w:t>
      </w:r>
      <w:proofErr w:type="spellStart"/>
      <w:r w:rsidRPr="00930848">
        <w:rPr>
          <w:color w:val="000000"/>
          <w:sz w:val="20"/>
          <w:szCs w:val="20"/>
          <w:rtl/>
        </w:rPr>
        <w:t>:</w:t>
      </w:r>
      <w:proofErr w:type="spellEnd"/>
      <w:r w:rsidRPr="00930848">
        <w:rPr>
          <w:color w:val="000000"/>
          <w:sz w:val="20"/>
          <w:szCs w:val="20"/>
          <w:lang w:eastAsia="fr-FR"/>
        </w:rPr>
        <w:t xml:space="preserve"> diwan@pcbs.gov.ps</w:t>
      </w:r>
    </w:p>
    <w:p w:rsidR="00062F16" w:rsidRPr="00E42492" w:rsidRDefault="00062F16" w:rsidP="00E42492">
      <w:pPr>
        <w:pStyle w:val="BlockText"/>
        <w:bidi w:val="0"/>
        <w:ind w:left="0" w:right="0"/>
        <w:jc w:val="lowKashida"/>
        <w:rPr>
          <w:rFonts w:cs="Times New Roman"/>
          <w:b w:val="0"/>
          <w:bCs w:val="0"/>
          <w:color w:val="000000"/>
          <w:sz w:val="20"/>
          <w:szCs w:val="20"/>
        </w:rPr>
      </w:pPr>
      <w:r w:rsidRPr="00930848">
        <w:rPr>
          <w:rFonts w:cs="Times New Roman"/>
          <w:b w:val="0"/>
          <w:bCs w:val="0"/>
          <w:color w:val="000000"/>
          <w:sz w:val="20"/>
          <w:szCs w:val="20"/>
        </w:rPr>
        <w:t>Web-Site:  http://www.pcbs.gov.</w:t>
      </w:r>
      <w:r w:rsidRPr="00E42492">
        <w:rPr>
          <w:rFonts w:cs="Times New Roman"/>
          <w:b w:val="0"/>
          <w:bCs w:val="0"/>
          <w:color w:val="000000"/>
          <w:sz w:val="20"/>
          <w:szCs w:val="20"/>
        </w:rPr>
        <w:t xml:space="preserve">ps                                               </w:t>
      </w:r>
      <w:r w:rsidR="00E42492">
        <w:rPr>
          <w:rFonts w:cs="Times New Roman"/>
          <w:b w:val="0"/>
          <w:bCs w:val="0"/>
          <w:color w:val="000000"/>
          <w:sz w:val="20"/>
          <w:szCs w:val="20"/>
        </w:rPr>
        <w:t xml:space="preserve">         </w:t>
      </w:r>
      <w:r w:rsidRPr="00E42492">
        <w:rPr>
          <w:rFonts w:cs="Times New Roman"/>
          <w:b w:val="0"/>
          <w:bCs w:val="0"/>
          <w:color w:val="000000"/>
          <w:sz w:val="20"/>
          <w:szCs w:val="20"/>
        </w:rPr>
        <w:t xml:space="preserve">       </w:t>
      </w:r>
      <w:r w:rsidR="00E42492" w:rsidRPr="00E42492">
        <w:rPr>
          <w:rFonts w:cs="Times New Roman"/>
          <w:b w:val="0"/>
          <w:bCs w:val="0"/>
          <w:color w:val="000000"/>
          <w:sz w:val="20"/>
          <w:szCs w:val="20"/>
        </w:rPr>
        <w:t xml:space="preserve">                </w:t>
      </w:r>
      <w:r w:rsidRPr="00E42492">
        <w:rPr>
          <w:rFonts w:cs="Times New Roman"/>
          <w:sz w:val="20"/>
          <w:szCs w:val="20"/>
        </w:rPr>
        <w:t>Reference ID:</w:t>
      </w:r>
      <w:r w:rsidRPr="009F222E">
        <w:rPr>
          <w:b w:val="0"/>
          <w:bCs w:val="0"/>
        </w:rPr>
        <w:t xml:space="preserve">   </w:t>
      </w:r>
      <w:r w:rsidR="008C08B9" w:rsidRPr="008C08B9">
        <w:t>2221</w:t>
      </w:r>
      <w:r w:rsidRPr="009F222E">
        <w:rPr>
          <w:b w:val="0"/>
          <w:bCs w:val="0"/>
        </w:rPr>
        <w:t xml:space="preserve">     </w:t>
      </w:r>
    </w:p>
    <w:p w:rsidR="00062F16" w:rsidRDefault="00E42492" w:rsidP="00062F16">
      <w:pPr>
        <w:rPr>
          <w:rFonts w:ascii="Arial" w:hAnsi="Arial" w:cs="Simplified Arabic"/>
          <w:sz w:val="20"/>
          <w:szCs w:val="20"/>
        </w:rPr>
      </w:pPr>
      <w:r>
        <w:rPr>
          <w:rFonts w:ascii="Arial" w:hAnsi="Arial" w:cs="Simplified Arabic"/>
          <w:sz w:val="20"/>
          <w:szCs w:val="20"/>
        </w:rPr>
        <w:t xml:space="preserve">  </w:t>
      </w:r>
    </w:p>
    <w:p w:rsidR="003E1848" w:rsidRPr="00930848" w:rsidRDefault="003E1848" w:rsidP="00E42492">
      <w:pPr>
        <w:autoSpaceDE w:val="0"/>
        <w:autoSpaceDN w:val="0"/>
        <w:bidi w:val="0"/>
        <w:adjustRightInd w:val="0"/>
        <w:jc w:val="center"/>
        <w:rPr>
          <w:b/>
          <w:bCs/>
          <w:sz w:val="28"/>
          <w:szCs w:val="28"/>
        </w:rPr>
      </w:pPr>
      <w:r w:rsidRPr="00930848">
        <w:rPr>
          <w:b/>
          <w:bCs/>
          <w:sz w:val="28"/>
          <w:szCs w:val="28"/>
        </w:rPr>
        <w:lastRenderedPageBreak/>
        <w:t>Acknowledgment</w:t>
      </w:r>
    </w:p>
    <w:p w:rsidR="003E1848" w:rsidRPr="00930848" w:rsidRDefault="003E1848" w:rsidP="003E1848">
      <w:pPr>
        <w:autoSpaceDE w:val="0"/>
        <w:autoSpaceDN w:val="0"/>
        <w:bidi w:val="0"/>
        <w:adjustRightInd w:val="0"/>
        <w:jc w:val="center"/>
        <w:rPr>
          <w:b/>
          <w:bCs/>
          <w:sz w:val="28"/>
          <w:szCs w:val="28"/>
        </w:rPr>
      </w:pPr>
    </w:p>
    <w:p w:rsidR="003E1848" w:rsidRPr="00162CA4" w:rsidRDefault="003E1848" w:rsidP="003E1848">
      <w:pPr>
        <w:pStyle w:val="Title"/>
        <w:bidi w:val="0"/>
        <w:jc w:val="both"/>
        <w:rPr>
          <w:rFonts w:ascii="Times New Roman" w:hAnsi="Times New Roman"/>
          <w:sz w:val="24"/>
          <w:szCs w:val="24"/>
        </w:rPr>
      </w:pPr>
      <w:r w:rsidRPr="00162CA4">
        <w:rPr>
          <w:rFonts w:ascii="Times New Roman" w:hAnsi="Times New Roman"/>
          <w:sz w:val="24"/>
          <w:szCs w:val="24"/>
        </w:rPr>
        <w:t xml:space="preserve">The Palestinian Central Bureau of Statistics (PCBS) extends its deep appreciation to Palestinian households who participated in the survey and </w:t>
      </w:r>
      <w:r w:rsidR="004D3A98" w:rsidRPr="00162CA4">
        <w:rPr>
          <w:rFonts w:ascii="Times New Roman" w:hAnsi="Times New Roman"/>
          <w:sz w:val="24"/>
          <w:szCs w:val="24"/>
        </w:rPr>
        <w:t xml:space="preserve">to </w:t>
      </w:r>
      <w:r w:rsidRPr="00162CA4">
        <w:rPr>
          <w:rFonts w:ascii="Times New Roman" w:hAnsi="Times New Roman"/>
          <w:sz w:val="24"/>
          <w:szCs w:val="24"/>
        </w:rPr>
        <w:t>all of those who contributed to the production of this report.</w:t>
      </w:r>
    </w:p>
    <w:p w:rsidR="003E1848" w:rsidRPr="00162CA4" w:rsidRDefault="003E1848" w:rsidP="003E1848">
      <w:pPr>
        <w:pStyle w:val="Title"/>
        <w:bidi w:val="0"/>
        <w:jc w:val="both"/>
        <w:rPr>
          <w:rFonts w:ascii="Times New Roman" w:hAnsi="Times New Roman"/>
          <w:sz w:val="24"/>
          <w:szCs w:val="24"/>
        </w:rPr>
      </w:pPr>
    </w:p>
    <w:p w:rsidR="003E1848" w:rsidRPr="00162CA4" w:rsidRDefault="003E1848" w:rsidP="003E1848">
      <w:pPr>
        <w:pStyle w:val="Title"/>
        <w:bidi w:val="0"/>
        <w:jc w:val="both"/>
        <w:rPr>
          <w:rFonts w:ascii="Times New Roman" w:hAnsi="Times New Roman"/>
        </w:rPr>
      </w:pPr>
      <w:r w:rsidRPr="00162CA4">
        <w:rPr>
          <w:rFonts w:ascii="Times New Roman" w:hAnsi="Times New Roman"/>
          <w:sz w:val="24"/>
          <w:szCs w:val="24"/>
        </w:rPr>
        <w:t xml:space="preserve">This survey was planned and implemented by a technical team from PCBS with technical contribution from partners in the food Security Sector and ESCWA; it received joint funding from the State of Palestine and the Food Security Sector (FSS), represented by the World Food </w:t>
      </w:r>
      <w:proofErr w:type="spellStart"/>
      <w:r w:rsidRPr="00162CA4">
        <w:rPr>
          <w:rFonts w:ascii="Times New Roman" w:hAnsi="Times New Roman"/>
          <w:sz w:val="24"/>
          <w:szCs w:val="24"/>
        </w:rPr>
        <w:t>Programme</w:t>
      </w:r>
      <w:proofErr w:type="spellEnd"/>
      <w:r w:rsidRPr="00162CA4">
        <w:rPr>
          <w:rFonts w:ascii="Times New Roman" w:hAnsi="Times New Roman"/>
          <w:sz w:val="24"/>
          <w:szCs w:val="24"/>
        </w:rPr>
        <w:t xml:space="preserve"> (WFP), Food and Agriculture Organization (FAO), and United Nations Relief and Works Agency for Palestine Refugees in the Near East (UNRWA), as well as United Nations Economic and Social Commission for Western Asia (ESCWA), World Bank and the United Nations Children's Fund (UNICEF).</w:t>
      </w:r>
    </w:p>
    <w:p w:rsidR="003E1848" w:rsidRPr="00162CA4" w:rsidRDefault="003E1848" w:rsidP="003E1848">
      <w:pPr>
        <w:pStyle w:val="Title"/>
        <w:bidi w:val="0"/>
        <w:jc w:val="both"/>
        <w:rPr>
          <w:rFonts w:ascii="Times New Roman" w:hAnsi="Times New Roman"/>
        </w:rPr>
      </w:pPr>
    </w:p>
    <w:p w:rsidR="004402A6" w:rsidRPr="00162CA4" w:rsidRDefault="003E1848" w:rsidP="004D3A98">
      <w:pPr>
        <w:pStyle w:val="Title"/>
        <w:bidi w:val="0"/>
        <w:jc w:val="both"/>
        <w:rPr>
          <w:rFonts w:ascii="Times New Roman" w:hAnsi="Times New Roman"/>
          <w:sz w:val="24"/>
          <w:szCs w:val="24"/>
        </w:rPr>
      </w:pPr>
      <w:r w:rsidRPr="00162CA4">
        <w:rPr>
          <w:rFonts w:ascii="Times New Roman" w:hAnsi="Times New Roman"/>
          <w:sz w:val="24"/>
          <w:szCs w:val="24"/>
        </w:rPr>
        <w:t xml:space="preserve">PCBS also extends its deep appreciation to the United Nations Development </w:t>
      </w:r>
      <w:proofErr w:type="spellStart"/>
      <w:r w:rsidRPr="00162CA4">
        <w:rPr>
          <w:rFonts w:ascii="Times New Roman" w:hAnsi="Times New Roman"/>
          <w:sz w:val="24"/>
          <w:szCs w:val="24"/>
        </w:rPr>
        <w:t>Programme</w:t>
      </w:r>
      <w:proofErr w:type="spellEnd"/>
      <w:r w:rsidRPr="00162CA4">
        <w:rPr>
          <w:rFonts w:ascii="Times New Roman" w:hAnsi="Times New Roman"/>
          <w:sz w:val="24"/>
          <w:szCs w:val="24"/>
        </w:rPr>
        <w:t xml:space="preserve"> (UNDP) for providing the table</w:t>
      </w:r>
      <w:r w:rsidR="004734E6" w:rsidRPr="00162CA4">
        <w:rPr>
          <w:rFonts w:ascii="Times New Roman" w:hAnsi="Times New Roman"/>
          <w:sz w:val="24"/>
          <w:szCs w:val="24"/>
        </w:rPr>
        <w:t>t</w:t>
      </w:r>
      <w:r w:rsidRPr="00162CA4">
        <w:rPr>
          <w:rFonts w:ascii="Times New Roman" w:hAnsi="Times New Roman"/>
          <w:sz w:val="24"/>
          <w:szCs w:val="24"/>
        </w:rPr>
        <w:t xml:space="preserve">s needed for data collection. </w:t>
      </w:r>
    </w:p>
    <w:p w:rsidR="003E1848" w:rsidRPr="00162CA4" w:rsidRDefault="004402A6" w:rsidP="004D3A98">
      <w:pPr>
        <w:pStyle w:val="Title"/>
        <w:bidi w:val="0"/>
        <w:jc w:val="both"/>
        <w:rPr>
          <w:rFonts w:ascii="Times New Roman" w:hAnsi="Times New Roman"/>
          <w:sz w:val="24"/>
          <w:szCs w:val="24"/>
        </w:rPr>
      </w:pPr>
      <w:r w:rsidRPr="00162CA4">
        <w:rPr>
          <w:rFonts w:ascii="Times New Roman" w:hAnsi="Times New Roman"/>
          <w:sz w:val="24"/>
          <w:szCs w:val="24"/>
        </w:rPr>
        <w:br w:type="page"/>
      </w:r>
    </w:p>
    <w:p w:rsidR="00997D3C" w:rsidRPr="003E1848" w:rsidRDefault="00997D3C" w:rsidP="003E1848">
      <w:pPr>
        <w:bidi w:val="0"/>
        <w:jc w:val="lowKashida"/>
        <w:rPr>
          <w:rFonts w:ascii="Arial" w:hAnsi="Arial" w:cs="Simplified Arabic"/>
          <w:b/>
          <w:bCs/>
          <w:rtl/>
        </w:rPr>
      </w:pPr>
    </w:p>
    <w:p w:rsidR="00997D3C" w:rsidRPr="004473AD" w:rsidRDefault="00997D3C" w:rsidP="004A76D9">
      <w:pPr>
        <w:jc w:val="lowKashida"/>
        <w:rPr>
          <w:rFonts w:ascii="Arial" w:hAnsi="Arial" w:cs="Simplified Arabic"/>
          <w:b/>
          <w:bCs/>
          <w:rtl/>
        </w:rPr>
      </w:pPr>
    </w:p>
    <w:p w:rsidR="000D43F4" w:rsidRPr="004473AD" w:rsidRDefault="000D43F4" w:rsidP="004A76D9">
      <w:pPr>
        <w:jc w:val="center"/>
        <w:rPr>
          <w:rFonts w:ascii="Arial" w:hAnsi="Arial" w:cs="Simplified Arabic"/>
          <w:b/>
          <w:bCs/>
          <w:rtl/>
          <w:lang w:eastAsia="en-US"/>
        </w:rPr>
      </w:pPr>
    </w:p>
    <w:p w:rsidR="000D43F4" w:rsidRPr="004473AD" w:rsidRDefault="000D43F4" w:rsidP="004A76D9">
      <w:pPr>
        <w:jc w:val="lowKashida"/>
        <w:rPr>
          <w:rFonts w:ascii="Arial" w:hAnsi="Arial" w:cs="Simplified Arabic"/>
          <w:rtl/>
          <w:lang w:eastAsia="en-US"/>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B030AE" w:rsidRDefault="00334507" w:rsidP="00C87470">
      <w:pPr>
        <w:jc w:val="center"/>
        <w:rPr>
          <w:rFonts w:cs="Simplified Arabic"/>
          <w:b/>
          <w:bCs/>
          <w:sz w:val="28"/>
          <w:szCs w:val="28"/>
        </w:rPr>
      </w:pPr>
      <w:r w:rsidRPr="004473AD">
        <w:rPr>
          <w:rFonts w:ascii="Arial" w:hAnsi="Arial" w:cs="Simplified Arabic"/>
          <w:b/>
          <w:bCs/>
          <w:rtl/>
        </w:rPr>
        <w:br w:type="page"/>
      </w:r>
      <w:bookmarkStart w:id="1" w:name="_Toc93808818"/>
      <w:bookmarkStart w:id="2" w:name="_Toc93809583"/>
      <w:bookmarkStart w:id="3" w:name="_Toc94327353"/>
      <w:r w:rsidR="00B030AE">
        <w:rPr>
          <w:rFonts w:cs="Simplified Arabic"/>
          <w:b/>
          <w:bCs/>
          <w:sz w:val="28"/>
          <w:szCs w:val="28"/>
        </w:rPr>
        <w:lastRenderedPageBreak/>
        <w:t>Team Work</w:t>
      </w:r>
    </w:p>
    <w:p w:rsidR="0058627D" w:rsidRPr="00B030AE" w:rsidRDefault="0058627D" w:rsidP="00B030AE">
      <w:pPr>
        <w:pStyle w:val="Heading5"/>
        <w:jc w:val="left"/>
        <w:rPr>
          <w:rFonts w:ascii="Arial" w:hAnsi="Arial"/>
          <w:sz w:val="24"/>
          <w:szCs w:val="24"/>
          <w:rtl/>
        </w:rPr>
      </w:pPr>
    </w:p>
    <w:p w:rsidR="0058627D" w:rsidRPr="00B030AE" w:rsidRDefault="0058627D" w:rsidP="00162CA4">
      <w:pPr>
        <w:pStyle w:val="Header"/>
        <w:numPr>
          <w:ilvl w:val="0"/>
          <w:numId w:val="14"/>
        </w:numPr>
        <w:tabs>
          <w:tab w:val="clear" w:pos="4153"/>
          <w:tab w:val="clear" w:pos="8306"/>
        </w:tabs>
        <w:bidi w:val="0"/>
        <w:spacing w:before="60"/>
        <w:ind w:left="426" w:hanging="284"/>
        <w:rPr>
          <w:rFonts w:cs="Traditional Arabic"/>
          <w:b/>
          <w:bCs/>
          <w:lang w:eastAsia="en-US"/>
        </w:rPr>
      </w:pPr>
      <w:r w:rsidRPr="00B030AE">
        <w:rPr>
          <w:rFonts w:cs="Traditional Arabic"/>
          <w:b/>
          <w:bCs/>
          <w:lang w:eastAsia="en-US"/>
        </w:rPr>
        <w:t>Technical Committee</w:t>
      </w:r>
    </w:p>
    <w:p w:rsidR="00162CA4" w:rsidRPr="0058627D" w:rsidRDefault="00162CA4" w:rsidP="00162CA4">
      <w:pPr>
        <w:pStyle w:val="Header"/>
        <w:tabs>
          <w:tab w:val="clear" w:pos="4153"/>
          <w:tab w:val="clear" w:pos="8306"/>
          <w:tab w:val="right" w:pos="3794"/>
        </w:tabs>
        <w:bidi w:val="0"/>
        <w:spacing w:before="60"/>
        <w:ind w:left="426"/>
      </w:pPr>
      <w:r w:rsidRPr="0058627D">
        <w:t xml:space="preserve">Mustafa </w:t>
      </w:r>
      <w:proofErr w:type="spellStart"/>
      <w:r w:rsidRPr="0058627D">
        <w:t>Khawaja</w:t>
      </w:r>
      <w:proofErr w:type="spellEnd"/>
      <w:r w:rsidRPr="0058627D">
        <w:t xml:space="preserve">                          </w:t>
      </w:r>
      <w:r w:rsidRPr="0058627D">
        <w:tab/>
        <w:t>Head of the Committee</w:t>
      </w:r>
    </w:p>
    <w:p w:rsidR="00162CA4" w:rsidRPr="0058627D" w:rsidRDefault="00162CA4" w:rsidP="00162CA4">
      <w:pPr>
        <w:pStyle w:val="Header"/>
        <w:tabs>
          <w:tab w:val="clear" w:pos="4153"/>
          <w:tab w:val="clear" w:pos="8306"/>
          <w:tab w:val="right" w:pos="3794"/>
        </w:tabs>
        <w:bidi w:val="0"/>
        <w:spacing w:before="60"/>
        <w:ind w:left="426"/>
      </w:pPr>
      <w:r w:rsidRPr="0058627D">
        <w:t>Mohammad Al-</w:t>
      </w:r>
      <w:proofErr w:type="spellStart"/>
      <w:r w:rsidRPr="0058627D">
        <w:t>Masri</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 xml:space="preserve">Maher </w:t>
      </w:r>
      <w:proofErr w:type="spellStart"/>
      <w:r w:rsidRPr="0058627D">
        <w:t>Sb</w:t>
      </w:r>
      <w:r>
        <w:t>ieh</w:t>
      </w:r>
      <w:proofErr w:type="spellEnd"/>
      <w:r w:rsidRPr="00601C16">
        <w:tab/>
      </w:r>
    </w:p>
    <w:p w:rsidR="00162CA4" w:rsidRPr="0058627D" w:rsidRDefault="00162CA4" w:rsidP="00162CA4">
      <w:pPr>
        <w:pStyle w:val="Header"/>
        <w:tabs>
          <w:tab w:val="clear" w:pos="4153"/>
          <w:tab w:val="clear" w:pos="8306"/>
          <w:tab w:val="right" w:pos="3794"/>
        </w:tabs>
        <w:bidi w:val="0"/>
        <w:spacing w:before="60"/>
        <w:ind w:left="426"/>
      </w:pPr>
      <w:r w:rsidRPr="0058627D">
        <w:t>Maen Salhab</w:t>
      </w:r>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Ziyad Qlalwah</w:t>
      </w:r>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 xml:space="preserve">Rania Abu </w:t>
      </w:r>
      <w:proofErr w:type="spellStart"/>
      <w:r w:rsidRPr="0058627D">
        <w:t>Gabboush</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proofErr w:type="spellStart"/>
      <w:r w:rsidRPr="0058627D">
        <w:t>Isam</w:t>
      </w:r>
      <w:proofErr w:type="spellEnd"/>
      <w:r w:rsidRPr="0058627D">
        <w:t xml:space="preserve"> Khatib</w:t>
      </w:r>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 xml:space="preserve">Ahmad </w:t>
      </w:r>
      <w:proofErr w:type="spellStart"/>
      <w:r w:rsidRPr="0058627D">
        <w:t>Ateyya</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 xml:space="preserve">Aladdin </w:t>
      </w:r>
      <w:proofErr w:type="spellStart"/>
      <w:r w:rsidRPr="0058627D">
        <w:t>Salmeh</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proofErr w:type="spellStart"/>
      <w:r w:rsidRPr="0058627D">
        <w:t>Feda</w:t>
      </w:r>
      <w:proofErr w:type="spellEnd"/>
      <w:r w:rsidRPr="0058627D">
        <w:t xml:space="preserve">’ Abu </w:t>
      </w:r>
      <w:proofErr w:type="spellStart"/>
      <w:r w:rsidRPr="0058627D">
        <w:t>Aishah</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Mohammad Abyat</w:t>
      </w:r>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 xml:space="preserve">Mohammad </w:t>
      </w:r>
      <w:proofErr w:type="spellStart"/>
      <w:r w:rsidRPr="0058627D">
        <w:t>Qahman</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proofErr w:type="spellStart"/>
      <w:r w:rsidRPr="0058627D">
        <w:t>Ayman</w:t>
      </w:r>
      <w:proofErr w:type="spellEnd"/>
      <w:r w:rsidRPr="0058627D">
        <w:t xml:space="preserve"> </w:t>
      </w:r>
      <w:proofErr w:type="spellStart"/>
      <w:r w:rsidRPr="0058627D">
        <w:t>Quneir</w:t>
      </w:r>
      <w:proofErr w:type="spellEnd"/>
      <w:r w:rsidRPr="0058627D">
        <w:tab/>
      </w:r>
    </w:p>
    <w:p w:rsidR="00162CA4" w:rsidRPr="0058627D" w:rsidRDefault="00162CA4" w:rsidP="00162CA4">
      <w:pPr>
        <w:pStyle w:val="Header"/>
        <w:tabs>
          <w:tab w:val="clear" w:pos="4153"/>
          <w:tab w:val="clear" w:pos="8306"/>
          <w:tab w:val="right" w:pos="3794"/>
        </w:tabs>
        <w:bidi w:val="0"/>
        <w:spacing w:before="60"/>
        <w:ind w:left="426"/>
      </w:pPr>
      <w:proofErr w:type="spellStart"/>
      <w:r w:rsidRPr="0058627D">
        <w:t>Omayma</w:t>
      </w:r>
      <w:proofErr w:type="spellEnd"/>
      <w:r w:rsidRPr="0058627D">
        <w:t xml:space="preserve"> Al-Ahmad</w:t>
      </w:r>
      <w:r w:rsidRPr="0058627D">
        <w:tab/>
      </w:r>
    </w:p>
    <w:p w:rsidR="00162CA4" w:rsidRPr="0058627D" w:rsidRDefault="00162CA4" w:rsidP="00162CA4">
      <w:pPr>
        <w:pStyle w:val="Header"/>
        <w:tabs>
          <w:tab w:val="clear" w:pos="4153"/>
          <w:tab w:val="clear" w:pos="8306"/>
          <w:tab w:val="right" w:pos="3794"/>
        </w:tabs>
        <w:bidi w:val="0"/>
        <w:spacing w:before="60"/>
        <w:ind w:left="426"/>
      </w:pPr>
      <w:r w:rsidRPr="0058627D">
        <w:t>Zaher Tantish</w:t>
      </w:r>
      <w:r w:rsidRPr="0058627D">
        <w:tab/>
      </w:r>
    </w:p>
    <w:p w:rsidR="0058627D" w:rsidRDefault="0058627D" w:rsidP="00162CA4">
      <w:pPr>
        <w:spacing w:before="60"/>
        <w:ind w:right="360"/>
        <w:rPr>
          <w:rFonts w:ascii="Arial" w:hAnsi="Arial" w:cs="Simplified Arabic"/>
          <w:b/>
          <w:bCs/>
        </w:rPr>
      </w:pPr>
    </w:p>
    <w:p w:rsidR="0058627D" w:rsidRPr="0090150B" w:rsidRDefault="0058627D" w:rsidP="00162CA4">
      <w:pPr>
        <w:pStyle w:val="Header"/>
        <w:numPr>
          <w:ilvl w:val="0"/>
          <w:numId w:val="14"/>
        </w:numPr>
        <w:tabs>
          <w:tab w:val="clear" w:pos="4153"/>
          <w:tab w:val="clear" w:pos="8306"/>
        </w:tabs>
        <w:bidi w:val="0"/>
        <w:spacing w:before="60"/>
        <w:ind w:left="426" w:hanging="284"/>
        <w:rPr>
          <w:b/>
          <w:bCs/>
        </w:rPr>
      </w:pPr>
      <w:r>
        <w:rPr>
          <w:b/>
          <w:bCs/>
        </w:rPr>
        <w:t>Report Preparation</w:t>
      </w:r>
    </w:p>
    <w:p w:rsidR="00162CA4" w:rsidRPr="0058627D" w:rsidRDefault="00162CA4" w:rsidP="00162CA4">
      <w:pPr>
        <w:pStyle w:val="Header"/>
        <w:tabs>
          <w:tab w:val="clear" w:pos="4153"/>
          <w:tab w:val="clear" w:pos="8306"/>
          <w:tab w:val="right" w:pos="4856"/>
        </w:tabs>
        <w:bidi w:val="0"/>
        <w:spacing w:before="60"/>
        <w:ind w:left="426"/>
      </w:pPr>
      <w:r w:rsidRPr="0058627D">
        <w:t>Maen Salhab</w:t>
      </w:r>
      <w:r w:rsidRPr="0058627D">
        <w:tab/>
      </w:r>
    </w:p>
    <w:p w:rsidR="00162CA4" w:rsidRPr="0058627D" w:rsidRDefault="00162CA4" w:rsidP="00162CA4">
      <w:pPr>
        <w:pStyle w:val="Header"/>
        <w:tabs>
          <w:tab w:val="clear" w:pos="4153"/>
          <w:tab w:val="clear" w:pos="8306"/>
          <w:tab w:val="right" w:pos="4856"/>
        </w:tabs>
        <w:bidi w:val="0"/>
        <w:spacing w:before="60"/>
        <w:ind w:left="426"/>
      </w:pPr>
      <w:r w:rsidRPr="0058627D">
        <w:t>Mohammad Al-</w:t>
      </w:r>
      <w:proofErr w:type="spellStart"/>
      <w:r w:rsidRPr="0058627D">
        <w:t>Masri</w:t>
      </w:r>
      <w:proofErr w:type="spellEnd"/>
      <w:r w:rsidRPr="0058627D">
        <w:tab/>
      </w:r>
    </w:p>
    <w:p w:rsidR="00162CA4" w:rsidRPr="0058627D" w:rsidRDefault="00162CA4" w:rsidP="00162CA4">
      <w:pPr>
        <w:pStyle w:val="Header"/>
        <w:tabs>
          <w:tab w:val="clear" w:pos="4153"/>
          <w:tab w:val="clear" w:pos="8306"/>
          <w:tab w:val="right" w:pos="4856"/>
        </w:tabs>
        <w:bidi w:val="0"/>
        <w:spacing w:before="60"/>
        <w:ind w:left="426"/>
      </w:pPr>
      <w:r w:rsidRPr="0058627D">
        <w:t xml:space="preserve">Maher </w:t>
      </w:r>
      <w:proofErr w:type="spellStart"/>
      <w:r w:rsidRPr="0058627D">
        <w:t>Sb</w:t>
      </w:r>
      <w:r>
        <w:t>ieh</w:t>
      </w:r>
      <w:proofErr w:type="spellEnd"/>
      <w:r w:rsidRPr="00601C16">
        <w:tab/>
      </w:r>
    </w:p>
    <w:p w:rsidR="00162CA4" w:rsidRPr="0058627D" w:rsidRDefault="00162CA4" w:rsidP="00162CA4">
      <w:pPr>
        <w:pStyle w:val="Header"/>
        <w:tabs>
          <w:tab w:val="clear" w:pos="4153"/>
          <w:tab w:val="clear" w:pos="8306"/>
          <w:tab w:val="right" w:pos="4856"/>
        </w:tabs>
        <w:bidi w:val="0"/>
        <w:spacing w:before="60"/>
        <w:ind w:left="426"/>
      </w:pPr>
      <w:proofErr w:type="spellStart"/>
      <w:r w:rsidRPr="0058627D">
        <w:t>Isam</w:t>
      </w:r>
      <w:proofErr w:type="spellEnd"/>
      <w:r w:rsidRPr="0058627D">
        <w:t xml:space="preserve"> Khatib</w:t>
      </w:r>
      <w:r w:rsidRPr="0058627D">
        <w:tab/>
      </w:r>
    </w:p>
    <w:p w:rsidR="00162CA4" w:rsidRPr="0058627D" w:rsidRDefault="00162CA4" w:rsidP="00162CA4">
      <w:pPr>
        <w:pStyle w:val="Header"/>
        <w:tabs>
          <w:tab w:val="clear" w:pos="4153"/>
          <w:tab w:val="clear" w:pos="8306"/>
          <w:tab w:val="right" w:pos="4856"/>
        </w:tabs>
        <w:bidi w:val="0"/>
        <w:spacing w:before="60"/>
        <w:ind w:left="426"/>
      </w:pPr>
      <w:r w:rsidRPr="0058627D">
        <w:t xml:space="preserve">Rania Abu </w:t>
      </w:r>
      <w:proofErr w:type="spellStart"/>
      <w:r w:rsidRPr="0058627D">
        <w:t>Gabboush</w:t>
      </w:r>
      <w:proofErr w:type="spellEnd"/>
      <w:r w:rsidRPr="0058627D">
        <w:tab/>
      </w:r>
    </w:p>
    <w:p w:rsidR="00162CA4" w:rsidRPr="0058627D" w:rsidRDefault="00162CA4" w:rsidP="00162CA4">
      <w:pPr>
        <w:pStyle w:val="Header"/>
        <w:tabs>
          <w:tab w:val="clear" w:pos="4153"/>
          <w:tab w:val="clear" w:pos="8306"/>
          <w:tab w:val="right" w:pos="4856"/>
        </w:tabs>
        <w:bidi w:val="0"/>
        <w:spacing w:before="60"/>
        <w:ind w:left="426"/>
      </w:pPr>
      <w:r w:rsidRPr="0058627D">
        <w:t>Ziyad Qlalwah</w:t>
      </w:r>
      <w:r w:rsidRPr="0058627D">
        <w:tab/>
      </w:r>
    </w:p>
    <w:p w:rsidR="00162CA4" w:rsidRPr="0058627D" w:rsidRDefault="00162CA4" w:rsidP="00162CA4">
      <w:pPr>
        <w:pStyle w:val="Header"/>
        <w:tabs>
          <w:tab w:val="clear" w:pos="4153"/>
          <w:tab w:val="clear" w:pos="8306"/>
          <w:tab w:val="right" w:pos="4856"/>
        </w:tabs>
        <w:bidi w:val="0"/>
        <w:spacing w:before="60"/>
        <w:ind w:left="426"/>
      </w:pPr>
      <w:r w:rsidRPr="0058627D">
        <w:tab/>
      </w:r>
    </w:p>
    <w:p w:rsidR="0058627D" w:rsidRPr="0090150B" w:rsidRDefault="0058627D" w:rsidP="00162CA4">
      <w:pPr>
        <w:pStyle w:val="Header"/>
        <w:numPr>
          <w:ilvl w:val="0"/>
          <w:numId w:val="14"/>
        </w:numPr>
        <w:tabs>
          <w:tab w:val="clear" w:pos="4153"/>
          <w:tab w:val="clear" w:pos="8306"/>
        </w:tabs>
        <w:bidi w:val="0"/>
        <w:spacing w:before="60"/>
        <w:ind w:left="426" w:hanging="284"/>
        <w:rPr>
          <w:b/>
          <w:bCs/>
        </w:rPr>
      </w:pPr>
      <w:r>
        <w:rPr>
          <w:b/>
          <w:bCs/>
        </w:rPr>
        <w:t>Dissemination Standards</w:t>
      </w:r>
    </w:p>
    <w:p w:rsidR="00162CA4" w:rsidRPr="0058627D" w:rsidRDefault="00162CA4" w:rsidP="00162CA4">
      <w:pPr>
        <w:pStyle w:val="Header"/>
        <w:tabs>
          <w:tab w:val="clear" w:pos="4153"/>
          <w:tab w:val="clear" w:pos="8306"/>
        </w:tabs>
        <w:bidi w:val="0"/>
        <w:spacing w:before="60"/>
        <w:ind w:firstLine="426"/>
      </w:pPr>
      <w:proofErr w:type="spellStart"/>
      <w:r w:rsidRPr="0058627D">
        <w:t>Hanan</w:t>
      </w:r>
      <w:proofErr w:type="spellEnd"/>
      <w:r w:rsidRPr="0058627D">
        <w:t xml:space="preserve"> </w:t>
      </w:r>
      <w:proofErr w:type="spellStart"/>
      <w:r w:rsidRPr="0058627D">
        <w:t>Janajreh</w:t>
      </w:r>
      <w:proofErr w:type="spellEnd"/>
    </w:p>
    <w:p w:rsidR="0058627D" w:rsidRDefault="0058627D" w:rsidP="00162CA4">
      <w:pPr>
        <w:pStyle w:val="Header"/>
        <w:tabs>
          <w:tab w:val="clear" w:pos="4153"/>
          <w:tab w:val="clear" w:pos="8306"/>
        </w:tabs>
        <w:bidi w:val="0"/>
        <w:spacing w:before="60"/>
        <w:rPr>
          <w:b/>
          <w:bCs/>
        </w:rPr>
      </w:pPr>
    </w:p>
    <w:p w:rsidR="0058627D" w:rsidRPr="0090150B" w:rsidRDefault="0058627D" w:rsidP="00162CA4">
      <w:pPr>
        <w:pStyle w:val="Header"/>
        <w:numPr>
          <w:ilvl w:val="0"/>
          <w:numId w:val="14"/>
        </w:numPr>
        <w:tabs>
          <w:tab w:val="clear" w:pos="4153"/>
          <w:tab w:val="clear" w:pos="8306"/>
        </w:tabs>
        <w:bidi w:val="0"/>
        <w:spacing w:before="60"/>
        <w:ind w:left="426" w:hanging="284"/>
        <w:rPr>
          <w:b/>
          <w:bCs/>
        </w:rPr>
      </w:pPr>
      <w:r>
        <w:rPr>
          <w:b/>
          <w:bCs/>
        </w:rPr>
        <w:t>Preliminary Review</w:t>
      </w:r>
    </w:p>
    <w:p w:rsidR="00162CA4" w:rsidRPr="0058627D" w:rsidRDefault="00162CA4" w:rsidP="00162CA4">
      <w:pPr>
        <w:pStyle w:val="Header"/>
        <w:tabs>
          <w:tab w:val="clear" w:pos="4153"/>
          <w:tab w:val="clear" w:pos="8306"/>
        </w:tabs>
        <w:bidi w:val="0"/>
        <w:spacing w:before="60"/>
        <w:ind w:firstLine="426"/>
      </w:pPr>
      <w:r w:rsidRPr="0058627D">
        <w:t xml:space="preserve">Mustafa </w:t>
      </w:r>
      <w:proofErr w:type="spellStart"/>
      <w:r w:rsidRPr="0058627D">
        <w:t>Khawaja</w:t>
      </w:r>
      <w:proofErr w:type="spellEnd"/>
    </w:p>
    <w:p w:rsidR="0058627D" w:rsidRDefault="0058627D" w:rsidP="00162CA4">
      <w:pPr>
        <w:pStyle w:val="Header"/>
        <w:tabs>
          <w:tab w:val="clear" w:pos="4153"/>
          <w:tab w:val="clear" w:pos="8306"/>
        </w:tabs>
        <w:bidi w:val="0"/>
        <w:spacing w:before="60"/>
        <w:rPr>
          <w:b/>
          <w:bCs/>
        </w:rPr>
      </w:pPr>
    </w:p>
    <w:p w:rsidR="0058627D" w:rsidRPr="0090150B" w:rsidRDefault="0058627D" w:rsidP="00162CA4">
      <w:pPr>
        <w:pStyle w:val="Header"/>
        <w:numPr>
          <w:ilvl w:val="0"/>
          <w:numId w:val="14"/>
        </w:numPr>
        <w:tabs>
          <w:tab w:val="clear" w:pos="4153"/>
          <w:tab w:val="clear" w:pos="8306"/>
        </w:tabs>
        <w:bidi w:val="0"/>
        <w:spacing w:before="60"/>
        <w:ind w:left="426" w:hanging="284"/>
        <w:rPr>
          <w:b/>
          <w:bCs/>
        </w:rPr>
      </w:pPr>
      <w:r>
        <w:rPr>
          <w:b/>
          <w:bCs/>
        </w:rPr>
        <w:t>Final Review</w:t>
      </w:r>
    </w:p>
    <w:p w:rsidR="00162CA4" w:rsidRPr="0058627D" w:rsidRDefault="00162CA4" w:rsidP="00162CA4">
      <w:pPr>
        <w:pStyle w:val="Header"/>
        <w:tabs>
          <w:tab w:val="clear" w:pos="4153"/>
          <w:tab w:val="clear" w:pos="8306"/>
        </w:tabs>
        <w:bidi w:val="0"/>
        <w:spacing w:before="60"/>
        <w:ind w:firstLine="426"/>
      </w:pPr>
      <w:r w:rsidRPr="0058627D">
        <w:t>Mohammad Qlalwah</w:t>
      </w:r>
    </w:p>
    <w:p w:rsidR="0058627D" w:rsidRDefault="0058627D" w:rsidP="00162CA4">
      <w:pPr>
        <w:bidi w:val="0"/>
        <w:spacing w:before="60"/>
        <w:ind w:right="360"/>
        <w:rPr>
          <w:rFonts w:ascii="Arial" w:hAnsi="Arial" w:cs="Simplified Arabic"/>
          <w:b/>
          <w:bCs/>
        </w:rPr>
      </w:pPr>
    </w:p>
    <w:p w:rsidR="0058627D" w:rsidRPr="0090150B" w:rsidRDefault="0058627D" w:rsidP="00162CA4">
      <w:pPr>
        <w:pStyle w:val="Header"/>
        <w:numPr>
          <w:ilvl w:val="0"/>
          <w:numId w:val="14"/>
        </w:numPr>
        <w:tabs>
          <w:tab w:val="clear" w:pos="4153"/>
          <w:tab w:val="clear" w:pos="8306"/>
        </w:tabs>
        <w:bidi w:val="0"/>
        <w:spacing w:before="60"/>
        <w:ind w:left="426" w:hanging="284"/>
        <w:rPr>
          <w:b/>
          <w:bCs/>
        </w:rPr>
      </w:pPr>
      <w:r>
        <w:rPr>
          <w:b/>
          <w:bCs/>
        </w:rPr>
        <w:t>Overall Supervision</w:t>
      </w:r>
    </w:p>
    <w:p w:rsidR="00162CA4" w:rsidRPr="0058627D" w:rsidRDefault="00162CA4" w:rsidP="00162CA4">
      <w:pPr>
        <w:pStyle w:val="Header"/>
        <w:tabs>
          <w:tab w:val="clear" w:pos="4153"/>
          <w:tab w:val="clear" w:pos="8306"/>
        </w:tabs>
        <w:bidi w:val="0"/>
        <w:spacing w:before="60"/>
        <w:ind w:left="426"/>
      </w:pPr>
      <w:r w:rsidRPr="0058627D">
        <w:t>Ola Awad</w:t>
      </w:r>
      <w:r w:rsidRPr="0058627D">
        <w:tab/>
      </w:r>
      <w:r>
        <w:rPr>
          <w:rFonts w:hint="cs"/>
          <w:rtl/>
        </w:rPr>
        <w:t xml:space="preserve">                                      </w:t>
      </w:r>
      <w:r w:rsidRPr="0058627D">
        <w:t>President of PCBS</w:t>
      </w:r>
    </w:p>
    <w:p w:rsidR="0058627D" w:rsidRDefault="00B20617" w:rsidP="00162CA4">
      <w:pPr>
        <w:pStyle w:val="Caption"/>
        <w:bidi w:val="0"/>
        <w:spacing w:before="60"/>
        <w:rPr>
          <w:sz w:val="28"/>
          <w:szCs w:val="144"/>
        </w:rPr>
      </w:pPr>
      <w:r w:rsidRPr="004473AD">
        <w:rPr>
          <w:rFonts w:ascii="Arial" w:hAnsi="Arial"/>
          <w:sz w:val="28"/>
          <w:szCs w:val="28"/>
          <w:rtl/>
        </w:rPr>
        <w:tab/>
      </w:r>
    </w:p>
    <w:p w:rsidR="00C87470" w:rsidRDefault="00C87470" w:rsidP="00C87470">
      <w:pPr>
        <w:jc w:val="center"/>
        <w:rPr>
          <w:b/>
          <w:bCs/>
          <w:sz w:val="28"/>
          <w:szCs w:val="28"/>
          <w:rtl/>
        </w:rPr>
      </w:pPr>
      <w:r>
        <w:rPr>
          <w:rtl/>
        </w:rPr>
        <w:br w:type="page"/>
      </w:r>
      <w:r w:rsidR="0058627D">
        <w:lastRenderedPageBreak/>
        <w:br w:type="page"/>
      </w:r>
      <w:r w:rsidRPr="00930848">
        <w:rPr>
          <w:b/>
          <w:bCs/>
          <w:sz w:val="28"/>
          <w:szCs w:val="28"/>
        </w:rPr>
        <w:lastRenderedPageBreak/>
        <w:t>Notice for Data Users</w:t>
      </w:r>
    </w:p>
    <w:p w:rsidR="00C87470" w:rsidRPr="00930848" w:rsidRDefault="00C87470" w:rsidP="00C87470">
      <w:pPr>
        <w:pStyle w:val="BodyText"/>
        <w:bidi w:val="0"/>
        <w:jc w:val="center"/>
        <w:rPr>
          <w:rFonts w:cs="Times New Roman"/>
          <w:b/>
          <w:bCs/>
          <w:sz w:val="28"/>
          <w:szCs w:val="28"/>
        </w:rPr>
      </w:pPr>
    </w:p>
    <w:p w:rsidR="00C87470" w:rsidRDefault="00C87470" w:rsidP="00C87470">
      <w:pPr>
        <w:pStyle w:val="BodyText"/>
        <w:bidi w:val="0"/>
        <w:rPr>
          <w:rFonts w:cs="Times New Roman"/>
          <w:sz w:val="24"/>
          <w:szCs w:val="24"/>
          <w:rtl/>
        </w:rPr>
      </w:pPr>
      <w:r w:rsidRPr="00930848">
        <w:rPr>
          <w:rFonts w:cs="Times New Roman"/>
          <w:sz w:val="24"/>
          <w:szCs w:val="24"/>
        </w:rPr>
        <w:t xml:space="preserve">The survey data was collected during April-May 2015; thus, the </w:t>
      </w:r>
      <w:r>
        <w:rPr>
          <w:rFonts w:cs="Times New Roman"/>
          <w:sz w:val="24"/>
          <w:szCs w:val="24"/>
        </w:rPr>
        <w:t xml:space="preserve">recall period for the displayed </w:t>
      </w:r>
      <w:r w:rsidRPr="00930848">
        <w:rPr>
          <w:rFonts w:cs="Times New Roman"/>
          <w:sz w:val="24"/>
          <w:szCs w:val="24"/>
        </w:rPr>
        <w:t>data in the tables re</w:t>
      </w:r>
      <w:r>
        <w:rPr>
          <w:rFonts w:cs="Times New Roman"/>
          <w:sz w:val="24"/>
          <w:szCs w:val="24"/>
        </w:rPr>
        <w:t>fers to</w:t>
      </w:r>
      <w:r w:rsidRPr="00930848">
        <w:rPr>
          <w:rFonts w:cs="Times New Roman"/>
          <w:sz w:val="24"/>
          <w:szCs w:val="24"/>
        </w:rPr>
        <w:t xml:space="preserve"> the mentioned period unless </w:t>
      </w:r>
      <w:r>
        <w:rPr>
          <w:rFonts w:cs="Times New Roman"/>
          <w:sz w:val="24"/>
          <w:szCs w:val="24"/>
        </w:rPr>
        <w:t xml:space="preserve">is </w:t>
      </w:r>
      <w:r w:rsidRPr="00930848">
        <w:rPr>
          <w:rFonts w:cs="Times New Roman"/>
          <w:sz w:val="24"/>
          <w:szCs w:val="24"/>
        </w:rPr>
        <w:t xml:space="preserve">otherwise stated. </w:t>
      </w:r>
    </w:p>
    <w:p w:rsidR="00C87470" w:rsidRDefault="00C87470" w:rsidP="00C87470">
      <w:pPr>
        <w:pStyle w:val="BodyText"/>
        <w:bidi w:val="0"/>
        <w:rPr>
          <w:rFonts w:cs="Times New Roman"/>
          <w:sz w:val="24"/>
          <w:szCs w:val="24"/>
          <w:rtl/>
        </w:rPr>
      </w:pPr>
    </w:p>
    <w:p w:rsidR="00C87470" w:rsidRDefault="00C87470" w:rsidP="00C87470">
      <w:pPr>
        <w:pStyle w:val="BodyText"/>
        <w:bidi w:val="0"/>
        <w:rPr>
          <w:rFonts w:cs="Times New Roman"/>
          <w:sz w:val="24"/>
          <w:szCs w:val="24"/>
        </w:rPr>
      </w:pPr>
      <w:r>
        <w:rPr>
          <w:rFonts w:cs="Times New Roman"/>
          <w:sz w:val="24"/>
          <w:szCs w:val="24"/>
        </w:rPr>
        <w:t>Set of special symbols were used in the tables of this report, the representation of these symbols are as follow:</w:t>
      </w:r>
    </w:p>
    <w:p w:rsidR="00C87470" w:rsidRDefault="00C87470" w:rsidP="00C87470">
      <w:pPr>
        <w:pStyle w:val="BodyText"/>
        <w:bidi w:val="0"/>
        <w:rPr>
          <w:rFonts w:cs="Times New Roman"/>
          <w:sz w:val="24"/>
          <w:szCs w:val="24"/>
        </w:rPr>
      </w:pPr>
    </w:p>
    <w:p w:rsidR="00C87470" w:rsidRDefault="00C87470" w:rsidP="00C87470">
      <w:pPr>
        <w:pStyle w:val="BodyText"/>
        <w:bidi w:val="0"/>
        <w:rPr>
          <w:rFonts w:cs="Times New Roman"/>
          <w:sz w:val="24"/>
          <w:szCs w:val="24"/>
        </w:rPr>
      </w:pPr>
      <w:r>
        <w:rPr>
          <w:rFonts w:cs="Times New Roman"/>
          <w:sz w:val="24"/>
          <w:szCs w:val="24"/>
        </w:rPr>
        <w:t>(-) Nil.</w:t>
      </w:r>
    </w:p>
    <w:p w:rsidR="008E3727" w:rsidRDefault="00C87470" w:rsidP="00C87470">
      <w:pPr>
        <w:pStyle w:val="BodyText"/>
        <w:bidi w:val="0"/>
        <w:rPr>
          <w:rFonts w:cs="Times New Roman"/>
          <w:sz w:val="24"/>
          <w:szCs w:val="24"/>
        </w:rPr>
      </w:pPr>
      <w:r>
        <w:rPr>
          <w:rFonts w:cs="Times New Roman"/>
          <w:sz w:val="24"/>
          <w:szCs w:val="24"/>
        </w:rPr>
        <w:t>(0) Value is less than half unit.</w:t>
      </w:r>
    </w:p>
    <w:p w:rsidR="00C87470" w:rsidRDefault="008E3727" w:rsidP="00C87470">
      <w:pPr>
        <w:pStyle w:val="BodyText"/>
        <w:bidi w:val="0"/>
        <w:rPr>
          <w:rFonts w:cs="Times New Roman"/>
          <w:sz w:val="24"/>
          <w:szCs w:val="24"/>
        </w:rPr>
      </w:pPr>
      <w:r>
        <w:rPr>
          <w:rFonts w:cs="Times New Roman"/>
          <w:sz w:val="24"/>
          <w:szCs w:val="24"/>
        </w:rPr>
        <w:br w:type="page"/>
      </w:r>
    </w:p>
    <w:p w:rsidR="0058627D" w:rsidRPr="00C87470" w:rsidRDefault="0058627D" w:rsidP="0058627D">
      <w:pPr>
        <w:bidi w:val="0"/>
      </w:pPr>
    </w:p>
    <w:p w:rsidR="0058627D" w:rsidRDefault="0058627D" w:rsidP="0058627D">
      <w:pPr>
        <w:tabs>
          <w:tab w:val="left" w:pos="5305"/>
        </w:tabs>
        <w:bidi w:val="0"/>
        <w:jc w:val="center"/>
        <w:rPr>
          <w:b/>
          <w:bCs/>
          <w:sz w:val="28"/>
          <w:szCs w:val="28"/>
          <w:lang w:eastAsia="en-US"/>
        </w:rPr>
      </w:pPr>
      <w:r>
        <w:br w:type="page"/>
      </w:r>
      <w:r w:rsidRPr="00D61EDC">
        <w:rPr>
          <w:b/>
          <w:bCs/>
          <w:sz w:val="28"/>
          <w:szCs w:val="28"/>
          <w:lang w:eastAsia="en-US"/>
        </w:rPr>
        <w:lastRenderedPageBreak/>
        <w:t>Table of Contents</w:t>
      </w:r>
    </w:p>
    <w:p w:rsidR="00162CA4" w:rsidRPr="00162CA4" w:rsidRDefault="00162CA4" w:rsidP="00162CA4">
      <w:pPr>
        <w:tabs>
          <w:tab w:val="left" w:pos="5305"/>
        </w:tabs>
        <w:bidi w:val="0"/>
        <w:jc w:val="center"/>
        <w:rPr>
          <w:b/>
          <w:bCs/>
          <w:rtl/>
          <w:lang w:eastAsia="en-US"/>
        </w:rPr>
      </w:pPr>
    </w:p>
    <w:tbl>
      <w:tblPr>
        <w:bidiVisual/>
        <w:tblW w:w="9072" w:type="dxa"/>
        <w:jc w:val="center"/>
        <w:tblLook w:val="04A0"/>
      </w:tblPr>
      <w:tblGrid>
        <w:gridCol w:w="1081"/>
        <w:gridCol w:w="6081"/>
        <w:gridCol w:w="1910"/>
      </w:tblGrid>
      <w:tr w:rsidR="0058627D" w:rsidRPr="005B577D" w:rsidTr="00162CA4">
        <w:trPr>
          <w:trHeight w:hRule="exact" w:val="397"/>
          <w:jc w:val="center"/>
        </w:trPr>
        <w:tc>
          <w:tcPr>
            <w:tcW w:w="1081" w:type="dxa"/>
            <w:vAlign w:val="center"/>
          </w:tcPr>
          <w:p w:rsidR="0058627D" w:rsidRPr="005B577D" w:rsidRDefault="0058627D" w:rsidP="00434A42">
            <w:pPr>
              <w:tabs>
                <w:tab w:val="left" w:pos="5305"/>
              </w:tabs>
              <w:jc w:val="center"/>
              <w:rPr>
                <w:b/>
                <w:bCs/>
                <w:rtl/>
                <w:lang w:eastAsia="en-US"/>
              </w:rPr>
            </w:pPr>
            <w:r w:rsidRPr="005B577D">
              <w:rPr>
                <w:b/>
                <w:bCs/>
                <w:lang w:eastAsia="en-US"/>
              </w:rPr>
              <w:t xml:space="preserve">Page </w:t>
            </w:r>
          </w:p>
        </w:tc>
        <w:tc>
          <w:tcPr>
            <w:tcW w:w="6081" w:type="dxa"/>
            <w:vAlign w:val="center"/>
          </w:tcPr>
          <w:p w:rsidR="0058627D" w:rsidRPr="005B577D" w:rsidRDefault="0058627D" w:rsidP="00434A42">
            <w:pPr>
              <w:tabs>
                <w:tab w:val="left" w:pos="5305"/>
              </w:tabs>
              <w:jc w:val="center"/>
              <w:rPr>
                <w:b/>
                <w:bCs/>
                <w:rtl/>
                <w:lang w:eastAsia="en-US"/>
              </w:rPr>
            </w:pPr>
          </w:p>
        </w:tc>
        <w:tc>
          <w:tcPr>
            <w:tcW w:w="1910" w:type="dxa"/>
            <w:vAlign w:val="center"/>
          </w:tcPr>
          <w:p w:rsidR="0058627D" w:rsidRPr="005B577D" w:rsidRDefault="0058627D" w:rsidP="00162CA4">
            <w:pPr>
              <w:tabs>
                <w:tab w:val="left" w:pos="5305"/>
              </w:tabs>
              <w:jc w:val="right"/>
              <w:rPr>
                <w:b/>
                <w:bCs/>
                <w:rtl/>
                <w:lang w:eastAsia="en-US"/>
              </w:rPr>
            </w:pPr>
            <w:r w:rsidRPr="005B577D">
              <w:rPr>
                <w:b/>
                <w:bCs/>
                <w:lang w:eastAsia="en-US"/>
              </w:rPr>
              <w:t>Subject</w:t>
            </w:r>
          </w:p>
        </w:tc>
      </w:tr>
      <w:tr w:rsidR="0058627D" w:rsidRPr="005B577D" w:rsidTr="00162CA4">
        <w:trPr>
          <w:trHeight w:hRule="exact" w:val="397"/>
          <w:jc w:val="center"/>
        </w:trPr>
        <w:tc>
          <w:tcPr>
            <w:tcW w:w="1081" w:type="dxa"/>
            <w:vAlign w:val="center"/>
          </w:tcPr>
          <w:p w:rsidR="0058627D" w:rsidRPr="005B577D" w:rsidRDefault="0058627D" w:rsidP="00434A42">
            <w:pPr>
              <w:tabs>
                <w:tab w:val="left" w:pos="5305"/>
              </w:tabs>
              <w:jc w:val="center"/>
              <w:rPr>
                <w:b/>
                <w:bCs/>
                <w:rtl/>
                <w:lang w:eastAsia="en-US"/>
              </w:rPr>
            </w:pPr>
          </w:p>
        </w:tc>
        <w:tc>
          <w:tcPr>
            <w:tcW w:w="6081" w:type="dxa"/>
            <w:vAlign w:val="center"/>
          </w:tcPr>
          <w:p w:rsidR="0058627D" w:rsidRPr="005B577D" w:rsidRDefault="0058627D" w:rsidP="00434A42">
            <w:pPr>
              <w:bidi w:val="0"/>
              <w:jc w:val="both"/>
              <w:rPr>
                <w:rtl/>
                <w:lang w:eastAsia="en-US"/>
              </w:rPr>
            </w:pPr>
            <w:r w:rsidRPr="005B577D">
              <w:rPr>
                <w:lang w:eastAsia="en-US"/>
              </w:rPr>
              <w:t>List of Tables</w:t>
            </w:r>
            <w:r w:rsidRPr="005B577D">
              <w:rPr>
                <w:rtl/>
                <w:lang w:eastAsia="en-US"/>
              </w:rPr>
              <w:tab/>
            </w:r>
            <w:r w:rsidRPr="005B577D">
              <w:rPr>
                <w:rtl/>
                <w:lang w:eastAsia="en-US"/>
              </w:rPr>
              <w:tab/>
            </w:r>
            <w:r w:rsidRPr="005B577D">
              <w:rPr>
                <w:rtl/>
                <w:lang w:eastAsia="en-US"/>
              </w:rPr>
              <w:tab/>
            </w:r>
          </w:p>
        </w:tc>
        <w:tc>
          <w:tcPr>
            <w:tcW w:w="1910" w:type="dxa"/>
            <w:vAlign w:val="center"/>
          </w:tcPr>
          <w:p w:rsidR="0058627D" w:rsidRPr="005B577D" w:rsidRDefault="0058627D" w:rsidP="00434A42">
            <w:pPr>
              <w:tabs>
                <w:tab w:val="left" w:pos="5305"/>
              </w:tabs>
              <w:jc w:val="center"/>
              <w:rPr>
                <w:b/>
                <w:bCs/>
                <w:rtl/>
                <w:lang w:eastAsia="en-US"/>
              </w:rPr>
            </w:pPr>
          </w:p>
        </w:tc>
      </w:tr>
      <w:tr w:rsidR="0058627D" w:rsidRPr="005B577D" w:rsidTr="00162CA4">
        <w:trPr>
          <w:trHeight w:hRule="exact" w:val="397"/>
          <w:jc w:val="center"/>
        </w:trPr>
        <w:tc>
          <w:tcPr>
            <w:tcW w:w="1081" w:type="dxa"/>
            <w:vAlign w:val="center"/>
          </w:tcPr>
          <w:p w:rsidR="0058627D" w:rsidRPr="005B577D" w:rsidRDefault="0058627D" w:rsidP="00434A42">
            <w:pPr>
              <w:tabs>
                <w:tab w:val="left" w:pos="5305"/>
              </w:tabs>
              <w:jc w:val="center"/>
              <w:rPr>
                <w:b/>
                <w:bCs/>
                <w:rtl/>
                <w:lang w:eastAsia="en-US"/>
              </w:rPr>
            </w:pPr>
          </w:p>
        </w:tc>
        <w:tc>
          <w:tcPr>
            <w:tcW w:w="6081" w:type="dxa"/>
            <w:vAlign w:val="center"/>
          </w:tcPr>
          <w:p w:rsidR="0058627D" w:rsidRPr="005B577D" w:rsidRDefault="0058627D" w:rsidP="00434A42">
            <w:pPr>
              <w:tabs>
                <w:tab w:val="left" w:pos="5305"/>
              </w:tabs>
              <w:bidi w:val="0"/>
              <w:rPr>
                <w:b/>
                <w:bCs/>
                <w:rtl/>
                <w:lang w:eastAsia="en-US"/>
              </w:rPr>
            </w:pPr>
            <w:r w:rsidRPr="005B577D">
              <w:rPr>
                <w:lang w:eastAsia="en-US"/>
              </w:rPr>
              <w:t xml:space="preserve">Introduction </w:t>
            </w:r>
          </w:p>
        </w:tc>
        <w:tc>
          <w:tcPr>
            <w:tcW w:w="1910" w:type="dxa"/>
            <w:vAlign w:val="center"/>
          </w:tcPr>
          <w:p w:rsidR="0058627D" w:rsidRPr="005B577D" w:rsidRDefault="0058627D" w:rsidP="00434A42">
            <w:pPr>
              <w:tabs>
                <w:tab w:val="left" w:pos="5305"/>
              </w:tabs>
              <w:jc w:val="center"/>
              <w:rPr>
                <w:b/>
                <w:bCs/>
                <w:rtl/>
                <w:lang w:eastAsia="en-US"/>
              </w:rPr>
            </w:pPr>
          </w:p>
        </w:tc>
      </w:tr>
      <w:tr w:rsidR="00B030AE" w:rsidRPr="00B030AE" w:rsidTr="00162CA4">
        <w:trPr>
          <w:trHeight w:hRule="exact" w:val="210"/>
          <w:jc w:val="center"/>
        </w:trPr>
        <w:tc>
          <w:tcPr>
            <w:tcW w:w="1081" w:type="dxa"/>
            <w:vAlign w:val="center"/>
          </w:tcPr>
          <w:p w:rsidR="00B030AE" w:rsidRPr="00B030AE" w:rsidRDefault="00B030AE" w:rsidP="00B030AE">
            <w:pPr>
              <w:tabs>
                <w:tab w:val="left" w:pos="5305"/>
              </w:tabs>
              <w:rPr>
                <w:b/>
                <w:bCs/>
                <w:sz w:val="8"/>
                <w:szCs w:val="8"/>
                <w:rtl/>
                <w:lang w:eastAsia="en-US"/>
              </w:rPr>
            </w:pPr>
          </w:p>
        </w:tc>
        <w:tc>
          <w:tcPr>
            <w:tcW w:w="6081" w:type="dxa"/>
            <w:vAlign w:val="center"/>
          </w:tcPr>
          <w:p w:rsidR="00B030AE" w:rsidRPr="00B030AE" w:rsidRDefault="00B030AE" w:rsidP="00434A42">
            <w:pPr>
              <w:tabs>
                <w:tab w:val="left" w:pos="5305"/>
              </w:tabs>
              <w:bidi w:val="0"/>
              <w:rPr>
                <w:sz w:val="8"/>
                <w:szCs w:val="8"/>
                <w:lang w:eastAsia="en-US"/>
              </w:rPr>
            </w:pPr>
          </w:p>
        </w:tc>
        <w:tc>
          <w:tcPr>
            <w:tcW w:w="1910" w:type="dxa"/>
            <w:vAlign w:val="center"/>
          </w:tcPr>
          <w:p w:rsidR="00B030AE" w:rsidRPr="00B030AE" w:rsidRDefault="00B030AE" w:rsidP="00B030AE">
            <w:pPr>
              <w:tabs>
                <w:tab w:val="left" w:pos="5305"/>
              </w:tabs>
              <w:rPr>
                <w:b/>
                <w:bCs/>
                <w:sz w:val="8"/>
                <w:szCs w:val="8"/>
                <w:rtl/>
                <w:lang w:eastAsia="en-US"/>
              </w:rPr>
            </w:pPr>
          </w:p>
        </w:tc>
      </w:tr>
      <w:tr w:rsidR="0058627D" w:rsidRPr="005B577D" w:rsidTr="00162CA4">
        <w:trPr>
          <w:trHeight w:hRule="exact" w:val="397"/>
          <w:jc w:val="center"/>
        </w:trPr>
        <w:tc>
          <w:tcPr>
            <w:tcW w:w="1081" w:type="dxa"/>
            <w:vAlign w:val="center"/>
          </w:tcPr>
          <w:p w:rsidR="0058627D" w:rsidRPr="00162CA4" w:rsidRDefault="00162CA4" w:rsidP="00162CA4">
            <w:pPr>
              <w:tabs>
                <w:tab w:val="left" w:pos="5305"/>
              </w:tabs>
              <w:bidi w:val="0"/>
              <w:jc w:val="center"/>
              <w:rPr>
                <w:b/>
                <w:bCs/>
                <w:rtl/>
                <w:lang w:eastAsia="en-US"/>
              </w:rPr>
            </w:pPr>
            <w:r w:rsidRPr="00162CA4">
              <w:rPr>
                <w:b/>
                <w:bCs/>
                <w:lang w:eastAsia="en-US"/>
              </w:rPr>
              <w:t>[</w:t>
            </w:r>
            <w:r w:rsidRPr="00162CA4">
              <w:rPr>
                <w:rFonts w:hint="cs"/>
                <w:b/>
                <w:bCs/>
                <w:rtl/>
                <w:lang w:eastAsia="en-US"/>
              </w:rPr>
              <w:t>19</w:t>
            </w:r>
            <w:r w:rsidRPr="00162CA4">
              <w:rPr>
                <w:b/>
                <w:bCs/>
                <w:lang w:eastAsia="en-US"/>
              </w:rPr>
              <w:t>]</w:t>
            </w:r>
          </w:p>
        </w:tc>
        <w:tc>
          <w:tcPr>
            <w:tcW w:w="6081" w:type="dxa"/>
            <w:vAlign w:val="center"/>
          </w:tcPr>
          <w:p w:rsidR="0058627D" w:rsidRPr="005B577D" w:rsidRDefault="0058627D" w:rsidP="00434A42">
            <w:pPr>
              <w:tabs>
                <w:tab w:val="left" w:pos="5305"/>
              </w:tabs>
              <w:bidi w:val="0"/>
              <w:rPr>
                <w:b/>
                <w:bCs/>
                <w:rtl/>
                <w:lang w:eastAsia="en-US"/>
              </w:rPr>
            </w:pPr>
            <w:r w:rsidRPr="005B577D">
              <w:rPr>
                <w:b/>
                <w:bCs/>
                <w:lang w:eastAsia="en-US"/>
              </w:rPr>
              <w:t>Main findings</w:t>
            </w:r>
          </w:p>
        </w:tc>
        <w:tc>
          <w:tcPr>
            <w:tcW w:w="1910" w:type="dxa"/>
            <w:vAlign w:val="center"/>
          </w:tcPr>
          <w:p w:rsidR="0058627D" w:rsidRPr="005B577D" w:rsidRDefault="0058627D" w:rsidP="00434A42">
            <w:pPr>
              <w:tabs>
                <w:tab w:val="left" w:pos="5305"/>
              </w:tabs>
              <w:jc w:val="right"/>
              <w:rPr>
                <w:b/>
                <w:bCs/>
                <w:rtl/>
                <w:lang w:eastAsia="en-US"/>
              </w:rPr>
            </w:pPr>
            <w:r w:rsidRPr="00B030AE">
              <w:rPr>
                <w:rFonts w:cs="Simplified Arabic"/>
                <w:lang w:eastAsia="en-US"/>
              </w:rPr>
              <w:t>Chapter One:</w:t>
            </w:r>
          </w:p>
        </w:tc>
      </w:tr>
      <w:tr w:rsidR="0058627D" w:rsidRPr="005B577D" w:rsidTr="00162CA4">
        <w:trPr>
          <w:trHeight w:hRule="exact" w:val="397"/>
          <w:jc w:val="center"/>
        </w:trPr>
        <w:tc>
          <w:tcPr>
            <w:tcW w:w="1081" w:type="dxa"/>
            <w:vAlign w:val="center"/>
          </w:tcPr>
          <w:p w:rsidR="0058627D" w:rsidRPr="009968AB" w:rsidRDefault="00CF5CE6" w:rsidP="00645786">
            <w:pPr>
              <w:tabs>
                <w:tab w:val="left" w:pos="5305"/>
              </w:tabs>
              <w:bidi w:val="0"/>
              <w:jc w:val="center"/>
              <w:rPr>
                <w:lang w:eastAsia="en-US"/>
              </w:rPr>
            </w:pPr>
            <w:r>
              <w:rPr>
                <w:lang w:eastAsia="en-US"/>
              </w:rPr>
              <w:t>[</w:t>
            </w:r>
            <w:r w:rsidR="00645786">
              <w:rPr>
                <w:rFonts w:hint="cs"/>
                <w:rtl/>
                <w:lang w:eastAsia="en-US"/>
              </w:rPr>
              <w:t>19</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 xml:space="preserve">1.1 Demographic Background </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23</w:t>
            </w:r>
            <w:r>
              <w:rPr>
                <w:lang w:eastAsia="en-US"/>
              </w:rPr>
              <w:t>]</w:t>
            </w:r>
          </w:p>
        </w:tc>
        <w:tc>
          <w:tcPr>
            <w:tcW w:w="6081" w:type="dxa"/>
            <w:vAlign w:val="center"/>
          </w:tcPr>
          <w:p w:rsidR="0058627D" w:rsidRPr="005B577D" w:rsidRDefault="0058627D" w:rsidP="00434A42">
            <w:pPr>
              <w:tabs>
                <w:tab w:val="left" w:pos="5305"/>
              </w:tabs>
              <w:bidi w:val="0"/>
              <w:rPr>
                <w:b/>
                <w:bCs/>
                <w:rtl/>
                <w:lang w:eastAsia="en-US"/>
              </w:rPr>
            </w:pPr>
            <w:r w:rsidRPr="005B577D">
              <w:rPr>
                <w:lang w:eastAsia="en-US"/>
              </w:rPr>
              <w:t>1.2 Housing Characteristics</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27</w:t>
            </w:r>
            <w:r>
              <w:rPr>
                <w:lang w:eastAsia="en-US"/>
              </w:rPr>
              <w:t>]</w:t>
            </w:r>
          </w:p>
        </w:tc>
        <w:tc>
          <w:tcPr>
            <w:tcW w:w="6081" w:type="dxa"/>
            <w:vAlign w:val="center"/>
          </w:tcPr>
          <w:p w:rsidR="0058627D" w:rsidRPr="005B577D" w:rsidRDefault="0058627D" w:rsidP="00434A42">
            <w:pPr>
              <w:tabs>
                <w:tab w:val="left" w:pos="5305"/>
              </w:tabs>
              <w:bidi w:val="0"/>
              <w:rPr>
                <w:b/>
                <w:bCs/>
                <w:rtl/>
                <w:lang w:eastAsia="en-US"/>
              </w:rPr>
            </w:pPr>
            <w:r w:rsidRPr="005B577D">
              <w:rPr>
                <w:lang w:eastAsia="en-US"/>
              </w:rPr>
              <w:t xml:space="preserve">1.3 </w:t>
            </w:r>
            <w:r w:rsidR="009968AB" w:rsidRPr="009968AB">
              <w:rPr>
                <w:lang w:eastAsia="en-US"/>
              </w:rPr>
              <w:t>Assistances</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33</w:t>
            </w:r>
            <w:r>
              <w:rPr>
                <w:lang w:eastAsia="en-US"/>
              </w:rPr>
              <w:t>]</w:t>
            </w:r>
          </w:p>
        </w:tc>
        <w:tc>
          <w:tcPr>
            <w:tcW w:w="6081" w:type="dxa"/>
            <w:vAlign w:val="center"/>
          </w:tcPr>
          <w:p w:rsidR="0058627D" w:rsidRPr="005B577D" w:rsidRDefault="0058627D" w:rsidP="00434A42">
            <w:pPr>
              <w:tabs>
                <w:tab w:val="left" w:pos="5305"/>
              </w:tabs>
              <w:bidi w:val="0"/>
              <w:rPr>
                <w:b/>
                <w:bCs/>
                <w:rtl/>
                <w:lang w:eastAsia="en-US"/>
              </w:rPr>
            </w:pPr>
            <w:r w:rsidRPr="005B577D">
              <w:rPr>
                <w:lang w:eastAsia="en-US"/>
              </w:rPr>
              <w:t xml:space="preserve">1.4 Expose household members to shocks/acts </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33</w:t>
            </w:r>
            <w:r>
              <w:rPr>
                <w:lang w:eastAsia="en-US"/>
              </w:rPr>
              <w:t>]</w:t>
            </w:r>
          </w:p>
        </w:tc>
        <w:tc>
          <w:tcPr>
            <w:tcW w:w="6081" w:type="dxa"/>
            <w:vAlign w:val="center"/>
          </w:tcPr>
          <w:p w:rsidR="0058627D" w:rsidRPr="005B577D" w:rsidRDefault="0058627D" w:rsidP="00434A42">
            <w:pPr>
              <w:tabs>
                <w:tab w:val="left" w:pos="5305"/>
              </w:tabs>
              <w:bidi w:val="0"/>
              <w:rPr>
                <w:b/>
                <w:bCs/>
                <w:rtl/>
                <w:lang w:eastAsia="en-US"/>
              </w:rPr>
            </w:pPr>
            <w:r w:rsidRPr="005B577D">
              <w:rPr>
                <w:lang w:eastAsia="en-US"/>
              </w:rPr>
              <w:t>1.5 Disability of covering the cost</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34</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1.6 Sex of head of household</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35</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1.7 Economic living conditions</w:t>
            </w:r>
            <w:r w:rsidRPr="005B577D">
              <w:rPr>
                <w:rtl/>
                <w:lang w:eastAsia="en-US"/>
              </w:rPr>
              <w:tab/>
              <w:t xml:space="preserve">         </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35</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1.8 Status of the Palestinian households</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38</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1.9 Migration</w:t>
            </w:r>
            <w:r w:rsidRPr="005B577D">
              <w:rPr>
                <w:rtl/>
                <w:lang w:eastAsia="en-US"/>
              </w:rPr>
              <w:t xml:space="preserve">                </w:t>
            </w:r>
          </w:p>
        </w:tc>
        <w:tc>
          <w:tcPr>
            <w:tcW w:w="1910" w:type="dxa"/>
            <w:vAlign w:val="center"/>
          </w:tcPr>
          <w:p w:rsidR="0058627D" w:rsidRPr="005B577D" w:rsidRDefault="0058627D" w:rsidP="00434A42">
            <w:pPr>
              <w:tabs>
                <w:tab w:val="left" w:pos="5305"/>
              </w:tabs>
              <w:jc w:val="center"/>
              <w:rPr>
                <w:rtl/>
                <w:lang w:eastAsia="en-US"/>
              </w:rPr>
            </w:pPr>
          </w:p>
        </w:tc>
      </w:tr>
      <w:tr w:rsidR="0058627D" w:rsidRPr="005B577D" w:rsidTr="00162CA4">
        <w:trPr>
          <w:trHeight w:hRule="exact" w:val="397"/>
          <w:jc w:val="center"/>
        </w:trPr>
        <w:tc>
          <w:tcPr>
            <w:tcW w:w="1081" w:type="dxa"/>
            <w:vAlign w:val="center"/>
          </w:tcPr>
          <w:p w:rsidR="0058627D" w:rsidRPr="009968AB" w:rsidRDefault="00CF5CE6" w:rsidP="009A3ADA">
            <w:pPr>
              <w:tabs>
                <w:tab w:val="left" w:pos="5305"/>
              </w:tabs>
              <w:bidi w:val="0"/>
              <w:jc w:val="center"/>
              <w:rPr>
                <w:lang w:eastAsia="en-US"/>
              </w:rPr>
            </w:pPr>
            <w:r>
              <w:rPr>
                <w:lang w:eastAsia="en-US"/>
              </w:rPr>
              <w:t>[</w:t>
            </w:r>
            <w:r w:rsidR="009A3ADA">
              <w:rPr>
                <w:lang w:eastAsia="en-US"/>
              </w:rPr>
              <w:t>38</w:t>
            </w:r>
            <w:r>
              <w:rPr>
                <w:lang w:eastAsia="en-US"/>
              </w:rPr>
              <w:t>]</w:t>
            </w:r>
          </w:p>
        </w:tc>
        <w:tc>
          <w:tcPr>
            <w:tcW w:w="6081" w:type="dxa"/>
            <w:vAlign w:val="center"/>
          </w:tcPr>
          <w:p w:rsidR="0058627D" w:rsidRPr="005B577D" w:rsidRDefault="0058627D" w:rsidP="00434A42">
            <w:pPr>
              <w:tabs>
                <w:tab w:val="left" w:pos="5305"/>
              </w:tabs>
              <w:bidi w:val="0"/>
              <w:rPr>
                <w:rtl/>
                <w:lang w:eastAsia="en-US"/>
              </w:rPr>
            </w:pPr>
            <w:r w:rsidRPr="005B577D">
              <w:rPr>
                <w:lang w:eastAsia="en-US"/>
              </w:rPr>
              <w:t>1.10 Impact of the 2014 Israeli aggression on Gaza Strip</w:t>
            </w:r>
          </w:p>
        </w:tc>
        <w:tc>
          <w:tcPr>
            <w:tcW w:w="1910" w:type="dxa"/>
            <w:vAlign w:val="center"/>
          </w:tcPr>
          <w:p w:rsidR="0058627D" w:rsidRPr="005B577D" w:rsidRDefault="0058627D" w:rsidP="00434A42">
            <w:pPr>
              <w:tabs>
                <w:tab w:val="left" w:pos="5305"/>
              </w:tabs>
              <w:jc w:val="center"/>
              <w:rPr>
                <w:rtl/>
                <w:lang w:eastAsia="en-US"/>
              </w:rPr>
            </w:pPr>
          </w:p>
        </w:tc>
      </w:tr>
      <w:tr w:rsidR="00B030AE" w:rsidRPr="00B030AE" w:rsidTr="00162CA4">
        <w:trPr>
          <w:trHeight w:hRule="exact" w:val="210"/>
          <w:jc w:val="center"/>
        </w:trPr>
        <w:tc>
          <w:tcPr>
            <w:tcW w:w="1081" w:type="dxa"/>
            <w:vAlign w:val="center"/>
          </w:tcPr>
          <w:p w:rsidR="00B030AE" w:rsidRPr="00B030AE" w:rsidRDefault="00B030AE" w:rsidP="00650146">
            <w:pPr>
              <w:tabs>
                <w:tab w:val="left" w:pos="5305"/>
              </w:tabs>
              <w:rPr>
                <w:b/>
                <w:bCs/>
                <w:sz w:val="8"/>
                <w:szCs w:val="8"/>
                <w:rtl/>
                <w:lang w:eastAsia="en-US"/>
              </w:rPr>
            </w:pPr>
          </w:p>
        </w:tc>
        <w:tc>
          <w:tcPr>
            <w:tcW w:w="6081" w:type="dxa"/>
            <w:vAlign w:val="center"/>
          </w:tcPr>
          <w:p w:rsidR="00B030AE" w:rsidRPr="00B030AE" w:rsidRDefault="00B030AE" w:rsidP="00650146">
            <w:pPr>
              <w:tabs>
                <w:tab w:val="left" w:pos="5305"/>
              </w:tabs>
              <w:bidi w:val="0"/>
              <w:rPr>
                <w:sz w:val="8"/>
                <w:szCs w:val="8"/>
                <w:lang w:eastAsia="en-US"/>
              </w:rPr>
            </w:pPr>
          </w:p>
        </w:tc>
        <w:tc>
          <w:tcPr>
            <w:tcW w:w="1910" w:type="dxa"/>
            <w:vAlign w:val="center"/>
          </w:tcPr>
          <w:p w:rsidR="00B030AE" w:rsidRPr="00B030AE" w:rsidRDefault="00B030AE" w:rsidP="00650146">
            <w:pPr>
              <w:tabs>
                <w:tab w:val="left" w:pos="5305"/>
              </w:tabs>
              <w:rPr>
                <w:b/>
                <w:bCs/>
                <w:sz w:val="8"/>
                <w:szCs w:val="8"/>
                <w:rtl/>
                <w:lang w:eastAsia="en-US"/>
              </w:rPr>
            </w:pPr>
          </w:p>
        </w:tc>
      </w:tr>
      <w:tr w:rsidR="00162CA4" w:rsidRPr="005B577D" w:rsidTr="00162CA4">
        <w:trPr>
          <w:trHeight w:hRule="exact" w:val="397"/>
          <w:jc w:val="center"/>
        </w:trPr>
        <w:tc>
          <w:tcPr>
            <w:tcW w:w="1081" w:type="dxa"/>
            <w:vAlign w:val="center"/>
          </w:tcPr>
          <w:p w:rsidR="00162CA4" w:rsidRPr="00162CA4" w:rsidRDefault="00162CA4" w:rsidP="009A3ADA">
            <w:pPr>
              <w:tabs>
                <w:tab w:val="left" w:pos="5305"/>
              </w:tabs>
              <w:bidi w:val="0"/>
              <w:jc w:val="center"/>
              <w:rPr>
                <w:b/>
                <w:bCs/>
                <w:lang w:eastAsia="en-US"/>
              </w:rPr>
            </w:pPr>
            <w:r w:rsidRPr="00162CA4">
              <w:rPr>
                <w:b/>
                <w:bCs/>
                <w:lang w:eastAsia="en-US"/>
              </w:rPr>
              <w:t>[</w:t>
            </w:r>
            <w:r w:rsidR="009A3ADA">
              <w:rPr>
                <w:b/>
                <w:bCs/>
                <w:lang w:eastAsia="en-US"/>
              </w:rPr>
              <w:t>45</w:t>
            </w:r>
            <w:r w:rsidRPr="00162CA4">
              <w:rPr>
                <w:b/>
                <w:bCs/>
                <w:lang w:eastAsia="en-US"/>
              </w:rPr>
              <w:t>]</w:t>
            </w:r>
          </w:p>
        </w:tc>
        <w:tc>
          <w:tcPr>
            <w:tcW w:w="6081" w:type="dxa"/>
            <w:vAlign w:val="center"/>
          </w:tcPr>
          <w:p w:rsidR="00162CA4" w:rsidRPr="005B577D" w:rsidRDefault="00162CA4" w:rsidP="00434A42">
            <w:pPr>
              <w:tabs>
                <w:tab w:val="left" w:pos="5305"/>
              </w:tabs>
              <w:jc w:val="right"/>
              <w:rPr>
                <w:rtl/>
                <w:lang w:eastAsia="en-US"/>
              </w:rPr>
            </w:pPr>
            <w:r w:rsidRPr="005B577D">
              <w:rPr>
                <w:b/>
                <w:bCs/>
                <w:lang w:eastAsia="en-US"/>
              </w:rPr>
              <w:t>Methodology and Data Quality</w:t>
            </w:r>
          </w:p>
        </w:tc>
        <w:tc>
          <w:tcPr>
            <w:tcW w:w="1910" w:type="dxa"/>
            <w:vAlign w:val="center"/>
          </w:tcPr>
          <w:p w:rsidR="00162CA4" w:rsidRPr="005B577D" w:rsidRDefault="00162CA4" w:rsidP="00434A42">
            <w:pPr>
              <w:tabs>
                <w:tab w:val="left" w:pos="5305"/>
              </w:tabs>
              <w:jc w:val="right"/>
              <w:rPr>
                <w:b/>
                <w:bCs/>
                <w:rtl/>
                <w:lang w:eastAsia="en-US"/>
              </w:rPr>
            </w:pPr>
            <w:r w:rsidRPr="00B030AE">
              <w:rPr>
                <w:rFonts w:cs="Simplified Arabic"/>
                <w:lang w:eastAsia="en-US"/>
              </w:rPr>
              <w:t>Chapter Two:</w:t>
            </w: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45</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2.1</w:t>
            </w:r>
            <w:r w:rsidRPr="005B577D">
              <w:rPr>
                <w:rtl/>
                <w:lang w:eastAsia="en-US"/>
              </w:rPr>
              <w:t xml:space="preserve"> </w:t>
            </w:r>
            <w:r w:rsidRPr="005B577D">
              <w:rPr>
                <w:lang w:eastAsia="en-US"/>
              </w:rPr>
              <w:t xml:space="preserve"> </w:t>
            </w:r>
            <w:r w:rsidRPr="005B577D">
              <w:t>Survey Questionnaire</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45</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2.2</w:t>
            </w:r>
            <w:r w:rsidRPr="005B577D">
              <w:rPr>
                <w:rtl/>
                <w:lang w:eastAsia="en-US"/>
              </w:rPr>
              <w:t xml:space="preserve"> </w:t>
            </w:r>
            <w:r w:rsidRPr="005B577D">
              <w:rPr>
                <w:lang w:eastAsia="en-US"/>
              </w:rPr>
              <w:t xml:space="preserve"> Sampling Frame</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46</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2.3</w:t>
            </w:r>
            <w:r w:rsidRPr="005B577D">
              <w:rPr>
                <w:lang w:eastAsia="en-US"/>
              </w:rPr>
              <w:t xml:space="preserve"> </w:t>
            </w:r>
            <w:r w:rsidRPr="005B577D">
              <w:t>Weighting</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47</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2.4 Field Operations</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50</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2.5 Response Rates</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51</w:t>
            </w:r>
            <w:r>
              <w:rPr>
                <w:lang w:eastAsia="en-US"/>
              </w:rPr>
              <w:t>]</w:t>
            </w:r>
          </w:p>
        </w:tc>
        <w:tc>
          <w:tcPr>
            <w:tcW w:w="6081" w:type="dxa"/>
            <w:vAlign w:val="center"/>
          </w:tcPr>
          <w:p w:rsidR="00162CA4" w:rsidRPr="005B577D" w:rsidRDefault="00162CA4" w:rsidP="00434A42">
            <w:pPr>
              <w:tabs>
                <w:tab w:val="left" w:pos="5305"/>
              </w:tabs>
              <w:bidi w:val="0"/>
              <w:rPr>
                <w:lang w:eastAsia="en-US"/>
              </w:rPr>
            </w:pPr>
            <w:r>
              <w:rPr>
                <w:lang w:eastAsia="en-US"/>
              </w:rPr>
              <w:t>2.6 Data Processing</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52</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2.7 Data Validity</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52</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2.8 Quality Control</w:t>
            </w:r>
          </w:p>
        </w:tc>
        <w:tc>
          <w:tcPr>
            <w:tcW w:w="1910" w:type="dxa"/>
            <w:vAlign w:val="center"/>
          </w:tcPr>
          <w:p w:rsidR="00162CA4" w:rsidRPr="005B577D" w:rsidRDefault="00162CA4" w:rsidP="00434A42">
            <w:pPr>
              <w:tabs>
                <w:tab w:val="left" w:pos="5305"/>
              </w:tabs>
              <w:jc w:val="center"/>
              <w:rPr>
                <w:rtl/>
                <w:lang w:eastAsia="en-US"/>
              </w:rPr>
            </w:pPr>
          </w:p>
        </w:tc>
      </w:tr>
      <w:tr w:rsidR="00162CA4" w:rsidRPr="005B577D" w:rsidTr="00162CA4">
        <w:trPr>
          <w:trHeight w:hRule="exact" w:val="397"/>
          <w:jc w:val="center"/>
        </w:trPr>
        <w:tc>
          <w:tcPr>
            <w:tcW w:w="1081" w:type="dxa"/>
            <w:vAlign w:val="center"/>
          </w:tcPr>
          <w:p w:rsidR="00162CA4" w:rsidRPr="005B577D" w:rsidRDefault="00162CA4" w:rsidP="009A3ADA">
            <w:pPr>
              <w:tabs>
                <w:tab w:val="left" w:pos="5305"/>
              </w:tabs>
              <w:bidi w:val="0"/>
              <w:jc w:val="center"/>
              <w:rPr>
                <w:lang w:eastAsia="en-US"/>
              </w:rPr>
            </w:pPr>
            <w:r>
              <w:rPr>
                <w:lang w:eastAsia="en-US"/>
              </w:rPr>
              <w:t>[</w:t>
            </w:r>
            <w:r w:rsidR="009A3ADA">
              <w:rPr>
                <w:lang w:eastAsia="en-US"/>
              </w:rPr>
              <w:t>52</w:t>
            </w:r>
            <w:r>
              <w:rPr>
                <w:lang w:eastAsia="en-US"/>
              </w:rPr>
              <w:t>]</w:t>
            </w:r>
          </w:p>
        </w:tc>
        <w:tc>
          <w:tcPr>
            <w:tcW w:w="6081" w:type="dxa"/>
            <w:vAlign w:val="center"/>
          </w:tcPr>
          <w:p w:rsidR="00162CA4" w:rsidRPr="005B577D" w:rsidRDefault="00162CA4" w:rsidP="00434A42">
            <w:pPr>
              <w:tabs>
                <w:tab w:val="left" w:pos="5305"/>
              </w:tabs>
              <w:bidi w:val="0"/>
              <w:rPr>
                <w:rtl/>
                <w:lang w:eastAsia="en-US"/>
              </w:rPr>
            </w:pPr>
            <w:r>
              <w:rPr>
                <w:lang w:eastAsia="en-US"/>
              </w:rPr>
              <w:t>2.9 Technical Remarks</w:t>
            </w:r>
          </w:p>
        </w:tc>
        <w:tc>
          <w:tcPr>
            <w:tcW w:w="1910" w:type="dxa"/>
            <w:vAlign w:val="center"/>
          </w:tcPr>
          <w:p w:rsidR="00162CA4" w:rsidRPr="005B577D" w:rsidRDefault="00162CA4" w:rsidP="00434A42">
            <w:pPr>
              <w:tabs>
                <w:tab w:val="left" w:pos="5305"/>
              </w:tabs>
              <w:jc w:val="center"/>
              <w:rPr>
                <w:rtl/>
                <w:lang w:eastAsia="en-US"/>
              </w:rPr>
            </w:pPr>
          </w:p>
        </w:tc>
      </w:tr>
      <w:tr w:rsidR="00162CA4" w:rsidRPr="00B030AE" w:rsidTr="00162CA4">
        <w:trPr>
          <w:trHeight w:hRule="exact" w:val="210"/>
          <w:jc w:val="center"/>
        </w:trPr>
        <w:tc>
          <w:tcPr>
            <w:tcW w:w="1081" w:type="dxa"/>
            <w:vAlign w:val="center"/>
          </w:tcPr>
          <w:p w:rsidR="00162CA4" w:rsidRPr="00B030AE" w:rsidRDefault="00162CA4" w:rsidP="00650146">
            <w:pPr>
              <w:tabs>
                <w:tab w:val="left" w:pos="5305"/>
              </w:tabs>
              <w:rPr>
                <w:b/>
                <w:bCs/>
                <w:sz w:val="8"/>
                <w:szCs w:val="8"/>
                <w:rtl/>
                <w:lang w:eastAsia="en-US"/>
              </w:rPr>
            </w:pPr>
          </w:p>
        </w:tc>
        <w:tc>
          <w:tcPr>
            <w:tcW w:w="6081" w:type="dxa"/>
            <w:vAlign w:val="center"/>
          </w:tcPr>
          <w:p w:rsidR="00162CA4" w:rsidRPr="00B030AE" w:rsidRDefault="00162CA4" w:rsidP="00650146">
            <w:pPr>
              <w:tabs>
                <w:tab w:val="left" w:pos="5305"/>
              </w:tabs>
              <w:bidi w:val="0"/>
              <w:rPr>
                <w:sz w:val="8"/>
                <w:szCs w:val="8"/>
                <w:lang w:eastAsia="en-US"/>
              </w:rPr>
            </w:pPr>
          </w:p>
        </w:tc>
        <w:tc>
          <w:tcPr>
            <w:tcW w:w="1910" w:type="dxa"/>
            <w:vAlign w:val="center"/>
          </w:tcPr>
          <w:p w:rsidR="00162CA4" w:rsidRPr="00B030AE" w:rsidRDefault="00162CA4" w:rsidP="00650146">
            <w:pPr>
              <w:tabs>
                <w:tab w:val="left" w:pos="5305"/>
              </w:tabs>
              <w:rPr>
                <w:b/>
                <w:bCs/>
                <w:sz w:val="8"/>
                <w:szCs w:val="8"/>
                <w:rtl/>
                <w:lang w:eastAsia="en-US"/>
              </w:rPr>
            </w:pPr>
          </w:p>
        </w:tc>
      </w:tr>
      <w:tr w:rsidR="00162CA4" w:rsidRPr="009968AB" w:rsidTr="00162CA4">
        <w:trPr>
          <w:trHeight w:hRule="exact" w:val="397"/>
          <w:jc w:val="center"/>
        </w:trPr>
        <w:tc>
          <w:tcPr>
            <w:tcW w:w="1081" w:type="dxa"/>
          </w:tcPr>
          <w:p w:rsidR="00162CA4" w:rsidRPr="00B030AE" w:rsidRDefault="00162CA4" w:rsidP="009A3ADA">
            <w:pPr>
              <w:tabs>
                <w:tab w:val="left" w:pos="5305"/>
              </w:tabs>
              <w:bidi w:val="0"/>
              <w:jc w:val="center"/>
              <w:rPr>
                <w:b/>
                <w:bCs/>
                <w:rtl/>
                <w:lang w:eastAsia="en-US"/>
              </w:rPr>
            </w:pPr>
            <w:r w:rsidRPr="00B030AE">
              <w:rPr>
                <w:b/>
                <w:bCs/>
                <w:lang w:eastAsia="en-US"/>
              </w:rPr>
              <w:t>[</w:t>
            </w:r>
            <w:r w:rsidR="009A3ADA">
              <w:rPr>
                <w:b/>
                <w:bCs/>
                <w:lang w:eastAsia="en-US"/>
              </w:rPr>
              <w:t>53</w:t>
            </w:r>
            <w:r w:rsidRPr="00B030AE">
              <w:rPr>
                <w:b/>
                <w:bCs/>
                <w:lang w:eastAsia="en-US"/>
              </w:rPr>
              <w:t>]</w:t>
            </w:r>
          </w:p>
        </w:tc>
        <w:tc>
          <w:tcPr>
            <w:tcW w:w="6081" w:type="dxa"/>
          </w:tcPr>
          <w:p w:rsidR="00162CA4" w:rsidRDefault="00162CA4" w:rsidP="00162CA4">
            <w:pPr>
              <w:tabs>
                <w:tab w:val="left" w:pos="5305"/>
              </w:tabs>
              <w:bidi w:val="0"/>
              <w:rPr>
                <w:b/>
                <w:bCs/>
                <w:lang w:eastAsia="en-US"/>
              </w:rPr>
            </w:pPr>
            <w:r w:rsidRPr="005B577D">
              <w:rPr>
                <w:b/>
                <w:bCs/>
                <w:lang w:eastAsia="en-US"/>
              </w:rPr>
              <w:t>Concepts and Definitions</w:t>
            </w:r>
          </w:p>
          <w:p w:rsidR="00162CA4" w:rsidRPr="009968AB" w:rsidRDefault="00162CA4" w:rsidP="00162CA4">
            <w:pPr>
              <w:tabs>
                <w:tab w:val="left" w:pos="5305"/>
              </w:tabs>
              <w:bidi w:val="0"/>
              <w:rPr>
                <w:b/>
                <w:bCs/>
                <w:rtl/>
                <w:lang w:eastAsia="en-US"/>
              </w:rPr>
            </w:pPr>
          </w:p>
        </w:tc>
        <w:tc>
          <w:tcPr>
            <w:tcW w:w="1910" w:type="dxa"/>
          </w:tcPr>
          <w:p w:rsidR="00162CA4" w:rsidRPr="005B577D" w:rsidRDefault="00162CA4" w:rsidP="00162CA4">
            <w:pPr>
              <w:tabs>
                <w:tab w:val="left" w:pos="5305"/>
              </w:tabs>
              <w:bidi w:val="0"/>
              <w:rPr>
                <w:b/>
                <w:bCs/>
                <w:rtl/>
                <w:lang w:eastAsia="en-US"/>
              </w:rPr>
            </w:pPr>
            <w:r w:rsidRPr="00B030AE">
              <w:rPr>
                <w:rFonts w:cs="Simplified Arabic"/>
                <w:lang w:eastAsia="en-US"/>
              </w:rPr>
              <w:t>Chapter Three:</w:t>
            </w:r>
          </w:p>
        </w:tc>
      </w:tr>
      <w:tr w:rsidR="00162CA4" w:rsidRPr="005B577D" w:rsidTr="00162CA4">
        <w:trPr>
          <w:trHeight w:hRule="exact" w:val="397"/>
          <w:jc w:val="center"/>
        </w:trPr>
        <w:tc>
          <w:tcPr>
            <w:tcW w:w="1081" w:type="dxa"/>
          </w:tcPr>
          <w:p w:rsidR="00162CA4" w:rsidRDefault="00162CA4" w:rsidP="00162CA4">
            <w:pPr>
              <w:tabs>
                <w:tab w:val="left" w:pos="5305"/>
              </w:tabs>
              <w:bidi w:val="0"/>
              <w:jc w:val="center"/>
              <w:rPr>
                <w:b/>
                <w:bCs/>
                <w:lang w:eastAsia="en-US"/>
              </w:rPr>
            </w:pPr>
            <w:r w:rsidRPr="00B030AE">
              <w:rPr>
                <w:b/>
                <w:bCs/>
                <w:lang w:eastAsia="en-US"/>
              </w:rPr>
              <w:t>[5</w:t>
            </w:r>
            <w:r>
              <w:rPr>
                <w:rFonts w:hint="cs"/>
                <w:b/>
                <w:bCs/>
                <w:rtl/>
                <w:lang w:eastAsia="en-US"/>
              </w:rPr>
              <w:t>9</w:t>
            </w:r>
            <w:r w:rsidRPr="00B030AE">
              <w:rPr>
                <w:b/>
                <w:bCs/>
                <w:lang w:eastAsia="en-US"/>
              </w:rPr>
              <w:t>]</w:t>
            </w:r>
          </w:p>
        </w:tc>
        <w:tc>
          <w:tcPr>
            <w:tcW w:w="6081" w:type="dxa"/>
          </w:tcPr>
          <w:p w:rsidR="00162CA4" w:rsidRPr="006B28F2" w:rsidRDefault="00162CA4" w:rsidP="00162CA4">
            <w:pPr>
              <w:pStyle w:val="BodyText2"/>
              <w:bidi w:val="0"/>
              <w:ind w:right="1"/>
              <w:jc w:val="left"/>
              <w:rPr>
                <w:b/>
                <w:bCs/>
                <w:lang w:eastAsia="en-US"/>
              </w:rPr>
            </w:pPr>
            <w:r w:rsidRPr="006B28F2">
              <w:rPr>
                <w:b/>
                <w:bCs/>
                <w:lang w:eastAsia="en-US"/>
              </w:rPr>
              <w:t>References</w:t>
            </w:r>
          </w:p>
          <w:p w:rsidR="00162CA4" w:rsidRPr="005B577D" w:rsidRDefault="00162CA4" w:rsidP="00162CA4">
            <w:pPr>
              <w:tabs>
                <w:tab w:val="left" w:pos="5305"/>
              </w:tabs>
              <w:bidi w:val="0"/>
              <w:rPr>
                <w:b/>
                <w:bCs/>
                <w:lang w:eastAsia="en-US"/>
              </w:rPr>
            </w:pPr>
          </w:p>
        </w:tc>
        <w:tc>
          <w:tcPr>
            <w:tcW w:w="1910" w:type="dxa"/>
          </w:tcPr>
          <w:p w:rsidR="00162CA4" w:rsidRPr="005B577D" w:rsidRDefault="00162CA4" w:rsidP="00162CA4">
            <w:pPr>
              <w:tabs>
                <w:tab w:val="left" w:pos="5305"/>
              </w:tabs>
              <w:bidi w:val="0"/>
              <w:rPr>
                <w:b/>
                <w:bCs/>
                <w:rtl/>
                <w:lang w:eastAsia="en-US"/>
              </w:rPr>
            </w:pPr>
          </w:p>
        </w:tc>
      </w:tr>
      <w:tr w:rsidR="00162CA4" w:rsidRPr="005B577D" w:rsidTr="00162CA4">
        <w:trPr>
          <w:trHeight w:hRule="exact" w:val="397"/>
          <w:jc w:val="center"/>
        </w:trPr>
        <w:tc>
          <w:tcPr>
            <w:tcW w:w="1081" w:type="dxa"/>
          </w:tcPr>
          <w:p w:rsidR="00162CA4" w:rsidRPr="00B030AE" w:rsidRDefault="00162CA4" w:rsidP="00162CA4">
            <w:pPr>
              <w:tabs>
                <w:tab w:val="left" w:pos="5305"/>
              </w:tabs>
              <w:bidi w:val="0"/>
              <w:jc w:val="center"/>
              <w:rPr>
                <w:b/>
                <w:bCs/>
                <w:rtl/>
                <w:lang w:eastAsia="en-US"/>
              </w:rPr>
            </w:pPr>
            <w:r>
              <w:rPr>
                <w:b/>
                <w:bCs/>
                <w:lang w:eastAsia="en-US"/>
              </w:rPr>
              <w:t>67</w:t>
            </w:r>
          </w:p>
        </w:tc>
        <w:tc>
          <w:tcPr>
            <w:tcW w:w="6081" w:type="dxa"/>
          </w:tcPr>
          <w:p w:rsidR="00162CA4" w:rsidRPr="005B577D" w:rsidRDefault="00162CA4" w:rsidP="00162CA4">
            <w:pPr>
              <w:tabs>
                <w:tab w:val="left" w:pos="5305"/>
              </w:tabs>
              <w:bidi w:val="0"/>
              <w:rPr>
                <w:b/>
                <w:bCs/>
                <w:rtl/>
                <w:lang w:eastAsia="en-US"/>
              </w:rPr>
            </w:pPr>
            <w:r w:rsidRPr="005B577D">
              <w:rPr>
                <w:b/>
                <w:bCs/>
                <w:lang w:eastAsia="en-US"/>
              </w:rPr>
              <w:t xml:space="preserve">Tables </w:t>
            </w:r>
          </w:p>
        </w:tc>
        <w:tc>
          <w:tcPr>
            <w:tcW w:w="1910" w:type="dxa"/>
          </w:tcPr>
          <w:p w:rsidR="00162CA4" w:rsidRPr="005B577D" w:rsidRDefault="00162CA4" w:rsidP="00162CA4">
            <w:pPr>
              <w:tabs>
                <w:tab w:val="left" w:pos="5305"/>
              </w:tabs>
              <w:bidi w:val="0"/>
              <w:rPr>
                <w:b/>
                <w:bCs/>
                <w:rtl/>
                <w:lang w:eastAsia="en-US"/>
              </w:rPr>
            </w:pPr>
          </w:p>
        </w:tc>
      </w:tr>
    </w:tbl>
    <w:p w:rsidR="0058627D" w:rsidRDefault="0058627D" w:rsidP="0058627D">
      <w:pPr>
        <w:bidi w:val="0"/>
        <w:jc w:val="center"/>
        <w:rPr>
          <w:b/>
          <w:bCs/>
        </w:rPr>
      </w:pPr>
    </w:p>
    <w:p w:rsidR="00CC51DB" w:rsidRPr="00162CA4" w:rsidRDefault="008E3727" w:rsidP="004B6875">
      <w:pPr>
        <w:bidi w:val="0"/>
        <w:jc w:val="center"/>
        <w:rPr>
          <w:b/>
          <w:bCs/>
          <w:sz w:val="28"/>
          <w:szCs w:val="28"/>
        </w:rPr>
      </w:pPr>
      <w:r w:rsidRPr="00162CA4">
        <w:rPr>
          <w:b/>
          <w:bCs/>
          <w:sz w:val="28"/>
          <w:szCs w:val="28"/>
        </w:rPr>
        <w:br w:type="page"/>
      </w:r>
      <w:r w:rsidR="0058627D" w:rsidRPr="00162CA4">
        <w:rPr>
          <w:b/>
          <w:bCs/>
          <w:sz w:val="28"/>
          <w:szCs w:val="28"/>
        </w:rPr>
        <w:lastRenderedPageBreak/>
        <w:br w:type="page"/>
      </w:r>
      <w:r w:rsidR="00CC51DB" w:rsidRPr="00162CA4">
        <w:rPr>
          <w:b/>
          <w:bCs/>
          <w:sz w:val="28"/>
          <w:szCs w:val="28"/>
        </w:rPr>
        <w:lastRenderedPageBreak/>
        <w:t>List of Tables</w:t>
      </w:r>
    </w:p>
    <w:p w:rsidR="004A76D9" w:rsidRPr="004473AD" w:rsidRDefault="00CC4AA1" w:rsidP="00861A56">
      <w:pPr>
        <w:tabs>
          <w:tab w:val="left" w:pos="3503"/>
          <w:tab w:val="center" w:pos="4536"/>
        </w:tabs>
        <w:rPr>
          <w:rFonts w:ascii="Arial" w:hAnsi="Arial" w:cs="Simplified Arabic"/>
          <w:sz w:val="16"/>
          <w:szCs w:val="16"/>
        </w:rPr>
      </w:pPr>
      <w:r>
        <w:rPr>
          <w:rFonts w:ascii="Arial" w:hAnsi="Arial" w:cs="Simplified Arabic"/>
          <w:sz w:val="14"/>
          <w:szCs w:val="14"/>
          <w:rtl/>
        </w:rPr>
        <w:tab/>
      </w:r>
      <w:r w:rsidR="00861A56">
        <w:rPr>
          <w:rFonts w:ascii="Arial" w:hAnsi="Arial" w:cs="Simplified Arabic"/>
          <w:sz w:val="16"/>
          <w:szCs w:val="16"/>
        </w:rPr>
        <w:tab/>
      </w:r>
    </w:p>
    <w:tbl>
      <w:tblPr>
        <w:tblW w:w="9356" w:type="dxa"/>
        <w:jc w:val="center"/>
        <w:tblLayout w:type="fixed"/>
        <w:tblCellMar>
          <w:left w:w="107" w:type="dxa"/>
          <w:right w:w="107" w:type="dxa"/>
        </w:tblCellMar>
        <w:tblLook w:val="0000"/>
      </w:tblPr>
      <w:tblGrid>
        <w:gridCol w:w="1276"/>
        <w:gridCol w:w="7230"/>
        <w:gridCol w:w="850"/>
      </w:tblGrid>
      <w:tr w:rsidR="00386807" w:rsidRPr="00162CA4" w:rsidTr="00700DAD">
        <w:trPr>
          <w:trHeight w:val="584"/>
          <w:tblHeader/>
          <w:jc w:val="center"/>
        </w:trPr>
        <w:tc>
          <w:tcPr>
            <w:tcW w:w="1276" w:type="dxa"/>
            <w:vAlign w:val="center"/>
          </w:tcPr>
          <w:p w:rsidR="00386807" w:rsidRPr="00162CA4" w:rsidRDefault="00386807" w:rsidP="00162CA4">
            <w:pPr>
              <w:bidi w:val="0"/>
              <w:rPr>
                <w:b/>
                <w:bCs/>
                <w:rtl/>
              </w:rPr>
            </w:pPr>
            <w:r w:rsidRPr="00162CA4">
              <w:rPr>
                <w:b/>
                <w:bCs/>
              </w:rPr>
              <w:t>Table</w:t>
            </w:r>
          </w:p>
        </w:tc>
        <w:tc>
          <w:tcPr>
            <w:tcW w:w="7230" w:type="dxa"/>
            <w:vAlign w:val="center"/>
          </w:tcPr>
          <w:p w:rsidR="00386807" w:rsidRPr="00162CA4" w:rsidRDefault="00386807" w:rsidP="00700DAD">
            <w:pPr>
              <w:bidi w:val="0"/>
              <w:rPr>
                <w:b/>
                <w:bCs/>
                <w:rtl/>
              </w:rPr>
            </w:pPr>
          </w:p>
        </w:tc>
        <w:tc>
          <w:tcPr>
            <w:tcW w:w="850" w:type="dxa"/>
            <w:vAlign w:val="center"/>
          </w:tcPr>
          <w:p w:rsidR="00386807" w:rsidRPr="00162CA4" w:rsidRDefault="00386807" w:rsidP="00700DAD">
            <w:pPr>
              <w:bidi w:val="0"/>
              <w:jc w:val="center"/>
              <w:rPr>
                <w:b/>
                <w:bCs/>
                <w:rtl/>
              </w:rPr>
            </w:pPr>
            <w:r w:rsidRPr="00162CA4">
              <w:rPr>
                <w:b/>
                <w:bCs/>
              </w:rPr>
              <w:t>Page</w:t>
            </w:r>
          </w:p>
        </w:tc>
      </w:tr>
      <w:tr w:rsidR="004B6875" w:rsidRPr="00162CA4" w:rsidTr="00700DAD">
        <w:trPr>
          <w:trHeight w:val="20"/>
          <w:jc w:val="center"/>
        </w:trPr>
        <w:tc>
          <w:tcPr>
            <w:tcW w:w="1276" w:type="dxa"/>
          </w:tcPr>
          <w:p w:rsidR="004B6875" w:rsidRPr="00162CA4" w:rsidRDefault="004B6875" w:rsidP="00700DAD">
            <w:pPr>
              <w:bidi w:val="0"/>
              <w:rPr>
                <w:rtl/>
              </w:rPr>
            </w:pPr>
            <w:r w:rsidRPr="00162CA4">
              <w:rPr>
                <w:b/>
                <w:bCs/>
                <w:color w:val="000000"/>
              </w:rPr>
              <w:t>Table 1:</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Palestinian Persons by Main Demographic Characteristics and Region, 2014</w:t>
            </w:r>
          </w:p>
        </w:tc>
        <w:tc>
          <w:tcPr>
            <w:tcW w:w="850" w:type="dxa"/>
          </w:tcPr>
          <w:p w:rsidR="004B6875" w:rsidRPr="00162CA4" w:rsidRDefault="002312B8" w:rsidP="00700DAD">
            <w:pPr>
              <w:jc w:val="center"/>
              <w:rPr>
                <w:b/>
                <w:bCs/>
                <w:sz w:val="28"/>
                <w:szCs w:val="28"/>
                <w:rtl/>
                <w:lang w:eastAsia="en-US"/>
              </w:rPr>
            </w:pPr>
            <w:r>
              <w:rPr>
                <w:b/>
                <w:bCs/>
                <w:lang w:eastAsia="en-US"/>
              </w:rPr>
              <w:t>69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rtl/>
              </w:rPr>
            </w:pPr>
            <w:r w:rsidRPr="00162CA4">
              <w:rPr>
                <w:b/>
                <w:bCs/>
                <w:color w:val="000000"/>
              </w:rPr>
              <w:t>Table 2:</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Kind of Dwelling Unit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tl/>
              </w:rPr>
            </w:pPr>
            <w:r w:rsidRPr="00162CA4">
              <w:rPr>
                <w:b/>
                <w:bCs/>
                <w:color w:val="000000"/>
              </w:rPr>
              <w:t>Table 3:</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Number of Rooms in the Housing Unit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Number of Rooms for Sleeping in Housing Unit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386807">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Type of Tenure of Dwelling Unit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Main Source of Water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Main Source of Connection to Electricity,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Main Source of Connection to Sewage System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Water Public Networks Disrupted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Electricity Public Networks Disrupted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79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by Source of Drinking Water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9</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That Have Durable Goods by Type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10</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That Receive Assistance by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11</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That Receive Assistance by Background Characteristics of Households,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Assistances those Households in Palestine Received by Assistance Type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13</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(Regardless of the fact that received assistance or not) Received by type of assistance the family or any member needs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14</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Assistances those Households in Palestine Received by Assistance Source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162CA4">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Assistances those Households in Palestine Received by Periodicity of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162CA4">
            <w:pPr>
              <w:bidi w:val="0"/>
              <w:rPr>
                <w:b/>
                <w:bCs/>
                <w:color w:val="000000"/>
                <w:sz w:val="8"/>
                <w:szCs w:val="8"/>
              </w:rPr>
            </w:pPr>
          </w:p>
        </w:tc>
        <w:tc>
          <w:tcPr>
            <w:tcW w:w="850" w:type="dxa"/>
            <w:vAlign w:val="center"/>
          </w:tcPr>
          <w:p w:rsidR="004B6875" w:rsidRPr="00162CA4" w:rsidRDefault="004B6875" w:rsidP="00162CA4">
            <w:pPr>
              <w:bidi w:val="0"/>
              <w:rPr>
                <w:b/>
                <w:bCs/>
                <w:color w:val="000000"/>
                <w:sz w:val="8"/>
                <w:szCs w:val="8"/>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Level of Satisfaction with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that Households in Palestine Received and dissatisfied by Reason of Dissatisfaction with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Assistance Type, Periodicity of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19</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Assistance Type and Level of Satisfaction with Assistance,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89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20</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that Households in Palestine Received and dissatisfied by Assistance Type and Reason of Dissatisfaction with Assistance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21</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Assistance Source, Periodicity of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Assistances those Households in Palestine Received by Assistance Source and Level of Satisfaction with Assistance,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23</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that Households in Palestine Received and dissatisfied by Assistance Source and Reason of Dissatisfaction with Assistance,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24</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that not received Assistances by Main Reason of not received Assistance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(Regardless of the fact that you received assistance or not) by Level of Need the Assistance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(Regardless of the fact that you received assistance or not) by opinion how efficient or effective do you see the targeting of the needy sectors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(Regardless of the fact that you received assistance or not) by opinion on the Assistance Impact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color w:val="000000"/>
                <w:sz w:val="10"/>
                <w:szCs w:val="10"/>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that any of the family members faced traumatic shocks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29</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that purchase its needs of food products on credit (because of inability to cover cost) by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sz w:val="8"/>
                <w:szCs w:val="8"/>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30</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by Sex of the Breadwinner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sz w:val="8"/>
                <w:szCs w:val="8"/>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31</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162CA4">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that Purchase its Needs of Food Products on Credit (because of inability to cover cost) and Background Characteristics of Households,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99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162CA4">
            <w:pPr>
              <w:keepNext/>
              <w:bidi w:val="0"/>
              <w:rPr>
                <w:b/>
                <w:bCs/>
                <w:color w:val="000000"/>
              </w:rPr>
            </w:pPr>
            <w:r w:rsidRPr="00162CA4">
              <w:rPr>
                <w:b/>
                <w:bCs/>
                <w:sz w:val="22"/>
                <w:szCs w:val="22"/>
              </w:rPr>
              <w:lastRenderedPageBreak/>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162CA4">
            <w:pPr>
              <w:pStyle w:val="BodyText"/>
              <w:keepN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Opinion on the household’s living conditions (economic situation) in general to the second half of 2014 and Governorate, 2014</w:t>
            </w:r>
          </w:p>
        </w:tc>
        <w:tc>
          <w:tcPr>
            <w:tcW w:w="850" w:type="dxa"/>
          </w:tcPr>
          <w:p w:rsidR="004B6875" w:rsidRPr="00162CA4" w:rsidRDefault="002312B8" w:rsidP="00162CA4">
            <w:pPr>
              <w:keepNext/>
              <w:bidi w:val="0"/>
              <w:jc w:val="center"/>
              <w:rPr>
                <w:b/>
                <w:bCs/>
                <w:color w:val="000000"/>
                <w:lang w:eastAsia="en-US"/>
              </w:rPr>
            </w:pPr>
            <w:r>
              <w:rPr>
                <w:b/>
                <w:bCs/>
                <w:color w:val="000000"/>
                <w:lang w:eastAsia="en-US"/>
              </w:rPr>
              <w:t>100</w:t>
            </w:r>
          </w:p>
        </w:tc>
      </w:tr>
      <w:tr w:rsidR="004B6875" w:rsidRPr="00162CA4" w:rsidTr="00700DAD">
        <w:trPr>
          <w:trHeight w:hRule="exact" w:val="113"/>
          <w:jc w:val="center"/>
        </w:trPr>
        <w:tc>
          <w:tcPr>
            <w:tcW w:w="1276" w:type="dxa"/>
          </w:tcPr>
          <w:p w:rsidR="004B6875" w:rsidRPr="00162CA4" w:rsidRDefault="004B6875" w:rsidP="00162CA4">
            <w:pPr>
              <w:keepNext/>
              <w:bidi w:val="0"/>
              <w:rPr>
                <w:b/>
                <w:bCs/>
                <w:color w:val="000000"/>
                <w:sz w:val="8"/>
                <w:szCs w:val="8"/>
              </w:rPr>
            </w:pPr>
          </w:p>
        </w:tc>
        <w:tc>
          <w:tcPr>
            <w:tcW w:w="7230" w:type="dxa"/>
          </w:tcPr>
          <w:p w:rsidR="004B6875" w:rsidRPr="00162CA4" w:rsidRDefault="004B6875" w:rsidP="00162CA4">
            <w:pPr>
              <w:pStyle w:val="BodyText"/>
              <w:keepNext/>
              <w:bidi w:val="0"/>
              <w:rPr>
                <w:rFonts w:cs="Times New Roman"/>
                <w:b/>
                <w:bCs/>
                <w:sz w:val="8"/>
                <w:szCs w:val="8"/>
                <w:lang w:eastAsia="en-US"/>
              </w:rPr>
            </w:pPr>
          </w:p>
        </w:tc>
        <w:tc>
          <w:tcPr>
            <w:tcW w:w="850" w:type="dxa"/>
          </w:tcPr>
          <w:p w:rsidR="004B6875" w:rsidRPr="00162CA4" w:rsidRDefault="004B6875" w:rsidP="00162CA4">
            <w:pPr>
              <w:keepNext/>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162CA4">
            <w:pPr>
              <w:keepNext/>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33</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162CA4">
            <w:pPr>
              <w:pStyle w:val="BodyText"/>
              <w:keepN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Opinion on the household’s living conditions (economic situation) in general to the second half of 2014 and Background Characteristics of          Households, 2014</w:t>
            </w:r>
          </w:p>
        </w:tc>
        <w:tc>
          <w:tcPr>
            <w:tcW w:w="850" w:type="dxa"/>
          </w:tcPr>
          <w:p w:rsidR="004B6875" w:rsidRPr="00162CA4" w:rsidRDefault="002312B8" w:rsidP="00162CA4">
            <w:pPr>
              <w:keepNext/>
              <w:bidi w:val="0"/>
              <w:jc w:val="center"/>
              <w:rPr>
                <w:b/>
                <w:bCs/>
                <w:color w:val="000000"/>
                <w:lang w:eastAsia="en-US"/>
              </w:rPr>
            </w:pPr>
            <w:r>
              <w:rPr>
                <w:b/>
                <w:bCs/>
                <w:color w:val="000000"/>
                <w:lang w:eastAsia="en-US"/>
              </w:rPr>
              <w:t>101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34</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Opinion on the household’s living conditions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102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Opinion on the household’s living conditions and Background Characteristics of Households,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103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how long that thinks can sustain itself financially in the future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104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how long that thinks can sustain itself financially in the future and Background Characteristics of Households, 2014</w:t>
            </w:r>
            <w:r w:rsidRPr="00162CA4">
              <w:rPr>
                <w:rFonts w:cs="Times New Roman"/>
                <w:snapToGrid w:val="0"/>
                <w:sz w:val="24"/>
                <w:rtl/>
                <w:lang w:val="en-AU" w:eastAsia="en-US"/>
              </w:rPr>
              <w:tab/>
            </w:r>
          </w:p>
        </w:tc>
        <w:tc>
          <w:tcPr>
            <w:tcW w:w="850" w:type="dxa"/>
          </w:tcPr>
          <w:p w:rsidR="004B6875" w:rsidRPr="00162CA4" w:rsidRDefault="002312B8" w:rsidP="00700DAD">
            <w:pPr>
              <w:bidi w:val="0"/>
              <w:jc w:val="center"/>
              <w:rPr>
                <w:b/>
                <w:bCs/>
                <w:color w:val="000000"/>
                <w:lang w:eastAsia="en-US"/>
              </w:rPr>
            </w:pPr>
            <w:r>
              <w:rPr>
                <w:b/>
                <w:bCs/>
                <w:color w:val="000000"/>
                <w:lang w:eastAsia="en-US"/>
              </w:rPr>
              <w:t>105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Main Source of Income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108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39</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that Owned Agricultural by Type and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108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40</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the Impact of Restrictions on mobility during the Second Half of 2014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109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41</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Palestine by the Impact of Restrictions on mobility during the Second Half of 2014 and Background Characteristics of Households</w:t>
            </w:r>
          </w:p>
        </w:tc>
        <w:tc>
          <w:tcPr>
            <w:tcW w:w="850" w:type="dxa"/>
          </w:tcPr>
          <w:p w:rsidR="004B6875" w:rsidRPr="00162CA4" w:rsidRDefault="002312B8" w:rsidP="00700DAD">
            <w:pPr>
              <w:bidi w:val="0"/>
              <w:jc w:val="center"/>
              <w:rPr>
                <w:b/>
                <w:bCs/>
                <w:color w:val="000000"/>
                <w:lang w:eastAsia="en-US"/>
              </w:rPr>
            </w:pPr>
            <w:r>
              <w:rPr>
                <w:b/>
                <w:bCs/>
                <w:color w:val="000000"/>
                <w:lang w:eastAsia="en-US"/>
              </w:rPr>
              <w:t>110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 xml:space="preserve">Percentage Distribution of Households in Palestine that it or any of its members considered immigration Since 2009 by Number of Members considered immigration and Governorate, 2014 </w:t>
            </w:r>
          </w:p>
        </w:tc>
        <w:tc>
          <w:tcPr>
            <w:tcW w:w="850" w:type="dxa"/>
          </w:tcPr>
          <w:p w:rsidR="004B6875" w:rsidRPr="00162CA4" w:rsidRDefault="002312B8" w:rsidP="00700DAD">
            <w:pPr>
              <w:bidi w:val="0"/>
              <w:jc w:val="center"/>
              <w:rPr>
                <w:b/>
                <w:bCs/>
                <w:color w:val="000000"/>
                <w:lang w:eastAsia="en-US"/>
              </w:rPr>
            </w:pPr>
            <w:r>
              <w:rPr>
                <w:b/>
                <w:bCs/>
                <w:color w:val="000000"/>
                <w:lang w:eastAsia="en-US"/>
              </w:rPr>
              <w:t>111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43</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Gaza Strip by Changing the Residence due to Aggression of 2014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color w:val="000000"/>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44</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 xml:space="preserve">Percentage of Persons in Gaza Strip who left their Main Residence during the Aggression of 2014 and their Percentage Distribution of Persons by Governorate and the first place that they moved to </w:t>
            </w:r>
          </w:p>
        </w:tc>
        <w:tc>
          <w:tcPr>
            <w:tcW w:w="850" w:type="dxa"/>
          </w:tcPr>
          <w:p w:rsidR="004B6875" w:rsidRPr="00162CA4" w:rsidRDefault="002312B8" w:rsidP="00700DAD">
            <w:pPr>
              <w:bidi w:val="0"/>
              <w:jc w:val="center"/>
              <w:rPr>
                <w:b/>
                <w:bCs/>
                <w:color w:val="000000"/>
                <w:lang w:eastAsia="en-US"/>
              </w:rPr>
            </w:pPr>
            <w:r>
              <w:rPr>
                <w:b/>
                <w:bCs/>
                <w:color w:val="000000"/>
                <w:lang w:eastAsia="en-US"/>
              </w:rPr>
              <w:t>113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45</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persons in Gaza Strip who left their main residence during the aggression of 2014, and their percentage distribution of persons by number of times they moved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46</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in Gaza Strip of wage employees by changes on their wages during the aggression of  2014, Sex and Governorate</w:t>
            </w:r>
          </w:p>
          <w:p w:rsidR="004B6875" w:rsidRPr="00162CA4" w:rsidRDefault="004B6875" w:rsidP="00700DAD">
            <w:pPr>
              <w:pStyle w:val="BodyText"/>
              <w:widowControl w:val="0"/>
              <w:bidi w:val="0"/>
              <w:rPr>
                <w:rFonts w:cs="Times New Roman"/>
                <w:snapToGrid w:val="0"/>
                <w:sz w:val="24"/>
                <w:lang w:val="en-AU" w:eastAsia="en-US"/>
              </w:rPr>
            </w:pPr>
          </w:p>
          <w:p w:rsidR="004B6875" w:rsidRPr="00162CA4" w:rsidRDefault="004B6875" w:rsidP="00700DAD">
            <w:pPr>
              <w:pStyle w:val="BodyText"/>
              <w:widowControl w:val="0"/>
              <w:bidi w:val="0"/>
              <w:rPr>
                <w:rFonts w:cs="Times New Roman"/>
                <w:snapToGrid w:val="0"/>
                <w:sz w:val="24"/>
                <w:lang w:val="en-AU" w:eastAsia="en-US"/>
              </w:rPr>
            </w:pPr>
          </w:p>
        </w:tc>
        <w:tc>
          <w:tcPr>
            <w:tcW w:w="850" w:type="dxa"/>
          </w:tcPr>
          <w:p w:rsidR="004B6875" w:rsidRPr="00162CA4" w:rsidRDefault="002312B8" w:rsidP="00700DAD">
            <w:pPr>
              <w:bidi w:val="0"/>
              <w:jc w:val="center"/>
              <w:rPr>
                <w:b/>
                <w:bCs/>
                <w:color w:val="000000"/>
                <w:lang w:eastAsia="en-US"/>
              </w:rPr>
            </w:pPr>
            <w:r>
              <w:rPr>
                <w:b/>
                <w:bCs/>
                <w:color w:val="000000"/>
                <w:lang w:eastAsia="en-US"/>
              </w:rPr>
              <w:t>115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lastRenderedPageBreak/>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47</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employers and Self-employed in Gaza Strip by changes on their work post of the  aggression of 2014,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48</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persons in Gaza Strip who forcefully absent from their work during 2014 aggression, duration average of forced absence from work and their percentage distribution by wage payment, Sex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49</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Persons in Gaza Strip who force fully absent from their work during the aggression of 2014 by main reason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50</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Employed persons in Gaza Strip by the changes on their working hours during the aggression of 2014, sex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118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51</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Gaza Strip which received assistance by period of receiving assistance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119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52</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Gaza Strip which received assistance by period of receiving assistance, and type of assistance, 2014</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11</w:t>
            </w:r>
            <w:r w:rsidRPr="00162CA4">
              <w:rPr>
                <w:b/>
                <w:bCs/>
                <w:color w:val="000000"/>
                <w:rtl/>
                <w:lang w:eastAsia="en-US"/>
              </w:rPr>
              <w:t>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53</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Gaza Strip which received assistance by period of receiving assistance and source, 2014</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w:t>
            </w:r>
            <w:r w:rsidRPr="00162CA4">
              <w:rPr>
                <w:b/>
                <w:bCs/>
                <w:color w:val="000000"/>
                <w:rtl/>
                <w:lang w:eastAsia="en-US"/>
              </w:rPr>
              <w:t>20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54</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Gaza Strip which did not receive assistance during the second half of 2014, by governorate and the main reason for not receiving assistance</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w:t>
            </w:r>
            <w:r w:rsidRPr="00162CA4">
              <w:rPr>
                <w:b/>
                <w:bCs/>
                <w:color w:val="000000"/>
                <w:rtl/>
                <w:lang w:eastAsia="en-US"/>
              </w:rPr>
              <w:t>21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Gaza Strip by governorate and type of needed assistance regardless of receiving assistance or not, 2014</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12</w:t>
            </w:r>
            <w:r w:rsidRPr="00162CA4">
              <w:rPr>
                <w:b/>
                <w:bCs/>
                <w:color w:val="000000"/>
                <w:rtl/>
                <w:lang w:eastAsia="en-US"/>
              </w:rPr>
              <w:t>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Gaza Strip that got loan/advanced payment/ debt  by period and governorate, 2014</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12</w:t>
            </w:r>
            <w:r w:rsidRPr="00162CA4">
              <w:rPr>
                <w:b/>
                <w:bCs/>
                <w:color w:val="000000"/>
                <w:rtl/>
                <w:lang w:eastAsia="en-US"/>
              </w:rPr>
              <w:t>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that got loan/advanced payment/ debt  by and  governorate during the last 12 months,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123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color w:val="000000"/>
                <w:sz w:val="10"/>
                <w:szCs w:val="10"/>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Gaza Strip that got loan/ advanced payment/ debt during the past 12 months by governorate and expenditure groups,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124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59</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Gaza Strip that buy their food needs in debt by period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125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60</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distribution of households in Gaza Strip by change of household Income during the aggression of 2014, and governorate</w:t>
            </w: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12</w:t>
            </w:r>
            <w:r w:rsidRPr="00162CA4">
              <w:rPr>
                <w:b/>
                <w:bCs/>
                <w:color w:val="000000"/>
                <w:rtl/>
                <w:lang w:eastAsia="en-US"/>
              </w:rPr>
              <w:t>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61</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Gaza Strip by change of household Income after the aggression of 2014,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126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62</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Gaza Strip by the household’s current living standard compared to the pre 2014 aggression and governorate</w:t>
            </w:r>
          </w:p>
          <w:p w:rsidR="004B6875" w:rsidRPr="00162CA4" w:rsidRDefault="004B6875" w:rsidP="004B6875">
            <w:pPr>
              <w:pStyle w:val="BodyText"/>
              <w:widowControl w:val="0"/>
              <w:bidi w:val="0"/>
              <w:rPr>
                <w:rFonts w:cs="Times New Roman"/>
                <w:snapToGrid w:val="0"/>
                <w:sz w:val="24"/>
                <w:lang w:val="en-AU" w:eastAsia="en-US"/>
              </w:rPr>
            </w:pPr>
          </w:p>
          <w:p w:rsidR="004B6875" w:rsidRPr="00162CA4" w:rsidRDefault="004B6875" w:rsidP="00700DAD">
            <w:pPr>
              <w:pStyle w:val="BodyText"/>
              <w:widowControl w:val="0"/>
              <w:bidi w:val="0"/>
              <w:rPr>
                <w:rFonts w:cs="Times New Roman"/>
                <w:snapToGrid w:val="0"/>
                <w:sz w:val="24"/>
                <w:lang w:val="en-AU" w:eastAsia="en-US"/>
              </w:rPr>
            </w:pPr>
          </w:p>
        </w:tc>
        <w:tc>
          <w:tcPr>
            <w:tcW w:w="850" w:type="dxa"/>
          </w:tcPr>
          <w:p w:rsidR="004B6875" w:rsidRPr="00162CA4" w:rsidRDefault="004B6875" w:rsidP="00700DAD">
            <w:pPr>
              <w:bidi w:val="0"/>
              <w:jc w:val="center"/>
              <w:rPr>
                <w:b/>
                <w:bCs/>
                <w:color w:val="000000"/>
                <w:lang w:eastAsia="en-US"/>
              </w:rPr>
            </w:pPr>
            <w:r w:rsidRPr="00162CA4">
              <w:rPr>
                <w:b/>
                <w:bCs/>
                <w:color w:val="000000"/>
                <w:lang w:eastAsia="en-US"/>
              </w:rPr>
              <w:t>12</w:t>
            </w:r>
            <w:r w:rsidRPr="00162CA4">
              <w:rPr>
                <w:b/>
                <w:bCs/>
                <w:color w:val="000000"/>
                <w:rtl/>
                <w:lang w:eastAsia="en-US"/>
              </w:rPr>
              <w:t>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lastRenderedPageBreak/>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63</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eastAsia="en-US"/>
              </w:rPr>
            </w:pPr>
            <w:r w:rsidRPr="00162CA4">
              <w:rPr>
                <w:rFonts w:cs="Times New Roman"/>
                <w:snapToGrid w:val="0"/>
                <w:sz w:val="24"/>
                <w:lang w:val="en-AU" w:eastAsia="en-US"/>
              </w:rPr>
              <w:t>Percentage distribution of households in West Bank by the household’s current living standard compared to Second Half of 2014 and governorate</w:t>
            </w:r>
          </w:p>
        </w:tc>
        <w:tc>
          <w:tcPr>
            <w:tcW w:w="850" w:type="dxa"/>
          </w:tcPr>
          <w:p w:rsidR="004B6875" w:rsidRPr="00162CA4" w:rsidRDefault="002312B8" w:rsidP="00700DAD">
            <w:pPr>
              <w:bidi w:val="0"/>
              <w:jc w:val="center"/>
              <w:rPr>
                <w:b/>
                <w:bCs/>
                <w:color w:val="000000"/>
                <w:lang w:eastAsia="en-US"/>
              </w:rPr>
            </w:pPr>
            <w:r>
              <w:rPr>
                <w:b/>
                <w:bCs/>
                <w:color w:val="000000"/>
                <w:lang w:eastAsia="en-US"/>
              </w:rPr>
              <w:t>127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64</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by their expectation of  the household’s living standard during the coming 12 months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128</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65</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in the Gaza Strip of households by sex of the breadwinner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129</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66</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in the Gaza Strip of households by the main source of income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67</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the Gaza Strip that faced restrictions on the movement of their members by governorate and area of movement during the second half of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130</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68</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the Gaza Strip by hosting Individuals or households hosting period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131</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69</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the Gaza Strip that hosting individuals or households by hosting Period, type of relationship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132</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70</w:t>
            </w:r>
            <w:r w:rsidR="00D71F15" w:rsidRPr="00162CA4">
              <w:rPr>
                <w:b/>
                <w:bCs/>
                <w:sz w:val="22"/>
                <w:szCs w:val="22"/>
              </w:rPr>
              <w:fldChar w:fldCharType="end"/>
            </w:r>
            <w:r w:rsidRPr="00162CA4">
              <w:rPr>
                <w:b/>
                <w:bCs/>
                <w:sz w:val="22"/>
                <w:szCs w:val="22"/>
                <w:lang w:eastAsia="en-US"/>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the Gaza Strip or any of their members who thought of immigration by period and governorate,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71</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That Receive Assistance by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133</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72</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That Receive Assistance by Assistance Type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134</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73</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Assistance Source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color w:val="000000"/>
                <w:sz w:val="10"/>
                <w:szCs w:val="10"/>
                <w:lang w:eastAsia="en-US"/>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74</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Assistances those Households in Palestine Received by Assistance Satisfaction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135</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sz w:val="8"/>
                <w:szCs w:val="8"/>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vAlign w:val="center"/>
          </w:tcPr>
          <w:p w:rsidR="004B6875" w:rsidRPr="00162CA4" w:rsidRDefault="004B6875" w:rsidP="00700DAD">
            <w:pPr>
              <w:jc w:val="center"/>
              <w:rPr>
                <w:b/>
                <w:bCs/>
                <w:rtl/>
              </w:rPr>
            </w:pPr>
          </w:p>
        </w:tc>
      </w:tr>
      <w:tr w:rsidR="004B6875" w:rsidRPr="00162CA4" w:rsidTr="00700DAD">
        <w:trPr>
          <w:trHeight w:val="20"/>
          <w:jc w:val="center"/>
        </w:trPr>
        <w:tc>
          <w:tcPr>
            <w:tcW w:w="1276" w:type="dxa"/>
          </w:tcPr>
          <w:p w:rsidR="004B6875" w:rsidRPr="00162CA4" w:rsidRDefault="004B6875" w:rsidP="00700DAD">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75</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(Regardless of the fact that you received assistance or not) by opinion how efficient or effective do you see the targeting of the needy sectors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136</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4B6875">
            <w:pPr>
              <w:bidi w:val="0"/>
              <w:rPr>
                <w:b/>
                <w:bCs/>
                <w:color w:val="000000"/>
              </w:rPr>
            </w:pPr>
            <w:r w:rsidRPr="00162CA4">
              <w:rPr>
                <w:b/>
                <w:bCs/>
                <w:sz w:val="22"/>
                <w:szCs w:val="22"/>
              </w:rPr>
              <w:t xml:space="preserve">Table </w:t>
            </w:r>
            <w:r w:rsidR="00D71F15" w:rsidRPr="00162CA4">
              <w:rPr>
                <w:b/>
                <w:bCs/>
                <w:sz w:val="22"/>
                <w:szCs w:val="22"/>
              </w:rPr>
              <w:fldChar w:fldCharType="begin"/>
            </w:r>
            <w:r w:rsidRPr="00162CA4">
              <w:rPr>
                <w:b/>
                <w:bCs/>
                <w:sz w:val="22"/>
                <w:szCs w:val="22"/>
              </w:rPr>
              <w:instrText xml:space="preserve"> SEQ Table \* ARABIC </w:instrText>
            </w:r>
            <w:r w:rsidR="00D71F15" w:rsidRPr="00162CA4">
              <w:rPr>
                <w:b/>
                <w:bCs/>
                <w:sz w:val="22"/>
                <w:szCs w:val="22"/>
              </w:rPr>
              <w:fldChar w:fldCharType="separate"/>
            </w:r>
            <w:r w:rsidR="00073EA8">
              <w:rPr>
                <w:b/>
                <w:bCs/>
                <w:noProof/>
                <w:sz w:val="22"/>
                <w:szCs w:val="22"/>
              </w:rPr>
              <w:t>76</w:t>
            </w:r>
            <w:r w:rsidR="00D71F15" w:rsidRPr="00162CA4">
              <w:rPr>
                <w:b/>
                <w:bCs/>
                <w:sz w:val="22"/>
                <w:szCs w:val="22"/>
              </w:rPr>
              <w:fldChar w:fldCharType="end"/>
            </w:r>
            <w:r w:rsidRPr="00162CA4">
              <w:rPr>
                <w:b/>
                <w:bCs/>
                <w:sz w:val="22"/>
                <w:szCs w:val="22"/>
              </w:rPr>
              <w:t xml:space="preserve">: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of Households in Palestine that purchase its needs of food products on credit (because of inability to cover cost) by Region, 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4B6875">
            <w:pPr>
              <w:bidi w:val="0"/>
              <w:rPr>
                <w:b/>
                <w:bCs/>
                <w:color w:val="000000"/>
              </w:rPr>
            </w:pPr>
            <w:r w:rsidRPr="00162CA4">
              <w:rPr>
                <w:b/>
                <w:bCs/>
                <w:sz w:val="22"/>
                <w:szCs w:val="22"/>
              </w:rPr>
              <w:t xml:space="preserve">Table 80:  </w:t>
            </w:r>
          </w:p>
        </w:tc>
        <w:tc>
          <w:tcPr>
            <w:tcW w:w="7230" w:type="dxa"/>
          </w:tcPr>
          <w:p w:rsidR="004B6875" w:rsidRPr="00162CA4" w:rsidRDefault="004B6875" w:rsidP="00700DAD">
            <w:pPr>
              <w:pStyle w:val="BodyText"/>
              <w:widowControl w:val="0"/>
              <w:bidi w:val="0"/>
              <w:rPr>
                <w:rFonts w:cs="Times New Roman"/>
                <w:snapToGrid w:val="0"/>
                <w:sz w:val="24"/>
                <w:rtl/>
                <w:lang w:val="en-AU" w:eastAsia="en-US"/>
              </w:rPr>
            </w:pPr>
            <w:r w:rsidRPr="00162CA4">
              <w:rPr>
                <w:rFonts w:cs="Times New Roman"/>
                <w:snapToGrid w:val="0"/>
                <w:sz w:val="24"/>
                <w:lang w:val="en-AU" w:eastAsia="en-US"/>
              </w:rPr>
              <w:t>Percentage of Households in Palestine that Owned Agricultural by Type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137</w:t>
            </w:r>
          </w:p>
        </w:tc>
      </w:tr>
      <w:tr w:rsidR="004B6875" w:rsidRPr="00162CA4" w:rsidTr="00700DAD">
        <w:trPr>
          <w:trHeight w:hRule="exact" w:val="113"/>
          <w:jc w:val="center"/>
        </w:trPr>
        <w:tc>
          <w:tcPr>
            <w:tcW w:w="1276" w:type="dxa"/>
          </w:tcPr>
          <w:p w:rsidR="004B6875" w:rsidRPr="00162CA4" w:rsidRDefault="004B6875" w:rsidP="00700DAD">
            <w:pPr>
              <w:bidi w:val="0"/>
              <w:rPr>
                <w:b/>
                <w:bCs/>
                <w:color w:val="000000"/>
              </w:rPr>
            </w:pPr>
          </w:p>
        </w:tc>
        <w:tc>
          <w:tcPr>
            <w:tcW w:w="7230" w:type="dxa"/>
          </w:tcPr>
          <w:p w:rsidR="004B6875" w:rsidRPr="00162CA4" w:rsidRDefault="004B6875" w:rsidP="00700DAD">
            <w:pPr>
              <w:pStyle w:val="BodyText"/>
              <w:bidi w:val="0"/>
              <w:rPr>
                <w:rFonts w:cs="Times New Roman"/>
                <w:b/>
                <w:bCs/>
                <w:sz w:val="8"/>
                <w:szCs w:val="8"/>
                <w:lang w:eastAsia="en-US"/>
              </w:rPr>
            </w:pPr>
          </w:p>
        </w:tc>
        <w:tc>
          <w:tcPr>
            <w:tcW w:w="850" w:type="dxa"/>
          </w:tcPr>
          <w:p w:rsidR="004B6875" w:rsidRPr="00162CA4" w:rsidRDefault="004B6875" w:rsidP="00700DAD">
            <w:pPr>
              <w:bidi w:val="0"/>
              <w:jc w:val="center"/>
              <w:rPr>
                <w:b/>
                <w:bCs/>
                <w:sz w:val="10"/>
                <w:szCs w:val="10"/>
                <w:rtl/>
                <w:lang w:eastAsia="en-US"/>
              </w:rPr>
            </w:pPr>
          </w:p>
        </w:tc>
      </w:tr>
      <w:tr w:rsidR="004B6875" w:rsidRPr="00162CA4" w:rsidTr="00700DAD">
        <w:trPr>
          <w:trHeight w:val="20"/>
          <w:jc w:val="center"/>
        </w:trPr>
        <w:tc>
          <w:tcPr>
            <w:tcW w:w="1276" w:type="dxa"/>
          </w:tcPr>
          <w:p w:rsidR="004B6875" w:rsidRPr="00162CA4" w:rsidRDefault="004B6875" w:rsidP="004B6875">
            <w:pPr>
              <w:bidi w:val="0"/>
              <w:rPr>
                <w:b/>
                <w:bCs/>
                <w:color w:val="000000"/>
              </w:rPr>
            </w:pPr>
            <w:r w:rsidRPr="00162CA4">
              <w:rPr>
                <w:b/>
                <w:bCs/>
                <w:sz w:val="22"/>
                <w:szCs w:val="22"/>
              </w:rPr>
              <w:t xml:space="preserve">Table 81:  </w:t>
            </w:r>
          </w:p>
        </w:tc>
        <w:tc>
          <w:tcPr>
            <w:tcW w:w="7230" w:type="dxa"/>
          </w:tcPr>
          <w:p w:rsidR="004B6875" w:rsidRPr="00162CA4" w:rsidRDefault="004B6875" w:rsidP="00700DAD">
            <w:pPr>
              <w:pStyle w:val="BodyText"/>
              <w:widowControl w:val="0"/>
              <w:bidi w:val="0"/>
              <w:rPr>
                <w:rFonts w:cs="Times New Roman"/>
                <w:snapToGrid w:val="0"/>
                <w:sz w:val="24"/>
                <w:lang w:val="en-AU" w:eastAsia="en-US"/>
              </w:rPr>
            </w:pPr>
            <w:r w:rsidRPr="00162CA4">
              <w:rPr>
                <w:rFonts w:cs="Times New Roman"/>
                <w:snapToGrid w:val="0"/>
                <w:sz w:val="24"/>
                <w:lang w:val="en-AU" w:eastAsia="en-US"/>
              </w:rPr>
              <w:t>Percentage Distribution of Households in Palestine by the Impact of Restrictions on mobility during the Second Half of Year and        Region, 2013-2014</w:t>
            </w:r>
          </w:p>
        </w:tc>
        <w:tc>
          <w:tcPr>
            <w:tcW w:w="850" w:type="dxa"/>
          </w:tcPr>
          <w:p w:rsidR="004B6875" w:rsidRPr="00162CA4" w:rsidRDefault="002312B8" w:rsidP="00700DAD">
            <w:pPr>
              <w:bidi w:val="0"/>
              <w:jc w:val="center"/>
              <w:rPr>
                <w:b/>
                <w:bCs/>
                <w:color w:val="000000"/>
                <w:lang w:eastAsia="en-US"/>
              </w:rPr>
            </w:pPr>
            <w:r>
              <w:rPr>
                <w:b/>
                <w:bCs/>
                <w:color w:val="000000"/>
                <w:lang w:eastAsia="en-US"/>
              </w:rPr>
              <w:t>138</w:t>
            </w:r>
          </w:p>
        </w:tc>
      </w:tr>
    </w:tbl>
    <w:p w:rsidR="0014495B" w:rsidRPr="004473AD" w:rsidRDefault="0014495B" w:rsidP="004A76D9">
      <w:pPr>
        <w:jc w:val="center"/>
        <w:rPr>
          <w:rFonts w:ascii="Arial" w:hAnsi="Arial" w:cs="Simplified Arabic"/>
          <w:b/>
          <w:bCs/>
          <w:sz w:val="28"/>
          <w:szCs w:val="28"/>
          <w:rtl/>
          <w:lang w:eastAsia="en-US"/>
        </w:rPr>
      </w:pPr>
    </w:p>
    <w:p w:rsidR="00601C16" w:rsidRDefault="00601C16" w:rsidP="00601C16">
      <w:pPr>
        <w:jc w:val="center"/>
        <w:rPr>
          <w:b/>
          <w:bCs/>
          <w:sz w:val="28"/>
          <w:szCs w:val="28"/>
        </w:rPr>
      </w:pPr>
      <w:r>
        <w:rPr>
          <w:rFonts w:ascii="Arial" w:hAnsi="Arial" w:cs="Simplified Arabic"/>
          <w:b/>
          <w:bCs/>
          <w:sz w:val="26"/>
          <w:szCs w:val="26"/>
          <w:rtl/>
          <w:lang w:eastAsia="en-US"/>
        </w:rPr>
        <w:br w:type="page"/>
      </w:r>
      <w:bookmarkEnd w:id="1"/>
      <w:bookmarkEnd w:id="2"/>
      <w:bookmarkEnd w:id="3"/>
    </w:p>
    <w:p w:rsidR="000D43F4" w:rsidRDefault="00601C16" w:rsidP="00601C16">
      <w:pPr>
        <w:jc w:val="center"/>
        <w:rPr>
          <w:b/>
          <w:bCs/>
          <w:sz w:val="28"/>
          <w:szCs w:val="28"/>
          <w:rtl/>
        </w:rPr>
      </w:pPr>
      <w:r>
        <w:rPr>
          <w:b/>
          <w:bCs/>
          <w:sz w:val="28"/>
          <w:szCs w:val="28"/>
        </w:rPr>
        <w:lastRenderedPageBreak/>
        <w:br w:type="page"/>
      </w:r>
      <w:r w:rsidR="00706D2F" w:rsidRPr="00B030AE">
        <w:rPr>
          <w:rFonts w:cs="Traditional Arabic"/>
          <w:b/>
          <w:bCs/>
          <w:sz w:val="28"/>
          <w:szCs w:val="28"/>
          <w:lang w:eastAsia="en-US"/>
        </w:rPr>
        <w:lastRenderedPageBreak/>
        <w:t>Introduction</w:t>
      </w:r>
    </w:p>
    <w:p w:rsidR="000D43F4" w:rsidRPr="004473AD" w:rsidRDefault="000D43F4" w:rsidP="004A76D9">
      <w:pPr>
        <w:pStyle w:val="BodyText"/>
        <w:jc w:val="center"/>
        <w:rPr>
          <w:rFonts w:ascii="Arial" w:hAnsi="Arial"/>
          <w:sz w:val="24"/>
          <w:szCs w:val="24"/>
          <w:rtl/>
        </w:rPr>
      </w:pPr>
    </w:p>
    <w:p w:rsidR="00E1075C" w:rsidRPr="00E1075C" w:rsidRDefault="00E1075C" w:rsidP="004D3A98">
      <w:pPr>
        <w:pStyle w:val="Header"/>
        <w:bidi w:val="0"/>
        <w:jc w:val="both"/>
      </w:pPr>
      <w:r w:rsidRPr="00E1075C">
        <w:rPr>
          <w:color w:val="000000"/>
        </w:rPr>
        <w:t>Survey on the Impact of Israeli Aggression on Gaza Strip in 2014 and Socio-Economic Conditions of the Palestinian Households</w:t>
      </w:r>
      <w:r>
        <w:rPr>
          <w:color w:val="000000"/>
        </w:rPr>
        <w:t xml:space="preserve"> </w:t>
      </w:r>
      <w:r w:rsidR="004D3A98">
        <w:rPr>
          <w:color w:val="000000"/>
        </w:rPr>
        <w:t>is a key</w:t>
      </w:r>
      <w:r>
        <w:rPr>
          <w:color w:val="000000"/>
        </w:rPr>
        <w:t xml:space="preserve"> Palestinian official statistic</w:t>
      </w:r>
      <w:r w:rsidR="004D3A98">
        <w:rPr>
          <w:color w:val="000000"/>
        </w:rPr>
        <w:t>;</w:t>
      </w:r>
      <w:r>
        <w:rPr>
          <w:color w:val="000000"/>
        </w:rPr>
        <w:t xml:space="preserve"> </w:t>
      </w:r>
      <w:r w:rsidR="004D3A98">
        <w:rPr>
          <w:color w:val="000000"/>
        </w:rPr>
        <w:t>it also falls within</w:t>
      </w:r>
      <w:r>
        <w:rPr>
          <w:color w:val="000000"/>
        </w:rPr>
        <w:t xml:space="preserve"> the mandate of the Palestinian Central Bureau of Statistics “PCBS” to provide updated </w:t>
      </w:r>
      <w:r w:rsidR="00A10A65">
        <w:rPr>
          <w:color w:val="000000"/>
        </w:rPr>
        <w:t xml:space="preserve">statistical data </w:t>
      </w:r>
      <w:r w:rsidR="000A5AA2">
        <w:rPr>
          <w:color w:val="000000"/>
        </w:rPr>
        <w:t xml:space="preserve">on the society conditions and its trends </w:t>
      </w:r>
      <w:r w:rsidR="00A10A65">
        <w:rPr>
          <w:color w:val="000000"/>
        </w:rPr>
        <w:t xml:space="preserve">including the </w:t>
      </w:r>
      <w:r w:rsidR="000A5AA2">
        <w:rPr>
          <w:color w:val="000000"/>
        </w:rPr>
        <w:t xml:space="preserve">impact of wars and </w:t>
      </w:r>
      <w:r w:rsidR="004D3A98">
        <w:rPr>
          <w:color w:val="000000"/>
        </w:rPr>
        <w:t xml:space="preserve">other </w:t>
      </w:r>
      <w:r w:rsidR="000A5AA2">
        <w:rPr>
          <w:color w:val="000000"/>
        </w:rPr>
        <w:t>disasters.</w:t>
      </w:r>
      <w:r>
        <w:rPr>
          <w:color w:val="000000"/>
        </w:rPr>
        <w:t xml:space="preserve"> </w:t>
      </w:r>
      <w:r w:rsidR="004D3A98">
        <w:rPr>
          <w:color w:val="000000"/>
        </w:rPr>
        <w:t>This</w:t>
      </w:r>
      <w:r>
        <w:rPr>
          <w:color w:val="000000"/>
        </w:rPr>
        <w:t xml:space="preserve"> survey came </w:t>
      </w:r>
      <w:r w:rsidR="004D3A98">
        <w:rPr>
          <w:color w:val="000000"/>
        </w:rPr>
        <w:t xml:space="preserve">in </w:t>
      </w:r>
      <w:r>
        <w:rPr>
          <w:color w:val="000000"/>
        </w:rPr>
        <w:t xml:space="preserve">response to </w:t>
      </w:r>
      <w:r w:rsidR="004D3A98">
        <w:rPr>
          <w:color w:val="000000"/>
        </w:rPr>
        <w:t xml:space="preserve">users’ </w:t>
      </w:r>
      <w:r>
        <w:rPr>
          <w:color w:val="000000"/>
        </w:rPr>
        <w:t xml:space="preserve">needs </w:t>
      </w:r>
      <w:r w:rsidR="004D3A98">
        <w:rPr>
          <w:color w:val="000000"/>
        </w:rPr>
        <w:t>for</w:t>
      </w:r>
      <w:r w:rsidR="000A5AA2">
        <w:rPr>
          <w:color w:val="000000"/>
        </w:rPr>
        <w:t xml:space="preserve"> social and economic</w:t>
      </w:r>
      <w:r>
        <w:rPr>
          <w:color w:val="000000"/>
        </w:rPr>
        <w:t xml:space="preserve"> statistical data</w:t>
      </w:r>
      <w:r w:rsidR="004D3A98">
        <w:rPr>
          <w:color w:val="000000"/>
        </w:rPr>
        <w:t>.</w:t>
      </w:r>
      <w:r w:rsidR="000A5AA2">
        <w:rPr>
          <w:color w:val="000000"/>
        </w:rPr>
        <w:t xml:space="preserve"> </w:t>
      </w:r>
      <w:r w:rsidR="004D3A98">
        <w:rPr>
          <w:color w:val="000000"/>
        </w:rPr>
        <w:t>I</w:t>
      </w:r>
      <w:r w:rsidR="000A5AA2">
        <w:rPr>
          <w:color w:val="000000"/>
        </w:rPr>
        <w:t>t implemented in cooperation with U</w:t>
      </w:r>
      <w:r w:rsidR="004D3A98">
        <w:rPr>
          <w:color w:val="000000"/>
        </w:rPr>
        <w:t>N</w:t>
      </w:r>
      <w:r w:rsidR="000A5AA2">
        <w:rPr>
          <w:color w:val="000000"/>
        </w:rPr>
        <w:t xml:space="preserve"> Food and Agriculture Organization “FAO”, UN World Food </w:t>
      </w:r>
      <w:proofErr w:type="spellStart"/>
      <w:r w:rsidR="000A5AA2">
        <w:rPr>
          <w:color w:val="000000"/>
        </w:rPr>
        <w:t>Programme</w:t>
      </w:r>
      <w:proofErr w:type="spellEnd"/>
      <w:r w:rsidR="000A5AA2">
        <w:rPr>
          <w:color w:val="000000"/>
        </w:rPr>
        <w:t xml:space="preserve"> “WFP”, UN Relief and Work Agency “UNRWA”, UN Economic and Social Committee for Western Asia “UN ESCWA”, </w:t>
      </w:r>
      <w:r w:rsidR="00726451">
        <w:rPr>
          <w:color w:val="000000"/>
        </w:rPr>
        <w:t xml:space="preserve">UN Development </w:t>
      </w:r>
      <w:proofErr w:type="spellStart"/>
      <w:r w:rsidR="00726451">
        <w:rPr>
          <w:color w:val="000000"/>
        </w:rPr>
        <w:t>Programme</w:t>
      </w:r>
      <w:proofErr w:type="spellEnd"/>
      <w:r w:rsidR="00726451">
        <w:rPr>
          <w:color w:val="000000"/>
        </w:rPr>
        <w:t xml:space="preserve"> “UNDP”, </w:t>
      </w:r>
      <w:r w:rsidR="000A5AA2">
        <w:rPr>
          <w:color w:val="000000"/>
        </w:rPr>
        <w:t>World Bank and UN Children Fund “UNICEF”</w:t>
      </w:r>
    </w:p>
    <w:p w:rsidR="00470D37" w:rsidRPr="004473AD" w:rsidRDefault="00470D37" w:rsidP="00E1075C">
      <w:pPr>
        <w:pStyle w:val="FootnoteText"/>
        <w:jc w:val="lowKashida"/>
        <w:rPr>
          <w:rFonts w:ascii="Arial" w:hAnsi="Arial" w:cs="Simplified Arabic"/>
          <w:sz w:val="24"/>
          <w:szCs w:val="24"/>
          <w:rtl/>
        </w:rPr>
      </w:pPr>
    </w:p>
    <w:p w:rsidR="00470D37" w:rsidRPr="00263A25" w:rsidRDefault="00D768BC" w:rsidP="004D3A98">
      <w:pPr>
        <w:pStyle w:val="FootnoteText"/>
        <w:jc w:val="lowKashida"/>
        <w:rPr>
          <w:color w:val="000000"/>
          <w:sz w:val="24"/>
          <w:szCs w:val="24"/>
          <w:rtl/>
        </w:rPr>
      </w:pPr>
      <w:r w:rsidRPr="00263A25">
        <w:rPr>
          <w:color w:val="000000"/>
          <w:sz w:val="24"/>
          <w:szCs w:val="24"/>
        </w:rPr>
        <w:t xml:space="preserve">The indicators of the survey on the Impact of Israeli Aggression on Gaza Strip in 2014 and Socio-Economic Conditions of the Palestinian Households, covers many socio-economic and environmental aspects, </w:t>
      </w:r>
      <w:r w:rsidR="004D3A98">
        <w:rPr>
          <w:color w:val="000000"/>
          <w:sz w:val="24"/>
          <w:szCs w:val="24"/>
        </w:rPr>
        <w:t>and establishes</w:t>
      </w:r>
      <w:r w:rsidR="00263A25" w:rsidRPr="00263A25">
        <w:rPr>
          <w:color w:val="000000"/>
          <w:sz w:val="24"/>
          <w:szCs w:val="24"/>
        </w:rPr>
        <w:t xml:space="preserve"> a comprehensive database on these indicators. The </w:t>
      </w:r>
      <w:r w:rsidR="004D3A98" w:rsidRPr="00263A25">
        <w:rPr>
          <w:color w:val="000000"/>
          <w:sz w:val="24"/>
          <w:szCs w:val="24"/>
        </w:rPr>
        <w:t xml:space="preserve">survey </w:t>
      </w:r>
      <w:r w:rsidR="00263A25" w:rsidRPr="00263A25">
        <w:rPr>
          <w:color w:val="000000"/>
          <w:sz w:val="24"/>
          <w:szCs w:val="24"/>
        </w:rPr>
        <w:t xml:space="preserve">design and implementation </w:t>
      </w:r>
      <w:r w:rsidR="004D3A98">
        <w:rPr>
          <w:color w:val="000000"/>
          <w:sz w:val="24"/>
          <w:szCs w:val="24"/>
        </w:rPr>
        <w:t>represent</w:t>
      </w:r>
      <w:r w:rsidR="00263A25" w:rsidRPr="00263A25">
        <w:rPr>
          <w:color w:val="000000"/>
          <w:sz w:val="24"/>
          <w:szCs w:val="24"/>
        </w:rPr>
        <w:t xml:space="preserve"> a step forward in statistics </w:t>
      </w:r>
      <w:r w:rsidR="004D3A98">
        <w:rPr>
          <w:color w:val="000000"/>
          <w:sz w:val="24"/>
          <w:szCs w:val="24"/>
        </w:rPr>
        <w:t>since it uses</w:t>
      </w:r>
      <w:r w:rsidR="00263A25" w:rsidRPr="00263A25">
        <w:rPr>
          <w:color w:val="000000"/>
          <w:sz w:val="24"/>
          <w:szCs w:val="24"/>
        </w:rPr>
        <w:t xml:space="preserve"> panel sample based on the same sampling units of the previous year of 2013 to track the changes on these units including the split households of the original sample that provide a complete database which allow</w:t>
      </w:r>
      <w:r w:rsidR="004D3A98">
        <w:rPr>
          <w:color w:val="000000"/>
          <w:sz w:val="24"/>
          <w:szCs w:val="24"/>
        </w:rPr>
        <w:t>s</w:t>
      </w:r>
      <w:r w:rsidR="00263A25" w:rsidRPr="00263A25">
        <w:rPr>
          <w:color w:val="000000"/>
          <w:sz w:val="24"/>
          <w:szCs w:val="24"/>
        </w:rPr>
        <w:t xml:space="preserve"> </w:t>
      </w:r>
      <w:r w:rsidR="004D3A98">
        <w:rPr>
          <w:color w:val="000000"/>
          <w:sz w:val="24"/>
          <w:szCs w:val="24"/>
        </w:rPr>
        <w:t>for</w:t>
      </w:r>
      <w:r w:rsidR="004D3A98" w:rsidRPr="00263A25">
        <w:rPr>
          <w:color w:val="000000"/>
          <w:sz w:val="24"/>
          <w:szCs w:val="24"/>
        </w:rPr>
        <w:t xml:space="preserve"> </w:t>
      </w:r>
      <w:r w:rsidR="00263A25" w:rsidRPr="00263A25">
        <w:rPr>
          <w:color w:val="000000"/>
          <w:sz w:val="24"/>
          <w:szCs w:val="24"/>
        </w:rPr>
        <w:t xml:space="preserve">comparisons </w:t>
      </w:r>
      <w:r w:rsidR="004D3A98">
        <w:rPr>
          <w:color w:val="000000"/>
          <w:sz w:val="24"/>
          <w:szCs w:val="24"/>
        </w:rPr>
        <w:t>with</w:t>
      </w:r>
      <w:r w:rsidR="004D3A98" w:rsidRPr="00263A25">
        <w:rPr>
          <w:color w:val="000000"/>
          <w:sz w:val="24"/>
          <w:szCs w:val="24"/>
        </w:rPr>
        <w:t xml:space="preserve"> </w:t>
      </w:r>
      <w:r w:rsidR="00263A25" w:rsidRPr="00263A25">
        <w:rPr>
          <w:color w:val="000000"/>
          <w:sz w:val="24"/>
          <w:szCs w:val="24"/>
        </w:rPr>
        <w:t>the last two years.</w:t>
      </w:r>
      <w:r w:rsidR="00263A25">
        <w:rPr>
          <w:color w:val="000000"/>
          <w:sz w:val="24"/>
          <w:szCs w:val="24"/>
        </w:rPr>
        <w:t xml:space="preserve"> The </w:t>
      </w:r>
      <w:r w:rsidR="005F29AB">
        <w:rPr>
          <w:color w:val="000000"/>
          <w:sz w:val="24"/>
          <w:szCs w:val="24"/>
        </w:rPr>
        <w:t>indicators of the survey also cover</w:t>
      </w:r>
      <w:r w:rsidR="00263A25">
        <w:rPr>
          <w:color w:val="000000"/>
          <w:sz w:val="24"/>
          <w:szCs w:val="24"/>
        </w:rPr>
        <w:t xml:space="preserve"> </w:t>
      </w:r>
      <w:r w:rsidR="001D47C8">
        <w:rPr>
          <w:color w:val="000000"/>
          <w:sz w:val="24"/>
          <w:szCs w:val="24"/>
        </w:rPr>
        <w:t xml:space="preserve">all socio-economic and environmental as well as the psychological </w:t>
      </w:r>
      <w:r w:rsidR="004D3A98">
        <w:rPr>
          <w:color w:val="000000"/>
          <w:sz w:val="24"/>
          <w:szCs w:val="24"/>
        </w:rPr>
        <w:t xml:space="preserve">factors </w:t>
      </w:r>
      <w:r w:rsidR="001D47C8">
        <w:rPr>
          <w:color w:val="000000"/>
          <w:sz w:val="24"/>
          <w:szCs w:val="24"/>
        </w:rPr>
        <w:t xml:space="preserve">that affected the individuals and households during and after the </w:t>
      </w:r>
      <w:r w:rsidR="001D47C8" w:rsidRPr="00263A25">
        <w:rPr>
          <w:color w:val="000000"/>
          <w:sz w:val="24"/>
          <w:szCs w:val="24"/>
        </w:rPr>
        <w:t>Israeli Aggression on Gaza Strip in</w:t>
      </w:r>
      <w:r w:rsidR="001D47C8">
        <w:rPr>
          <w:color w:val="000000"/>
          <w:sz w:val="24"/>
          <w:szCs w:val="24"/>
        </w:rPr>
        <w:t xml:space="preserve"> the second half of</w:t>
      </w:r>
      <w:r w:rsidR="001D47C8" w:rsidRPr="00263A25">
        <w:rPr>
          <w:color w:val="000000"/>
          <w:sz w:val="24"/>
          <w:szCs w:val="24"/>
        </w:rPr>
        <w:t xml:space="preserve"> 2014</w:t>
      </w:r>
      <w:r w:rsidR="001D47C8">
        <w:rPr>
          <w:color w:val="000000"/>
          <w:sz w:val="24"/>
          <w:szCs w:val="24"/>
        </w:rPr>
        <w:t>.</w:t>
      </w:r>
    </w:p>
    <w:p w:rsidR="0005523C" w:rsidRPr="004473AD" w:rsidRDefault="0005523C" w:rsidP="004A76D9">
      <w:pPr>
        <w:jc w:val="lowKashida"/>
        <w:rPr>
          <w:rFonts w:ascii="Arial" w:hAnsi="Arial" w:cs="Simplified Arabic"/>
          <w:rtl/>
        </w:rPr>
      </w:pPr>
    </w:p>
    <w:p w:rsidR="0005523C" w:rsidRPr="001D47C8" w:rsidRDefault="001D47C8" w:rsidP="00B322E2">
      <w:pPr>
        <w:bidi w:val="0"/>
        <w:jc w:val="lowKashida"/>
        <w:rPr>
          <w:color w:val="000000"/>
          <w:rtl/>
        </w:rPr>
      </w:pPr>
      <w:r w:rsidRPr="001D47C8">
        <w:rPr>
          <w:color w:val="000000"/>
        </w:rPr>
        <w:t>This report consist</w:t>
      </w:r>
      <w:r w:rsidR="00B322E2">
        <w:rPr>
          <w:color w:val="000000"/>
        </w:rPr>
        <w:t>s</w:t>
      </w:r>
      <w:r w:rsidRPr="001D47C8">
        <w:rPr>
          <w:color w:val="000000"/>
        </w:rPr>
        <w:t xml:space="preserve"> of three main chapters; the first chapter present</w:t>
      </w:r>
      <w:r w:rsidR="00B322E2">
        <w:rPr>
          <w:color w:val="000000"/>
        </w:rPr>
        <w:t>s</w:t>
      </w:r>
      <w:r w:rsidRPr="001D47C8">
        <w:rPr>
          <w:color w:val="000000"/>
        </w:rPr>
        <w:t xml:space="preserve"> the main findings of the survey, and the second chapter covers the methodology and data quality including the survey questionnaire, sampling frame, sample, field operations and data processing, while the third chapter contains the concepts and definitions used in the survey.</w:t>
      </w:r>
    </w:p>
    <w:p w:rsidR="005F29AB" w:rsidRDefault="005F29AB" w:rsidP="00952DC2">
      <w:pPr>
        <w:bidi w:val="0"/>
        <w:ind w:left="282"/>
        <w:jc w:val="lowKashida"/>
        <w:rPr>
          <w:rFonts w:ascii="Arial" w:hAnsi="Arial" w:cs="Simplified Arabic"/>
        </w:rPr>
      </w:pPr>
    </w:p>
    <w:p w:rsidR="000D43F4" w:rsidRPr="005F29AB" w:rsidRDefault="001D47C8" w:rsidP="00B322E2">
      <w:pPr>
        <w:bidi w:val="0"/>
        <w:jc w:val="lowKashida"/>
        <w:rPr>
          <w:color w:val="000000"/>
        </w:rPr>
      </w:pPr>
      <w:r w:rsidRPr="005F29AB">
        <w:rPr>
          <w:color w:val="000000"/>
        </w:rPr>
        <w:t>PCBS hopes that this report fill</w:t>
      </w:r>
      <w:r w:rsidR="00B322E2">
        <w:rPr>
          <w:color w:val="000000"/>
        </w:rPr>
        <w:t>s</w:t>
      </w:r>
      <w:r w:rsidRPr="005F29AB">
        <w:rPr>
          <w:color w:val="000000"/>
        </w:rPr>
        <w:t xml:space="preserve"> </w:t>
      </w:r>
      <w:r w:rsidR="00952DC2" w:rsidRPr="005F29AB">
        <w:rPr>
          <w:color w:val="000000"/>
        </w:rPr>
        <w:t xml:space="preserve">a gap in statistical data </w:t>
      </w:r>
      <w:r w:rsidR="00B322E2">
        <w:rPr>
          <w:color w:val="000000"/>
        </w:rPr>
        <w:t>that</w:t>
      </w:r>
      <w:r w:rsidR="00B322E2" w:rsidRPr="005F29AB">
        <w:rPr>
          <w:color w:val="000000"/>
        </w:rPr>
        <w:t xml:space="preserve"> </w:t>
      </w:r>
      <w:r w:rsidR="00B322E2">
        <w:rPr>
          <w:color w:val="000000"/>
        </w:rPr>
        <w:t>can be used</w:t>
      </w:r>
      <w:r w:rsidR="00952DC2" w:rsidRPr="005F29AB">
        <w:rPr>
          <w:color w:val="000000"/>
        </w:rPr>
        <w:t xml:space="preserve"> </w:t>
      </w:r>
      <w:r w:rsidR="00B322E2">
        <w:rPr>
          <w:color w:val="000000"/>
        </w:rPr>
        <w:t xml:space="preserve">as </w:t>
      </w:r>
      <w:r w:rsidR="00952DC2" w:rsidRPr="005F29AB">
        <w:rPr>
          <w:color w:val="000000"/>
        </w:rPr>
        <w:t xml:space="preserve">reference for the Palestinian official statistics to help the planners and decision makers </w:t>
      </w:r>
      <w:r w:rsidR="00B322E2">
        <w:rPr>
          <w:color w:val="000000"/>
        </w:rPr>
        <w:t>make informed</w:t>
      </w:r>
      <w:r w:rsidR="00952DC2" w:rsidRPr="005F29AB">
        <w:rPr>
          <w:color w:val="000000"/>
        </w:rPr>
        <w:t xml:space="preserve"> development</w:t>
      </w:r>
      <w:r w:rsidR="00B322E2">
        <w:rPr>
          <w:color w:val="000000"/>
        </w:rPr>
        <w:t xml:space="preserve"> decisions and plans</w:t>
      </w:r>
      <w:r w:rsidR="00952DC2" w:rsidRPr="005F29AB">
        <w:rPr>
          <w:color w:val="000000"/>
        </w:rPr>
        <w:t>.</w:t>
      </w:r>
    </w:p>
    <w:p w:rsidR="000D43F4" w:rsidRPr="004473AD" w:rsidRDefault="000D43F4" w:rsidP="004A76D9">
      <w:pPr>
        <w:pStyle w:val="BodyText"/>
        <w:jc w:val="center"/>
        <w:rPr>
          <w:rFonts w:ascii="Arial" w:hAnsi="Arial"/>
          <w:rtl/>
        </w:rPr>
      </w:pPr>
    </w:p>
    <w:p w:rsidR="000D43F4" w:rsidRPr="004473AD" w:rsidRDefault="000D43F4" w:rsidP="004A76D9">
      <w:pPr>
        <w:pStyle w:val="BodyText"/>
        <w:jc w:val="both"/>
        <w:rPr>
          <w:rFonts w:ascii="Arial" w:hAnsi="Arial"/>
        </w:rPr>
      </w:pPr>
    </w:p>
    <w:p w:rsidR="000D43F4" w:rsidRPr="004473AD" w:rsidRDefault="000D43F4" w:rsidP="004A76D9">
      <w:pPr>
        <w:pStyle w:val="BodyText"/>
        <w:jc w:val="both"/>
        <w:rPr>
          <w:rFonts w:ascii="Arial" w:hAnsi="Arial"/>
        </w:rPr>
      </w:pPr>
    </w:p>
    <w:p w:rsidR="000D43F4" w:rsidRPr="003610D5" w:rsidRDefault="000D43F4" w:rsidP="004A76D9">
      <w:pPr>
        <w:pStyle w:val="BodyText"/>
        <w:jc w:val="both"/>
        <w:rPr>
          <w:rFonts w:cs="Times New Roman"/>
          <w:sz w:val="24"/>
          <w:szCs w:val="24"/>
        </w:rPr>
      </w:pPr>
    </w:p>
    <w:tbl>
      <w:tblPr>
        <w:tblW w:w="9159" w:type="dxa"/>
        <w:jc w:val="center"/>
        <w:tblLayout w:type="fixed"/>
        <w:tblLook w:val="0000"/>
      </w:tblPr>
      <w:tblGrid>
        <w:gridCol w:w="2563"/>
        <w:gridCol w:w="6596"/>
      </w:tblGrid>
      <w:tr w:rsidR="00DA2CDB" w:rsidRPr="003610D5">
        <w:trPr>
          <w:jc w:val="center"/>
        </w:trPr>
        <w:tc>
          <w:tcPr>
            <w:tcW w:w="2563" w:type="dxa"/>
          </w:tcPr>
          <w:p w:rsidR="00DA2CDB" w:rsidRPr="00F54A1C" w:rsidRDefault="009D5D52" w:rsidP="00576B01">
            <w:pPr>
              <w:pStyle w:val="Heading9"/>
              <w:bidi w:val="0"/>
              <w:jc w:val="left"/>
              <w:rPr>
                <w:rFonts w:ascii="Times New Roman" w:hAnsi="Times New Roman"/>
                <w:b/>
                <w:bCs/>
                <w:sz w:val="24"/>
                <w:szCs w:val="24"/>
                <w:lang w:eastAsia="en-US"/>
              </w:rPr>
            </w:pPr>
            <w:r>
              <w:rPr>
                <w:rFonts w:ascii="Times New Roman" w:hAnsi="Times New Roman"/>
                <w:b/>
                <w:bCs/>
                <w:sz w:val="24"/>
                <w:szCs w:val="24"/>
                <w:lang w:eastAsia="en-US"/>
              </w:rPr>
              <w:t>October</w:t>
            </w:r>
            <w:r w:rsidR="00952DC2" w:rsidRPr="00F54A1C">
              <w:rPr>
                <w:rFonts w:ascii="Times New Roman" w:hAnsi="Times New Roman"/>
                <w:b/>
                <w:bCs/>
                <w:sz w:val="24"/>
                <w:szCs w:val="24"/>
                <w:lang w:eastAsia="en-US"/>
              </w:rPr>
              <w:t>, 2016</w:t>
            </w:r>
          </w:p>
        </w:tc>
        <w:tc>
          <w:tcPr>
            <w:tcW w:w="6596" w:type="dxa"/>
          </w:tcPr>
          <w:p w:rsidR="00DA2CDB" w:rsidRPr="003610D5" w:rsidRDefault="00952DC2" w:rsidP="00952DC2">
            <w:pPr>
              <w:bidi w:val="0"/>
              <w:jc w:val="center"/>
              <w:rPr>
                <w:b/>
                <w:bCs/>
                <w:lang w:eastAsia="en-US"/>
              </w:rPr>
            </w:pPr>
            <w:r w:rsidRPr="003610D5">
              <w:rPr>
                <w:b/>
                <w:bCs/>
                <w:lang w:eastAsia="en-US"/>
              </w:rPr>
              <w:t xml:space="preserve">                                                               Ola Awad  </w:t>
            </w:r>
          </w:p>
        </w:tc>
      </w:tr>
      <w:tr w:rsidR="000D43F4" w:rsidRPr="003610D5" w:rsidTr="00607932">
        <w:trPr>
          <w:trHeight w:val="556"/>
          <w:jc w:val="center"/>
        </w:trPr>
        <w:tc>
          <w:tcPr>
            <w:tcW w:w="2563" w:type="dxa"/>
          </w:tcPr>
          <w:p w:rsidR="00BE6050" w:rsidRPr="003610D5" w:rsidRDefault="00952DC2" w:rsidP="00952DC2">
            <w:pPr>
              <w:bidi w:val="0"/>
              <w:jc w:val="center"/>
              <w:rPr>
                <w:b/>
                <w:bCs/>
                <w:lang w:eastAsia="en-US"/>
              </w:rPr>
            </w:pPr>
            <w:r w:rsidRPr="003610D5">
              <w:rPr>
                <w:b/>
                <w:bCs/>
                <w:lang w:eastAsia="en-US"/>
              </w:rPr>
              <w:t xml:space="preserve">                   </w:t>
            </w:r>
          </w:p>
        </w:tc>
        <w:tc>
          <w:tcPr>
            <w:tcW w:w="6596" w:type="dxa"/>
          </w:tcPr>
          <w:p w:rsidR="000D43F4" w:rsidRPr="003610D5" w:rsidRDefault="00952DC2" w:rsidP="00952DC2">
            <w:pPr>
              <w:bidi w:val="0"/>
              <w:jc w:val="lowKashida"/>
              <w:rPr>
                <w:b/>
                <w:bCs/>
                <w:lang w:eastAsia="en-US"/>
              </w:rPr>
            </w:pPr>
            <w:r w:rsidRPr="003610D5">
              <w:rPr>
                <w:b/>
                <w:bCs/>
                <w:lang w:eastAsia="en-US"/>
              </w:rPr>
              <w:t xml:space="preserve">                                                            </w:t>
            </w:r>
            <w:r w:rsidR="003610D5">
              <w:rPr>
                <w:b/>
                <w:bCs/>
                <w:lang w:eastAsia="en-US"/>
              </w:rPr>
              <w:t xml:space="preserve">      </w:t>
            </w:r>
            <w:r w:rsidR="00B030AE">
              <w:rPr>
                <w:b/>
                <w:bCs/>
                <w:lang w:eastAsia="en-US"/>
              </w:rPr>
              <w:t xml:space="preserve">  </w:t>
            </w:r>
            <w:r w:rsidRPr="003610D5">
              <w:rPr>
                <w:b/>
                <w:bCs/>
                <w:lang w:eastAsia="en-US"/>
              </w:rPr>
              <w:t xml:space="preserve"> President of PCBS</w:t>
            </w:r>
          </w:p>
        </w:tc>
      </w:tr>
    </w:tbl>
    <w:p w:rsidR="0097443C" w:rsidRPr="004473AD" w:rsidRDefault="0097443C" w:rsidP="004A76D9">
      <w:pPr>
        <w:tabs>
          <w:tab w:val="left" w:pos="423"/>
          <w:tab w:val="left" w:pos="565"/>
        </w:tabs>
        <w:jc w:val="center"/>
        <w:rPr>
          <w:rFonts w:ascii="Arial" w:hAnsi="Arial" w:cs="Simplified Arabic"/>
          <w:rtl/>
        </w:rPr>
      </w:pPr>
      <w:bookmarkStart w:id="4" w:name="_Toc93808825"/>
      <w:bookmarkStart w:id="5" w:name="_Toc93809590"/>
      <w:bookmarkStart w:id="6" w:name="_Toc94327360"/>
      <w:bookmarkStart w:id="7" w:name="_Toc108752584"/>
    </w:p>
    <w:bookmarkEnd w:id="4"/>
    <w:bookmarkEnd w:id="5"/>
    <w:bookmarkEnd w:id="6"/>
    <w:bookmarkEnd w:id="7"/>
    <w:p w:rsidR="0097443C" w:rsidRDefault="0097443C"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0A32E6" w:rsidRDefault="000A32E6" w:rsidP="004A76D9">
      <w:pPr>
        <w:rPr>
          <w:rFonts w:ascii="Arial" w:hAnsi="Arial" w:cs="Simplified Arabic"/>
          <w:rtl/>
        </w:rPr>
      </w:pPr>
    </w:p>
    <w:p w:rsidR="00601C16" w:rsidRDefault="00601C16" w:rsidP="00601C16">
      <w:pPr>
        <w:bidi w:val="0"/>
        <w:jc w:val="center"/>
        <w:rPr>
          <w:b/>
          <w:bCs/>
          <w:sz w:val="28"/>
          <w:szCs w:val="28"/>
        </w:rPr>
      </w:pPr>
    </w:p>
    <w:p w:rsidR="00601C16" w:rsidRDefault="00601C16" w:rsidP="00601C16">
      <w:pPr>
        <w:bidi w:val="0"/>
        <w:jc w:val="center"/>
        <w:rPr>
          <w:b/>
          <w:bCs/>
          <w:sz w:val="28"/>
          <w:szCs w:val="28"/>
        </w:rPr>
      </w:pPr>
    </w:p>
    <w:p w:rsidR="00E84C79" w:rsidRDefault="00601C16" w:rsidP="00E84C79">
      <w:pPr>
        <w:bidi w:val="0"/>
        <w:jc w:val="center"/>
        <w:rPr>
          <w:b/>
          <w:bCs/>
          <w:sz w:val="28"/>
          <w:szCs w:val="28"/>
        </w:rPr>
        <w:sectPr w:rsidR="00E84C79" w:rsidSect="00162CA4">
          <w:footerReference w:type="default" r:id="rId9"/>
          <w:pgSz w:w="11909" w:h="16834" w:code="9"/>
          <w:pgMar w:top="1418" w:right="1418" w:bottom="1418" w:left="1418" w:header="709" w:footer="709" w:gutter="0"/>
          <w:cols w:space="720"/>
          <w:docGrid w:linePitch="360"/>
        </w:sectPr>
      </w:pPr>
      <w:r>
        <w:rPr>
          <w:b/>
          <w:bCs/>
          <w:sz w:val="28"/>
          <w:szCs w:val="28"/>
        </w:rPr>
        <w:lastRenderedPageBreak/>
        <w:br w:type="page"/>
      </w:r>
    </w:p>
    <w:p w:rsidR="004402A6" w:rsidRPr="00B030AE" w:rsidRDefault="004402A6" w:rsidP="00E84C79">
      <w:pPr>
        <w:bidi w:val="0"/>
        <w:jc w:val="center"/>
        <w:rPr>
          <w:rFonts w:cs="Traditional Arabic"/>
          <w:rtl/>
          <w:lang w:eastAsia="en-US"/>
        </w:rPr>
      </w:pPr>
      <w:r w:rsidRPr="00B030AE">
        <w:rPr>
          <w:rFonts w:cs="Traditional Arabic"/>
          <w:lang w:eastAsia="en-US"/>
        </w:rPr>
        <w:lastRenderedPageBreak/>
        <w:t>Chapter One</w:t>
      </w:r>
    </w:p>
    <w:p w:rsidR="004402A6" w:rsidRPr="0058627D" w:rsidRDefault="004402A6" w:rsidP="00B030AE">
      <w:pPr>
        <w:tabs>
          <w:tab w:val="left" w:pos="423"/>
          <w:tab w:val="left" w:pos="565"/>
        </w:tabs>
        <w:rPr>
          <w:rtl/>
        </w:rPr>
      </w:pPr>
    </w:p>
    <w:p w:rsidR="004402A6" w:rsidRPr="00B030AE" w:rsidRDefault="004402A6" w:rsidP="004402A6">
      <w:pPr>
        <w:tabs>
          <w:tab w:val="left" w:pos="423"/>
          <w:tab w:val="left" w:pos="565"/>
        </w:tabs>
        <w:bidi w:val="0"/>
        <w:jc w:val="center"/>
        <w:rPr>
          <w:rFonts w:cs="Traditional Arabic"/>
          <w:b/>
          <w:bCs/>
          <w:sz w:val="28"/>
          <w:lang w:eastAsia="en-US"/>
        </w:rPr>
      </w:pPr>
      <w:r w:rsidRPr="00B030AE">
        <w:rPr>
          <w:rFonts w:cs="Traditional Arabic"/>
          <w:b/>
          <w:bCs/>
          <w:sz w:val="28"/>
          <w:lang w:eastAsia="en-US"/>
        </w:rPr>
        <w:t>Main Findings</w:t>
      </w:r>
    </w:p>
    <w:p w:rsidR="004402A6" w:rsidRPr="0058627D" w:rsidRDefault="004402A6" w:rsidP="004402A6">
      <w:pPr>
        <w:tabs>
          <w:tab w:val="left" w:pos="423"/>
          <w:tab w:val="left" w:pos="565"/>
        </w:tabs>
        <w:rPr>
          <w:b/>
          <w:bCs/>
          <w:rtl/>
          <w:lang w:eastAsia="en-US"/>
        </w:rPr>
      </w:pPr>
    </w:p>
    <w:p w:rsidR="004402A6" w:rsidRPr="00B030AE" w:rsidRDefault="004402A6" w:rsidP="004402A6">
      <w:pPr>
        <w:bidi w:val="0"/>
        <w:jc w:val="both"/>
        <w:rPr>
          <w:rFonts w:cs="Traditional Arabic"/>
          <w:rtl/>
          <w:lang w:eastAsia="en-US"/>
        </w:rPr>
      </w:pPr>
      <w:r w:rsidRPr="00B030AE">
        <w:rPr>
          <w:rFonts w:cs="Traditional Arabic"/>
          <w:lang w:eastAsia="en-US"/>
        </w:rPr>
        <w:t>This chapter presents the Main findings of the survey on the impact of Israel assault on the Gaza Strip in 2014 and socioeconomic conditions of Palestinian households. It addresses issues related to Palestinian households’ socioeconomic conditions.</w:t>
      </w:r>
    </w:p>
    <w:p w:rsidR="004402A6" w:rsidRPr="0058627D" w:rsidRDefault="004402A6" w:rsidP="004402A6">
      <w:pPr>
        <w:jc w:val="both"/>
        <w:rPr>
          <w:rtl/>
        </w:rPr>
      </w:pPr>
    </w:p>
    <w:p w:rsidR="004402A6" w:rsidRPr="0058627D" w:rsidRDefault="004402A6" w:rsidP="009968AB">
      <w:pPr>
        <w:numPr>
          <w:ilvl w:val="1"/>
          <w:numId w:val="15"/>
        </w:numPr>
        <w:bidi w:val="0"/>
        <w:jc w:val="lowKashida"/>
        <w:rPr>
          <w:b/>
          <w:bCs/>
          <w:rtl/>
        </w:rPr>
      </w:pPr>
      <w:r w:rsidRPr="0058627D">
        <w:rPr>
          <w:b/>
          <w:bCs/>
        </w:rPr>
        <w:t xml:space="preserve">Demographic </w:t>
      </w:r>
      <w:r w:rsidR="008E3727">
        <w:rPr>
          <w:b/>
          <w:bCs/>
        </w:rPr>
        <w:t>Background</w:t>
      </w:r>
    </w:p>
    <w:p w:rsidR="004402A6" w:rsidRPr="0058627D" w:rsidRDefault="004402A6" w:rsidP="004402A6">
      <w:pPr>
        <w:bidi w:val="0"/>
        <w:jc w:val="lowKashida"/>
        <w:rPr>
          <w:rtl/>
        </w:rPr>
      </w:pPr>
      <w:r w:rsidRPr="0058627D">
        <w:t>This section presents the most important socio-demographic features of the sample population as an entry point to presenting the survey findings.</w:t>
      </w:r>
    </w:p>
    <w:p w:rsidR="004402A6" w:rsidRPr="0058627D" w:rsidRDefault="004402A6" w:rsidP="004402A6">
      <w:pPr>
        <w:jc w:val="lowKashida"/>
        <w:rPr>
          <w:rtl/>
        </w:rPr>
      </w:pPr>
    </w:p>
    <w:p w:rsidR="004402A6" w:rsidRPr="0058627D" w:rsidRDefault="004402A6" w:rsidP="000F11A7">
      <w:pPr>
        <w:bidi w:val="0"/>
        <w:jc w:val="lowKashida"/>
      </w:pPr>
      <w:r w:rsidRPr="0058627D">
        <w:rPr>
          <w:b/>
          <w:bCs/>
          <w:rtl/>
        </w:rPr>
        <w:t>1.1.1</w:t>
      </w:r>
      <w:r w:rsidRPr="0058627D">
        <w:rPr>
          <w:b/>
          <w:bCs/>
        </w:rPr>
        <w:t xml:space="preserve"> Age Groups</w:t>
      </w:r>
    </w:p>
    <w:p w:rsidR="004402A6" w:rsidRPr="0058627D" w:rsidRDefault="004402A6" w:rsidP="004402A6">
      <w:pPr>
        <w:bidi w:val="0"/>
        <w:jc w:val="lowKashida"/>
        <w:rPr>
          <w:rtl/>
        </w:rPr>
      </w:pPr>
      <w:r w:rsidRPr="0058627D">
        <w:t>Survey findings revealed that the percentage of population aged below fifteen in Palestine is 39.4%, being 37.1% in the West Bank and 42.8% in the Gaza Strip. The percentage of population aged 65 years and above reached 3.0% in Palestine, being 3.3% in the West Bank and 2.5% in the Gaza Strip.</w:t>
      </w:r>
    </w:p>
    <w:p w:rsidR="004402A6" w:rsidRPr="0058627D" w:rsidRDefault="004402A6" w:rsidP="004402A6">
      <w:pPr>
        <w:jc w:val="center"/>
        <w:rPr>
          <w:b/>
          <w:bCs/>
          <w:rtl/>
        </w:rPr>
      </w:pPr>
    </w:p>
    <w:p w:rsidR="004402A6" w:rsidRDefault="004402A6" w:rsidP="004402A6">
      <w:pPr>
        <w:bidi w:val="0"/>
        <w:jc w:val="center"/>
        <w:rPr>
          <w:b/>
          <w:bCs/>
          <w:sz w:val="22"/>
          <w:szCs w:val="22"/>
        </w:rPr>
      </w:pPr>
      <w:r w:rsidRPr="0058627D">
        <w:rPr>
          <w:b/>
          <w:bCs/>
          <w:sz w:val="22"/>
          <w:szCs w:val="22"/>
        </w:rPr>
        <w:t>Distribution of sample population according to region and age, 2014</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3"/>
      </w:tblGrid>
      <w:tr w:rsidR="00B030AE" w:rsidRPr="005E4CFB" w:rsidTr="001A5D4E">
        <w:tc>
          <w:tcPr>
            <w:tcW w:w="9323" w:type="dxa"/>
          </w:tcPr>
          <w:p w:rsidR="00B030AE" w:rsidRPr="005E4CFB" w:rsidRDefault="001960A0" w:rsidP="005E4CFB">
            <w:pPr>
              <w:bidi w:val="0"/>
              <w:jc w:val="center"/>
              <w:rPr>
                <w:b/>
                <w:bCs/>
                <w:sz w:val="22"/>
                <w:szCs w:val="22"/>
              </w:rPr>
            </w:pPr>
            <w:r>
              <w:rPr>
                <w:b/>
                <w:bCs/>
                <w:noProof/>
                <w:sz w:val="22"/>
                <w:szCs w:val="22"/>
                <w:lang w:val="en-GB" w:eastAsia="en-GB"/>
              </w:rPr>
              <w:drawing>
                <wp:inline distT="0" distB="0" distL="0" distR="0">
                  <wp:extent cx="5038725" cy="2200275"/>
                  <wp:effectExtent l="0" t="0" r="0" b="0"/>
                  <wp:docPr id="47" name="Object 4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B030AE" w:rsidRDefault="00B030AE" w:rsidP="00B030AE">
      <w:pPr>
        <w:bidi w:val="0"/>
        <w:jc w:val="center"/>
        <w:rPr>
          <w:b/>
          <w:bCs/>
          <w:sz w:val="22"/>
          <w:szCs w:val="22"/>
        </w:rPr>
      </w:pPr>
    </w:p>
    <w:p w:rsidR="004402A6" w:rsidRPr="0058627D" w:rsidRDefault="000F11A7" w:rsidP="004402A6">
      <w:pPr>
        <w:autoSpaceDE w:val="0"/>
        <w:autoSpaceDN w:val="0"/>
        <w:bidi w:val="0"/>
        <w:adjustRightInd w:val="0"/>
        <w:jc w:val="both"/>
        <w:rPr>
          <w:b/>
          <w:bCs/>
          <w:rtl/>
        </w:rPr>
      </w:pPr>
      <w:r>
        <w:rPr>
          <w:b/>
          <w:bCs/>
        </w:rPr>
        <w:t>1.1.2</w:t>
      </w:r>
      <w:r w:rsidR="004402A6" w:rsidRPr="0058627D">
        <w:rPr>
          <w:b/>
          <w:bCs/>
          <w:rtl/>
        </w:rPr>
        <w:t xml:space="preserve"> </w:t>
      </w:r>
      <w:r w:rsidR="004402A6" w:rsidRPr="0058627D">
        <w:rPr>
          <w:b/>
          <w:bCs/>
        </w:rPr>
        <w:t xml:space="preserve"> Refugee Status</w:t>
      </w:r>
    </w:p>
    <w:p w:rsidR="004402A6" w:rsidRPr="0058627D" w:rsidRDefault="004402A6" w:rsidP="004402A6">
      <w:pPr>
        <w:autoSpaceDE w:val="0"/>
        <w:autoSpaceDN w:val="0"/>
        <w:adjustRightInd w:val="0"/>
        <w:jc w:val="both"/>
        <w:rPr>
          <w:b/>
          <w:bCs/>
        </w:rPr>
        <w:sectPr w:rsidR="004402A6" w:rsidRPr="0058627D" w:rsidSect="0014495B">
          <w:headerReference w:type="default" r:id="rId11"/>
          <w:footerReference w:type="default" r:id="rId12"/>
          <w:pgSz w:w="11909" w:h="16834" w:code="9"/>
          <w:pgMar w:top="1418" w:right="1418" w:bottom="1418" w:left="1418" w:header="709" w:footer="709" w:gutter="0"/>
          <w:cols w:space="720"/>
          <w:docGrid w:linePitch="360"/>
        </w:sectPr>
      </w:pPr>
    </w:p>
    <w:p w:rsidR="004402A6" w:rsidRPr="0058627D" w:rsidRDefault="004402A6" w:rsidP="00796ED4">
      <w:pPr>
        <w:bidi w:val="0"/>
        <w:jc w:val="lowKashida"/>
      </w:pPr>
      <w:r w:rsidRPr="0058627D">
        <w:lastRenderedPageBreak/>
        <w:t>Survey results showed that 41.2% of Palestinians are refugees, being 27.1% of the total population of the West Bank and 63.</w:t>
      </w:r>
      <w:r w:rsidR="00796ED4">
        <w:t>3</w:t>
      </w:r>
      <w:r w:rsidRPr="0058627D">
        <w:t>% of the total population of the Gaza Strip</w:t>
      </w:r>
      <w:r w:rsidR="00743846">
        <w:t>.</w:t>
      </w:r>
    </w:p>
    <w:p w:rsidR="004402A6" w:rsidRPr="0058627D" w:rsidRDefault="004402A6" w:rsidP="004402A6">
      <w:pPr>
        <w:bidi w:val="0"/>
        <w:jc w:val="center"/>
        <w:rPr>
          <w:b/>
          <w:bCs/>
          <w:rtl/>
        </w:rPr>
      </w:pPr>
    </w:p>
    <w:p w:rsidR="004402A6" w:rsidRDefault="004402A6" w:rsidP="004402A6">
      <w:pPr>
        <w:jc w:val="center"/>
        <w:rPr>
          <w:b/>
          <w:bCs/>
          <w:sz w:val="22"/>
          <w:szCs w:val="22"/>
        </w:rPr>
      </w:pPr>
      <w:r w:rsidRPr="0058627D">
        <w:rPr>
          <w:b/>
          <w:bCs/>
          <w:sz w:val="22"/>
          <w:szCs w:val="22"/>
        </w:rPr>
        <w:t>Distribution of sample population according to region and refugee status,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B284E" w:rsidRPr="005E4CFB" w:rsidTr="00290D7A">
        <w:trPr>
          <w:trHeight w:val="3382"/>
        </w:trPr>
        <w:tc>
          <w:tcPr>
            <w:tcW w:w="9289" w:type="dxa"/>
          </w:tcPr>
          <w:p w:rsidR="004B284E" w:rsidRDefault="004B284E" w:rsidP="005E4CFB">
            <w:pPr>
              <w:jc w:val="center"/>
              <w:rPr>
                <w:b/>
                <w:bCs/>
                <w:noProof/>
                <w:lang w:val="en-GB" w:eastAsia="en-GB"/>
              </w:rPr>
            </w:pPr>
          </w:p>
          <w:p w:rsidR="00290D7A" w:rsidRPr="005E4CFB" w:rsidRDefault="00290D7A" w:rsidP="005E4CFB">
            <w:pPr>
              <w:jc w:val="center"/>
              <w:rPr>
                <w:b/>
                <w:bCs/>
                <w:sz w:val="22"/>
                <w:szCs w:val="22"/>
                <w:rtl/>
              </w:rPr>
            </w:pPr>
            <w:r w:rsidRPr="00290D7A">
              <w:rPr>
                <w:b/>
                <w:bCs/>
                <w:noProof/>
                <w:rtl/>
                <w:lang w:val="en-GB" w:eastAsia="en-GB"/>
              </w:rPr>
              <w:drawing>
                <wp:inline distT="0" distB="0" distL="0" distR="0">
                  <wp:extent cx="5524500" cy="1914525"/>
                  <wp:effectExtent l="0" t="0" r="0" b="0"/>
                  <wp:docPr id="82" name="Object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bl>
    <w:p w:rsidR="004402A6" w:rsidRPr="0058627D" w:rsidRDefault="004402A6" w:rsidP="008F21F6">
      <w:pPr>
        <w:jc w:val="center"/>
        <w:rPr>
          <w:b/>
          <w:bCs/>
          <w:rtl/>
        </w:rPr>
        <w:sectPr w:rsidR="004402A6" w:rsidRPr="0058627D" w:rsidSect="008F21F6">
          <w:type w:val="continuous"/>
          <w:pgSz w:w="11909" w:h="16834" w:code="9"/>
          <w:pgMar w:top="1418" w:right="1418" w:bottom="1418" w:left="1418" w:header="709" w:footer="709" w:gutter="0"/>
          <w:cols w:space="720"/>
          <w:bidi/>
          <w:docGrid w:linePitch="360"/>
        </w:sectPr>
      </w:pPr>
    </w:p>
    <w:p w:rsidR="004402A6" w:rsidRPr="0058627D" w:rsidRDefault="000F11A7" w:rsidP="0058627D">
      <w:pPr>
        <w:bidi w:val="0"/>
        <w:jc w:val="lowKashida"/>
        <w:rPr>
          <w:b/>
          <w:bCs/>
          <w:rtl/>
        </w:rPr>
      </w:pPr>
      <w:r>
        <w:rPr>
          <w:b/>
          <w:bCs/>
        </w:rPr>
        <w:lastRenderedPageBreak/>
        <w:t xml:space="preserve">1.1.3 </w:t>
      </w:r>
      <w:r w:rsidR="004402A6" w:rsidRPr="0058627D">
        <w:rPr>
          <w:b/>
          <w:bCs/>
        </w:rPr>
        <w:t>Health Insurance</w:t>
      </w:r>
    </w:p>
    <w:p w:rsidR="004402A6" w:rsidRPr="0058627D" w:rsidRDefault="004402A6" w:rsidP="004402A6">
      <w:pPr>
        <w:bidi w:val="0"/>
        <w:jc w:val="lowKashida"/>
        <w:rPr>
          <w:rtl/>
        </w:rPr>
      </w:pPr>
      <w:r w:rsidRPr="0058627D">
        <w:t>Findings showed that 17.8% of the population in Palestine do not have any type of health insurance, being 25.6% in the West Bank and 5.7% in the Gaza Strip. Results also showed that the percentage of population with only government health insurance reached 36.8% being 41.9% in the West Bank and 28.9% in the Gaza Strip. On the other hand, about one quarter of Palestinian households have government and UNRWA health insurance (25.8%), being 10.5% of the population of the West Bank and 49.7% of the population of the Gaza Strip.</w:t>
      </w:r>
    </w:p>
    <w:p w:rsidR="004402A6" w:rsidRPr="0058627D" w:rsidRDefault="004402A6" w:rsidP="004402A6">
      <w:pPr>
        <w:jc w:val="lowKashida"/>
        <w:rPr>
          <w:rtl/>
        </w:rPr>
      </w:pPr>
    </w:p>
    <w:p w:rsidR="008F21F6" w:rsidRDefault="004402A6" w:rsidP="00635E28">
      <w:pPr>
        <w:bidi w:val="0"/>
        <w:jc w:val="center"/>
        <w:rPr>
          <w:b/>
          <w:bCs/>
        </w:rPr>
      </w:pPr>
      <w:r w:rsidRPr="0058627D">
        <w:rPr>
          <w:b/>
          <w:bCs/>
        </w:rPr>
        <w:t>Sample distribution according to region and health insurance status</w:t>
      </w:r>
    </w:p>
    <w:p w:rsidR="0022138B" w:rsidRDefault="0022138B" w:rsidP="0022138B">
      <w:pPr>
        <w:bidi w:val="0"/>
        <w:jc w:val="center"/>
        <w:rPr>
          <w:b/>
          <w:bCs/>
        </w:rPr>
      </w:pPr>
    </w:p>
    <w:tbl>
      <w:tblPr>
        <w:tblW w:w="9214"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4"/>
      </w:tblGrid>
      <w:tr w:rsidR="004B284E" w:rsidRPr="005E4CFB" w:rsidTr="0022138B">
        <w:trPr>
          <w:trHeight w:val="7423"/>
          <w:jc w:val="center"/>
        </w:trPr>
        <w:tc>
          <w:tcPr>
            <w:tcW w:w="9214" w:type="dxa"/>
          </w:tcPr>
          <w:p w:rsidR="004B284E" w:rsidRDefault="004B284E" w:rsidP="005E4CFB">
            <w:pPr>
              <w:bidi w:val="0"/>
              <w:jc w:val="center"/>
              <w:rPr>
                <w:b/>
                <w:bCs/>
              </w:rPr>
            </w:pPr>
          </w:p>
          <w:p w:rsidR="0022138B" w:rsidRPr="005E4CFB" w:rsidRDefault="0022138B" w:rsidP="0022138B">
            <w:pPr>
              <w:bidi w:val="0"/>
              <w:jc w:val="center"/>
              <w:rPr>
                <w:b/>
                <w:bCs/>
              </w:rPr>
            </w:pPr>
            <w:r w:rsidRPr="0022138B">
              <w:rPr>
                <w:b/>
                <w:bCs/>
              </w:rPr>
              <w:drawing>
                <wp:inline distT="0" distB="0" distL="0" distR="0">
                  <wp:extent cx="5553075" cy="4429125"/>
                  <wp:effectExtent l="0" t="0" r="0" b="0"/>
                  <wp:docPr id="2" name="Object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4B284E" w:rsidRPr="0058627D" w:rsidRDefault="004B284E" w:rsidP="004B284E">
      <w:pPr>
        <w:bidi w:val="0"/>
        <w:jc w:val="center"/>
        <w:rPr>
          <w:b/>
          <w:bCs/>
        </w:rPr>
      </w:pPr>
    </w:p>
    <w:p w:rsidR="004402A6" w:rsidRPr="0058627D" w:rsidRDefault="000F11A7" w:rsidP="004402A6">
      <w:pPr>
        <w:bidi w:val="0"/>
        <w:jc w:val="lowKashida"/>
        <w:rPr>
          <w:b/>
          <w:bCs/>
        </w:rPr>
      </w:pPr>
      <w:r>
        <w:rPr>
          <w:b/>
          <w:bCs/>
        </w:rPr>
        <w:t>1.1.4</w:t>
      </w:r>
      <w:r w:rsidR="004402A6" w:rsidRPr="0058627D">
        <w:rPr>
          <w:b/>
          <w:bCs/>
          <w:rtl/>
        </w:rPr>
        <w:t xml:space="preserve"> </w:t>
      </w:r>
      <w:r w:rsidR="004402A6" w:rsidRPr="0058627D">
        <w:rPr>
          <w:b/>
          <w:bCs/>
        </w:rPr>
        <w:t>Enrollment in Education</w:t>
      </w:r>
    </w:p>
    <w:p w:rsidR="00743846" w:rsidRDefault="004402A6" w:rsidP="00906729">
      <w:pPr>
        <w:bidi w:val="0"/>
        <w:jc w:val="lowKashida"/>
      </w:pPr>
      <w:r w:rsidRPr="0058627D">
        <w:t>Survey findings showed that 39.4% of individuals (5 years or above) in Palestine are currently enrolled in education, while 37.6% of individuals (5 years and above) in the West Bank and 42.3% of individuals (5 years and above in the Gaza Strip) are currently enrolled in education. On the other hand, 3.7% of individuals (5 years and above) in Palestine have never enrolled in education with 3.9% of individuals in the West Bank and 3.4% of those in the Gaza Strip.</w:t>
      </w:r>
    </w:p>
    <w:p w:rsidR="00743846" w:rsidRDefault="00743846" w:rsidP="004402A6">
      <w:pPr>
        <w:jc w:val="lowKashida"/>
      </w:pPr>
    </w:p>
    <w:p w:rsidR="00906729" w:rsidRDefault="00906729" w:rsidP="004B284E">
      <w:pPr>
        <w:jc w:val="center"/>
        <w:rPr>
          <w:b/>
          <w:bCs/>
          <w:sz w:val="22"/>
          <w:szCs w:val="22"/>
        </w:rPr>
      </w:pPr>
    </w:p>
    <w:p w:rsidR="00906729" w:rsidRDefault="00906729" w:rsidP="004B284E">
      <w:pPr>
        <w:jc w:val="center"/>
        <w:rPr>
          <w:b/>
          <w:bCs/>
          <w:sz w:val="22"/>
          <w:szCs w:val="22"/>
        </w:rPr>
      </w:pPr>
    </w:p>
    <w:p w:rsidR="00906729" w:rsidRDefault="00906729" w:rsidP="004B284E">
      <w:pPr>
        <w:jc w:val="center"/>
        <w:rPr>
          <w:b/>
          <w:bCs/>
          <w:sz w:val="22"/>
          <w:szCs w:val="22"/>
        </w:rPr>
      </w:pPr>
    </w:p>
    <w:p w:rsidR="00906729" w:rsidRDefault="00906729" w:rsidP="004B284E">
      <w:pPr>
        <w:jc w:val="center"/>
        <w:rPr>
          <w:b/>
          <w:bCs/>
          <w:sz w:val="22"/>
          <w:szCs w:val="22"/>
        </w:rPr>
      </w:pPr>
    </w:p>
    <w:p w:rsidR="00906729" w:rsidRDefault="00906729" w:rsidP="004B284E">
      <w:pPr>
        <w:jc w:val="center"/>
        <w:rPr>
          <w:b/>
          <w:bCs/>
          <w:sz w:val="22"/>
          <w:szCs w:val="22"/>
        </w:rPr>
      </w:pPr>
    </w:p>
    <w:p w:rsidR="00906729" w:rsidRDefault="00906729" w:rsidP="004B284E">
      <w:pPr>
        <w:jc w:val="center"/>
        <w:rPr>
          <w:b/>
          <w:bCs/>
          <w:sz w:val="22"/>
          <w:szCs w:val="22"/>
        </w:rPr>
      </w:pPr>
    </w:p>
    <w:p w:rsidR="008F21F6" w:rsidRPr="00743846" w:rsidRDefault="004402A6" w:rsidP="004B284E">
      <w:pPr>
        <w:jc w:val="center"/>
        <w:rPr>
          <w:b/>
          <w:bCs/>
          <w:sz w:val="22"/>
          <w:szCs w:val="22"/>
        </w:rPr>
      </w:pPr>
      <w:r w:rsidRPr="00743846">
        <w:rPr>
          <w:b/>
          <w:bCs/>
          <w:sz w:val="22"/>
          <w:szCs w:val="22"/>
        </w:rPr>
        <w:lastRenderedPageBreak/>
        <w:t>Percentage Distribution of Individuals (5 years and above) of the Survey Sample according to Region and Enrollment in Education,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B284E" w:rsidRPr="005E4CFB" w:rsidTr="00B2173A">
        <w:trPr>
          <w:trHeight w:val="4315"/>
        </w:trPr>
        <w:tc>
          <w:tcPr>
            <w:tcW w:w="9289" w:type="dxa"/>
          </w:tcPr>
          <w:p w:rsidR="004B284E" w:rsidRPr="0022138B" w:rsidRDefault="004B284E" w:rsidP="005E4CFB">
            <w:pPr>
              <w:jc w:val="center"/>
              <w:rPr>
                <w:noProof/>
                <w:sz w:val="12"/>
                <w:szCs w:val="12"/>
                <w:lang w:eastAsia="en-GB"/>
              </w:rPr>
            </w:pPr>
          </w:p>
          <w:p w:rsidR="0022138B" w:rsidRPr="0022138B" w:rsidRDefault="0022138B" w:rsidP="005E4CFB">
            <w:pPr>
              <w:jc w:val="center"/>
              <w:rPr>
                <w:b/>
                <w:bCs/>
                <w:rtl/>
              </w:rPr>
            </w:pPr>
            <w:r w:rsidRPr="0022138B">
              <w:rPr>
                <w:noProof/>
                <w:rtl/>
                <w:lang w:eastAsia="en-GB"/>
              </w:rPr>
              <w:drawing>
                <wp:inline distT="0" distB="0" distL="0" distR="0">
                  <wp:extent cx="5734050" cy="2600325"/>
                  <wp:effectExtent l="0" t="0" r="0" b="0"/>
                  <wp:docPr id="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4B284E" w:rsidRPr="0058627D" w:rsidRDefault="004B284E" w:rsidP="004B284E">
      <w:pPr>
        <w:jc w:val="center"/>
        <w:rPr>
          <w:b/>
          <w:bCs/>
          <w:rtl/>
        </w:rPr>
      </w:pPr>
    </w:p>
    <w:p w:rsidR="004402A6" w:rsidRPr="0058627D" w:rsidRDefault="000F11A7" w:rsidP="004402A6">
      <w:pPr>
        <w:bidi w:val="0"/>
        <w:jc w:val="lowKashida"/>
        <w:rPr>
          <w:b/>
          <w:bCs/>
        </w:rPr>
      </w:pPr>
      <w:r>
        <w:rPr>
          <w:b/>
          <w:bCs/>
        </w:rPr>
        <w:t xml:space="preserve">1.1.5 </w:t>
      </w:r>
      <w:r w:rsidR="004402A6" w:rsidRPr="0058627D">
        <w:rPr>
          <w:b/>
          <w:bCs/>
        </w:rPr>
        <w:t>Educational Status</w:t>
      </w:r>
    </w:p>
    <w:p w:rsidR="004402A6" w:rsidRPr="0058627D" w:rsidRDefault="004402A6" w:rsidP="004402A6">
      <w:pPr>
        <w:bidi w:val="0"/>
        <w:jc w:val="lowKashida"/>
        <w:rPr>
          <w:rtl/>
        </w:rPr>
      </w:pPr>
      <w:r w:rsidRPr="0058627D">
        <w:t>Survey findings showed that individuals (15 years and above) in Palestine with a BA and higher reached 13.2% with 12.1% in the West Bank and 15.2% in the Gaza Strip.</w:t>
      </w:r>
    </w:p>
    <w:p w:rsidR="004402A6" w:rsidRPr="0058627D" w:rsidRDefault="004402A6" w:rsidP="004402A6">
      <w:pPr>
        <w:jc w:val="center"/>
        <w:rPr>
          <w:b/>
          <w:bCs/>
          <w:rtl/>
        </w:rPr>
      </w:pPr>
    </w:p>
    <w:p w:rsidR="004402A6" w:rsidRPr="0058627D" w:rsidRDefault="004402A6" w:rsidP="004402A6">
      <w:pPr>
        <w:jc w:val="center"/>
        <w:rPr>
          <w:b/>
          <w:bCs/>
          <w:rtl/>
        </w:rPr>
      </w:pPr>
      <w:r w:rsidRPr="0058627D">
        <w:rPr>
          <w:b/>
          <w:bCs/>
        </w:rPr>
        <w:t>Percentage Distribution of Individuals (15 years and above) of the Survey Sample according to Region and Educational Status</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B284E" w:rsidTr="00F16DF4">
        <w:trPr>
          <w:trHeight w:val="4701"/>
        </w:trPr>
        <w:tc>
          <w:tcPr>
            <w:tcW w:w="9289" w:type="dxa"/>
          </w:tcPr>
          <w:p w:rsidR="004B284E" w:rsidRDefault="004B284E" w:rsidP="005E4CFB">
            <w:pPr>
              <w:jc w:val="center"/>
            </w:pPr>
          </w:p>
          <w:p w:rsidR="00F16DF4" w:rsidRDefault="00F16DF4" w:rsidP="005E4CFB">
            <w:pPr>
              <w:jc w:val="center"/>
              <w:rPr>
                <w:rtl/>
              </w:rPr>
            </w:pPr>
            <w:r w:rsidRPr="00F16DF4">
              <w:rPr>
                <w:rtl/>
              </w:rPr>
              <w:drawing>
                <wp:inline distT="0" distB="0" distL="0" distR="0">
                  <wp:extent cx="5600700" cy="2705100"/>
                  <wp:effectExtent l="0" t="0" r="0" b="0"/>
                  <wp:docPr id="84"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4402A6" w:rsidRPr="0058627D" w:rsidRDefault="004402A6" w:rsidP="004402A6">
      <w:pPr>
        <w:jc w:val="center"/>
        <w:rPr>
          <w:rtl/>
        </w:rPr>
      </w:pPr>
    </w:p>
    <w:p w:rsidR="004402A6" w:rsidRPr="0058627D" w:rsidRDefault="000F11A7" w:rsidP="004402A6">
      <w:pPr>
        <w:bidi w:val="0"/>
        <w:jc w:val="lowKashida"/>
        <w:rPr>
          <w:b/>
          <w:bCs/>
          <w:rtl/>
        </w:rPr>
      </w:pPr>
      <w:r>
        <w:rPr>
          <w:b/>
          <w:bCs/>
        </w:rPr>
        <w:t>1.1.6</w:t>
      </w:r>
      <w:r w:rsidR="004402A6" w:rsidRPr="0058627D">
        <w:rPr>
          <w:b/>
          <w:bCs/>
          <w:rtl/>
        </w:rPr>
        <w:t xml:space="preserve"> </w:t>
      </w:r>
      <w:r w:rsidR="004402A6" w:rsidRPr="0058627D">
        <w:rPr>
          <w:b/>
          <w:bCs/>
        </w:rPr>
        <w:t>Marital Status</w:t>
      </w:r>
    </w:p>
    <w:p w:rsidR="004402A6" w:rsidRPr="0058627D" w:rsidRDefault="004402A6" w:rsidP="004402A6">
      <w:pPr>
        <w:bidi w:val="0"/>
        <w:jc w:val="lowKashida"/>
        <w:rPr>
          <w:rtl/>
        </w:rPr>
      </w:pPr>
      <w:r w:rsidRPr="0058627D">
        <w:t>Survey findings showed that 52.3% of individuals in Palestine are married (52.1% in the West Bank and 52.7% in the Gaza Strip)</w:t>
      </w:r>
    </w:p>
    <w:p w:rsidR="004402A6" w:rsidRDefault="004402A6" w:rsidP="004402A6">
      <w:pPr>
        <w:jc w:val="center"/>
        <w:rPr>
          <w:b/>
          <w:bCs/>
        </w:rPr>
      </w:pPr>
    </w:p>
    <w:p w:rsidR="00AD2B21" w:rsidRDefault="00AD2B21" w:rsidP="004402A6">
      <w:pPr>
        <w:jc w:val="center"/>
        <w:rPr>
          <w:b/>
          <w:bCs/>
        </w:rPr>
      </w:pPr>
    </w:p>
    <w:p w:rsidR="00AD2B21" w:rsidRDefault="00AD2B21" w:rsidP="004402A6">
      <w:pPr>
        <w:jc w:val="center"/>
        <w:rPr>
          <w:b/>
          <w:bCs/>
        </w:rPr>
      </w:pPr>
    </w:p>
    <w:p w:rsidR="00906729" w:rsidRDefault="00906729" w:rsidP="004402A6">
      <w:pPr>
        <w:jc w:val="center"/>
        <w:rPr>
          <w:b/>
          <w:bCs/>
        </w:rPr>
      </w:pPr>
    </w:p>
    <w:p w:rsidR="00906729" w:rsidRDefault="00906729" w:rsidP="004402A6">
      <w:pPr>
        <w:jc w:val="center"/>
        <w:rPr>
          <w:b/>
          <w:bCs/>
        </w:rPr>
      </w:pPr>
    </w:p>
    <w:p w:rsidR="004402A6" w:rsidRDefault="004402A6" w:rsidP="004402A6">
      <w:pPr>
        <w:jc w:val="center"/>
        <w:rPr>
          <w:b/>
          <w:bCs/>
          <w:sz w:val="22"/>
          <w:szCs w:val="22"/>
        </w:rPr>
      </w:pPr>
      <w:r w:rsidRPr="0058627D">
        <w:rPr>
          <w:b/>
          <w:bCs/>
          <w:sz w:val="22"/>
          <w:szCs w:val="22"/>
        </w:rPr>
        <w:lastRenderedPageBreak/>
        <w:t>Percentage Distribution of Individuals in Survey Sample according to Region and Marital Status,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000439" w:rsidRPr="005E4CFB" w:rsidTr="00B2173A">
        <w:trPr>
          <w:trHeight w:val="5449"/>
        </w:trPr>
        <w:tc>
          <w:tcPr>
            <w:tcW w:w="9289" w:type="dxa"/>
          </w:tcPr>
          <w:p w:rsidR="00000439" w:rsidRPr="0022138B" w:rsidRDefault="00000439" w:rsidP="00000439">
            <w:pPr>
              <w:rPr>
                <w:noProof/>
                <w:sz w:val="12"/>
                <w:szCs w:val="12"/>
                <w:lang w:val="en-GB" w:eastAsia="en-GB"/>
              </w:rPr>
            </w:pPr>
          </w:p>
          <w:p w:rsidR="0022138B" w:rsidRPr="005E4CFB" w:rsidRDefault="0022138B" w:rsidP="00000439">
            <w:pPr>
              <w:rPr>
                <w:b/>
                <w:bCs/>
                <w:sz w:val="22"/>
                <w:szCs w:val="22"/>
                <w:rtl/>
              </w:rPr>
            </w:pPr>
            <w:r w:rsidRPr="0022138B">
              <w:rPr>
                <w:noProof/>
                <w:rtl/>
                <w:lang w:val="en-GB" w:eastAsia="en-GB"/>
              </w:rPr>
              <w:drawing>
                <wp:inline distT="0" distB="0" distL="0" distR="0">
                  <wp:extent cx="5734050" cy="3333750"/>
                  <wp:effectExtent l="0" t="0" r="0" b="0"/>
                  <wp:docPr id="4"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000439" w:rsidRPr="0022138B" w:rsidRDefault="00000439" w:rsidP="0022138B">
      <w:pPr>
        <w:jc w:val="right"/>
        <w:rPr>
          <w:b/>
          <w:bCs/>
          <w:sz w:val="20"/>
          <w:szCs w:val="20"/>
          <w:rtl/>
        </w:rPr>
      </w:pPr>
    </w:p>
    <w:p w:rsidR="004402A6" w:rsidRPr="0058627D" w:rsidRDefault="000F11A7" w:rsidP="00601C16">
      <w:pPr>
        <w:autoSpaceDE w:val="0"/>
        <w:autoSpaceDN w:val="0"/>
        <w:bidi w:val="0"/>
        <w:adjustRightInd w:val="0"/>
        <w:rPr>
          <w:b/>
          <w:bCs/>
          <w:rtl/>
        </w:rPr>
      </w:pPr>
      <w:r>
        <w:rPr>
          <w:b/>
          <w:bCs/>
        </w:rPr>
        <w:t>1.1.7</w:t>
      </w:r>
      <w:r w:rsidR="00601C16">
        <w:rPr>
          <w:b/>
          <w:bCs/>
        </w:rPr>
        <w:t xml:space="preserve"> </w:t>
      </w:r>
      <w:r w:rsidR="004402A6" w:rsidRPr="0058627D">
        <w:rPr>
          <w:b/>
          <w:bCs/>
        </w:rPr>
        <w:t>Kinship of Spouses</w:t>
      </w:r>
      <w:proofErr w:type="spellStart"/>
      <w:r w:rsidR="004402A6" w:rsidRPr="0058627D">
        <w:rPr>
          <w:rStyle w:val="FootnoteReference"/>
          <w:b/>
          <w:bCs/>
          <w:rtl/>
        </w:rPr>
        <w:footnoteReference w:customMarkFollows="1" w:id="1"/>
        <w:t>*</w:t>
      </w:r>
      <w:proofErr w:type="spellEnd"/>
    </w:p>
    <w:p w:rsidR="004402A6" w:rsidRPr="0058627D" w:rsidRDefault="004402A6" w:rsidP="000E49F8">
      <w:pPr>
        <w:autoSpaceDE w:val="0"/>
        <w:autoSpaceDN w:val="0"/>
        <w:bidi w:val="0"/>
        <w:adjustRightInd w:val="0"/>
        <w:jc w:val="lowKashida"/>
      </w:pPr>
      <w:r w:rsidRPr="0058627D">
        <w:t xml:space="preserve">Survey Findings for 2014 showed that 56.9% of the sample population married partners they do not have any family relation with while marriage with family member reached 26.3%, with 16.8% of the same clan. By region, the percentage of individuals who wed with spouses that are not family members reached 59.7% compared to 52.2% in the Gaza Strip. Percentage of spouses of the same family reached 23.9% in the West Bank, compared to </w:t>
      </w:r>
      <w:r w:rsidR="000E49F8">
        <w:t>30.2</w:t>
      </w:r>
      <w:r w:rsidRPr="0058627D">
        <w:t>% in the Gaza Strip. And inter-clan marriages represented 16.4% in the West Bank, compared to 17.6% in the Gaza Strip.</w:t>
      </w:r>
    </w:p>
    <w:p w:rsidR="004402A6" w:rsidRPr="00F16DF4" w:rsidRDefault="004402A6" w:rsidP="004402A6">
      <w:pPr>
        <w:autoSpaceDE w:val="0"/>
        <w:autoSpaceDN w:val="0"/>
        <w:adjustRightInd w:val="0"/>
        <w:rPr>
          <w:sz w:val="16"/>
          <w:szCs w:val="16"/>
        </w:rPr>
      </w:pPr>
    </w:p>
    <w:p w:rsidR="004402A6" w:rsidRPr="00AD2B21" w:rsidRDefault="004402A6" w:rsidP="004402A6">
      <w:pPr>
        <w:autoSpaceDE w:val="0"/>
        <w:autoSpaceDN w:val="0"/>
        <w:adjustRightInd w:val="0"/>
        <w:ind w:left="60" w:right="60"/>
        <w:jc w:val="center"/>
        <w:rPr>
          <w:b/>
          <w:bCs/>
          <w:sz w:val="22"/>
          <w:szCs w:val="22"/>
        </w:rPr>
      </w:pPr>
      <w:r w:rsidRPr="00AD2B21">
        <w:rPr>
          <w:b/>
          <w:bCs/>
          <w:sz w:val="22"/>
          <w:szCs w:val="22"/>
        </w:rPr>
        <w:t>Percentage Distribution of Palestinians according to Region and Spouses Kinship, 2014</w:t>
      </w:r>
    </w:p>
    <w:tbl>
      <w:tblPr>
        <w:bidiVisual/>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29"/>
      </w:tblGrid>
      <w:tr w:rsidR="00000439" w:rsidRPr="005E4CFB" w:rsidTr="005E4CFB">
        <w:tc>
          <w:tcPr>
            <w:tcW w:w="9289" w:type="dxa"/>
          </w:tcPr>
          <w:p w:rsidR="00000439" w:rsidRPr="0022138B" w:rsidRDefault="00000439" w:rsidP="005E4CFB">
            <w:pPr>
              <w:autoSpaceDE w:val="0"/>
              <w:autoSpaceDN w:val="0"/>
              <w:adjustRightInd w:val="0"/>
              <w:ind w:right="60"/>
              <w:jc w:val="center"/>
              <w:rPr>
                <w:noProof/>
                <w:sz w:val="8"/>
                <w:szCs w:val="8"/>
                <w:lang w:val="en-GB" w:eastAsia="en-GB"/>
              </w:rPr>
            </w:pPr>
          </w:p>
          <w:p w:rsidR="0022138B" w:rsidRPr="005E4CFB" w:rsidRDefault="0022138B" w:rsidP="005E4CFB">
            <w:pPr>
              <w:autoSpaceDE w:val="0"/>
              <w:autoSpaceDN w:val="0"/>
              <w:adjustRightInd w:val="0"/>
              <w:ind w:right="60"/>
              <w:jc w:val="center"/>
              <w:rPr>
                <w:b/>
                <w:bCs/>
                <w:rtl/>
              </w:rPr>
            </w:pPr>
            <w:r w:rsidRPr="0022138B">
              <w:rPr>
                <w:noProof/>
                <w:rtl/>
                <w:lang w:val="en-GB" w:eastAsia="en-GB"/>
              </w:rPr>
              <w:drawing>
                <wp:inline distT="0" distB="0" distL="0" distR="0">
                  <wp:extent cx="5562600" cy="2724150"/>
                  <wp:effectExtent l="0" t="0" r="0" b="0"/>
                  <wp:docPr id="44"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F21F6" w:rsidRDefault="008F21F6" w:rsidP="008F21F6">
      <w:pPr>
        <w:pStyle w:val="FootnoteText"/>
      </w:pPr>
      <w:proofErr w:type="spellStart"/>
      <w:r>
        <w:rPr>
          <w:rStyle w:val="FootnoteReference"/>
          <w:rtl/>
        </w:rPr>
        <w:t>*</w:t>
      </w:r>
      <w:proofErr w:type="spellEnd"/>
      <w:r>
        <w:t xml:space="preserve"> Kinship refers to first cousin (son/daughter of matrimonial or patrimonial uncle or aunt)</w:t>
      </w:r>
    </w:p>
    <w:p w:rsidR="004402A6" w:rsidRPr="0058627D" w:rsidRDefault="000F11A7" w:rsidP="004402A6">
      <w:pPr>
        <w:bidi w:val="0"/>
        <w:jc w:val="lowKashida"/>
        <w:rPr>
          <w:b/>
          <w:bCs/>
        </w:rPr>
      </w:pPr>
      <w:r>
        <w:rPr>
          <w:b/>
          <w:bCs/>
        </w:rPr>
        <w:lastRenderedPageBreak/>
        <w:t>1.2</w:t>
      </w:r>
      <w:r w:rsidR="004402A6" w:rsidRPr="0058627D">
        <w:rPr>
          <w:b/>
          <w:bCs/>
          <w:rtl/>
        </w:rPr>
        <w:t xml:space="preserve"> </w:t>
      </w:r>
      <w:r w:rsidR="004402A6" w:rsidRPr="0058627D">
        <w:rPr>
          <w:b/>
          <w:bCs/>
        </w:rPr>
        <w:t>Housing Characteristics</w:t>
      </w:r>
      <w:r w:rsidR="004402A6" w:rsidRPr="0058627D">
        <w:rPr>
          <w:b/>
          <w:bCs/>
          <w:rtl/>
        </w:rPr>
        <w:t xml:space="preserve"> </w:t>
      </w:r>
    </w:p>
    <w:p w:rsidR="004402A6" w:rsidRPr="0058627D" w:rsidRDefault="004402A6" w:rsidP="000F11A7">
      <w:pPr>
        <w:autoSpaceDE w:val="0"/>
        <w:autoSpaceDN w:val="0"/>
        <w:bidi w:val="0"/>
        <w:adjustRightInd w:val="0"/>
        <w:rPr>
          <w:b/>
          <w:bCs/>
          <w:rtl/>
        </w:rPr>
      </w:pPr>
      <w:r w:rsidRPr="0058627D">
        <w:rPr>
          <w:b/>
          <w:bCs/>
          <w:rtl/>
        </w:rPr>
        <w:t>1.2.1</w:t>
      </w:r>
      <w:r w:rsidR="00601C16">
        <w:rPr>
          <w:b/>
          <w:bCs/>
        </w:rPr>
        <w:t xml:space="preserve"> </w:t>
      </w:r>
      <w:r w:rsidRPr="0058627D">
        <w:rPr>
          <w:b/>
          <w:bCs/>
        </w:rPr>
        <w:t>Type of Housing</w:t>
      </w:r>
    </w:p>
    <w:p w:rsidR="004402A6" w:rsidRPr="0058627D" w:rsidRDefault="004402A6" w:rsidP="004402A6">
      <w:pPr>
        <w:autoSpaceDE w:val="0"/>
        <w:autoSpaceDN w:val="0"/>
        <w:bidi w:val="0"/>
        <w:adjustRightInd w:val="0"/>
        <w:jc w:val="lowKashida"/>
        <w:rPr>
          <w:rtl/>
        </w:rPr>
      </w:pPr>
      <w:r w:rsidRPr="0058627D">
        <w:t>Survey findings showed that 0.4% of households in Palestine live in villas, 50.2% dwell in houses and 47.7% in apartments. By region, data showed that households that dwell in houses reached 62.2% in the West Bank and 27.2% in the Gaza Strip. Households living in apartments reached 35.6% in the West Bank and 71.1% in the Gaza Strip.</w:t>
      </w:r>
    </w:p>
    <w:p w:rsidR="004402A6" w:rsidRPr="0058627D" w:rsidRDefault="004402A6" w:rsidP="004402A6">
      <w:pPr>
        <w:autoSpaceDE w:val="0"/>
        <w:autoSpaceDN w:val="0"/>
        <w:adjustRightInd w:val="0"/>
        <w:jc w:val="center"/>
        <w:rPr>
          <w:b/>
          <w:bCs/>
          <w:rtl/>
        </w:rPr>
      </w:pPr>
    </w:p>
    <w:p w:rsidR="004402A6" w:rsidRDefault="004402A6" w:rsidP="004402A6">
      <w:pPr>
        <w:autoSpaceDE w:val="0"/>
        <w:autoSpaceDN w:val="0"/>
        <w:adjustRightInd w:val="0"/>
        <w:jc w:val="center"/>
        <w:rPr>
          <w:b/>
          <w:bCs/>
          <w:sz w:val="22"/>
          <w:szCs w:val="22"/>
        </w:rPr>
      </w:pPr>
      <w:r w:rsidRPr="0058627D">
        <w:rPr>
          <w:b/>
          <w:bCs/>
          <w:sz w:val="22"/>
          <w:szCs w:val="22"/>
        </w:rPr>
        <w:t>Palestinian Household Distribution by Area and Type of Housing,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000439" w:rsidRPr="005E4CFB" w:rsidTr="0022138B">
        <w:trPr>
          <w:trHeight w:val="4033"/>
        </w:trPr>
        <w:tc>
          <w:tcPr>
            <w:tcW w:w="9289" w:type="dxa"/>
          </w:tcPr>
          <w:p w:rsidR="00000439" w:rsidRPr="0022138B" w:rsidRDefault="00000439" w:rsidP="005E4CFB">
            <w:pPr>
              <w:autoSpaceDE w:val="0"/>
              <w:autoSpaceDN w:val="0"/>
              <w:adjustRightInd w:val="0"/>
              <w:jc w:val="center"/>
              <w:rPr>
                <w:b/>
                <w:bCs/>
                <w:noProof/>
                <w:sz w:val="10"/>
                <w:szCs w:val="10"/>
                <w:lang w:val="en-GB" w:eastAsia="en-GB"/>
              </w:rPr>
            </w:pPr>
          </w:p>
          <w:p w:rsidR="0022138B" w:rsidRPr="005E4CFB" w:rsidRDefault="0022138B" w:rsidP="005E4CFB">
            <w:pPr>
              <w:autoSpaceDE w:val="0"/>
              <w:autoSpaceDN w:val="0"/>
              <w:adjustRightInd w:val="0"/>
              <w:jc w:val="center"/>
              <w:rPr>
                <w:b/>
                <w:bCs/>
                <w:sz w:val="22"/>
                <w:szCs w:val="22"/>
                <w:rtl/>
              </w:rPr>
            </w:pPr>
            <w:r w:rsidRPr="0022138B">
              <w:rPr>
                <w:b/>
                <w:bCs/>
                <w:noProof/>
                <w:rtl/>
                <w:lang w:val="en-GB" w:eastAsia="en-GB"/>
              </w:rPr>
              <w:drawing>
                <wp:inline distT="0" distB="0" distL="0" distR="0">
                  <wp:extent cx="5619750" cy="2362200"/>
                  <wp:effectExtent l="0" t="0" r="0" b="0"/>
                  <wp:docPr id="45"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4402A6" w:rsidRDefault="004402A6" w:rsidP="00000439">
      <w:pPr>
        <w:bidi w:val="0"/>
        <w:rPr>
          <w:sz w:val="18"/>
          <w:szCs w:val="18"/>
        </w:rPr>
      </w:pPr>
      <w:r w:rsidRPr="0058627D">
        <w:rPr>
          <w:sz w:val="18"/>
          <w:szCs w:val="18"/>
        </w:rPr>
        <w:t>* other includes independent rooms, tents, barracks, caravans, shelter houses/ public shelter</w:t>
      </w:r>
    </w:p>
    <w:p w:rsidR="008F21F6" w:rsidRPr="0058627D" w:rsidRDefault="008F21F6" w:rsidP="008F21F6">
      <w:pPr>
        <w:bidi w:val="0"/>
        <w:ind w:firstLine="566"/>
        <w:rPr>
          <w:sz w:val="18"/>
          <w:szCs w:val="18"/>
          <w:rtl/>
        </w:rPr>
      </w:pPr>
    </w:p>
    <w:p w:rsidR="004402A6" w:rsidRPr="0058627D" w:rsidRDefault="000F11A7" w:rsidP="004402A6">
      <w:pPr>
        <w:bidi w:val="0"/>
        <w:rPr>
          <w:b/>
          <w:bCs/>
          <w:rtl/>
        </w:rPr>
      </w:pPr>
      <w:r>
        <w:rPr>
          <w:b/>
          <w:bCs/>
        </w:rPr>
        <w:t>1.2.1</w:t>
      </w:r>
      <w:r w:rsidR="004402A6" w:rsidRPr="0058627D">
        <w:rPr>
          <w:b/>
          <w:bCs/>
          <w:rtl/>
        </w:rPr>
        <w:t xml:space="preserve"> </w:t>
      </w:r>
      <w:r w:rsidR="00601C16">
        <w:rPr>
          <w:b/>
          <w:bCs/>
        </w:rPr>
        <w:t xml:space="preserve"> </w:t>
      </w:r>
      <w:r w:rsidR="004402A6" w:rsidRPr="0058627D">
        <w:rPr>
          <w:b/>
          <w:bCs/>
        </w:rPr>
        <w:t>Housing Ownership</w:t>
      </w:r>
    </w:p>
    <w:p w:rsidR="004402A6" w:rsidRDefault="004402A6" w:rsidP="004402A6">
      <w:pPr>
        <w:autoSpaceDE w:val="0"/>
        <w:autoSpaceDN w:val="0"/>
        <w:bidi w:val="0"/>
        <w:adjustRightInd w:val="0"/>
        <w:jc w:val="lowKashida"/>
      </w:pPr>
      <w:r w:rsidRPr="0058627D">
        <w:t>Survey findings for 2014 showed that the percentage of households who dwell in family owned housings reached 77.1%. Regarding housing ownership without pay, the percentage was 13.7% of households in Palestine while 9.0% of households in Palestine dwell in rented housings.</w:t>
      </w:r>
    </w:p>
    <w:p w:rsidR="004402A6" w:rsidRDefault="004402A6" w:rsidP="004402A6">
      <w:pPr>
        <w:autoSpaceDE w:val="0"/>
        <w:autoSpaceDN w:val="0"/>
        <w:adjustRightInd w:val="0"/>
        <w:jc w:val="center"/>
        <w:rPr>
          <w:b/>
          <w:bCs/>
          <w:sz w:val="22"/>
          <w:szCs w:val="22"/>
        </w:rPr>
      </w:pPr>
      <w:r w:rsidRPr="0058627D">
        <w:rPr>
          <w:b/>
          <w:bCs/>
          <w:sz w:val="22"/>
          <w:szCs w:val="22"/>
        </w:rPr>
        <w:t>Percentage Distribution of Palestinian Households by Housing Ownership and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22138B">
        <w:trPr>
          <w:trHeight w:val="4454"/>
        </w:trPr>
        <w:tc>
          <w:tcPr>
            <w:tcW w:w="9289" w:type="dxa"/>
          </w:tcPr>
          <w:p w:rsidR="004202F6" w:rsidRPr="0022138B" w:rsidRDefault="004202F6" w:rsidP="005E4CFB">
            <w:pPr>
              <w:autoSpaceDE w:val="0"/>
              <w:autoSpaceDN w:val="0"/>
              <w:adjustRightInd w:val="0"/>
              <w:jc w:val="center"/>
              <w:rPr>
                <w:b/>
                <w:bCs/>
                <w:noProof/>
                <w:sz w:val="8"/>
                <w:szCs w:val="8"/>
                <w:lang w:val="en-GB" w:eastAsia="en-GB"/>
              </w:rPr>
            </w:pPr>
          </w:p>
          <w:p w:rsidR="0022138B" w:rsidRPr="005E4CFB" w:rsidRDefault="0022138B" w:rsidP="005E4CFB">
            <w:pPr>
              <w:autoSpaceDE w:val="0"/>
              <w:autoSpaceDN w:val="0"/>
              <w:adjustRightInd w:val="0"/>
              <w:jc w:val="center"/>
              <w:rPr>
                <w:b/>
                <w:bCs/>
                <w:sz w:val="22"/>
                <w:szCs w:val="22"/>
                <w:rtl/>
              </w:rPr>
            </w:pPr>
            <w:r w:rsidRPr="0022138B">
              <w:rPr>
                <w:b/>
                <w:bCs/>
                <w:noProof/>
                <w:rtl/>
                <w:lang w:val="en-GB" w:eastAsia="en-GB"/>
              </w:rPr>
              <w:drawing>
                <wp:inline distT="0" distB="0" distL="0" distR="0">
                  <wp:extent cx="5638800" cy="2667000"/>
                  <wp:effectExtent l="0" t="0" r="0" b="0"/>
                  <wp:docPr id="46"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4402A6" w:rsidRPr="0058627D" w:rsidRDefault="004402A6" w:rsidP="004402A6">
      <w:pPr>
        <w:bidi w:val="0"/>
        <w:rPr>
          <w:sz w:val="18"/>
          <w:szCs w:val="18"/>
          <w:rtl/>
        </w:rPr>
      </w:pPr>
      <w:r w:rsidRPr="0058627D">
        <w:rPr>
          <w:sz w:val="18"/>
          <w:szCs w:val="18"/>
        </w:rPr>
        <w:t>* Refers to owner via loan/mortgage. Rented includes furnished and unfurnished housings. Other includes in exchange of labor.</w:t>
      </w:r>
    </w:p>
    <w:p w:rsidR="004402A6" w:rsidRDefault="004402A6" w:rsidP="004402A6">
      <w:pPr>
        <w:rPr>
          <w:b/>
          <w:bCs/>
        </w:rPr>
      </w:pPr>
    </w:p>
    <w:p w:rsidR="0022138B" w:rsidRDefault="0022138B" w:rsidP="004402A6">
      <w:pPr>
        <w:rPr>
          <w:b/>
          <w:bCs/>
        </w:rPr>
      </w:pPr>
    </w:p>
    <w:p w:rsidR="004402A6" w:rsidRPr="0058627D" w:rsidRDefault="000F11A7" w:rsidP="000F11A7">
      <w:pPr>
        <w:autoSpaceDE w:val="0"/>
        <w:autoSpaceDN w:val="0"/>
        <w:bidi w:val="0"/>
        <w:adjustRightInd w:val="0"/>
        <w:rPr>
          <w:b/>
          <w:bCs/>
          <w:rtl/>
        </w:rPr>
      </w:pPr>
      <w:r>
        <w:rPr>
          <w:b/>
          <w:bCs/>
        </w:rPr>
        <w:lastRenderedPageBreak/>
        <w:t xml:space="preserve">1.2.3 </w:t>
      </w:r>
      <w:r w:rsidR="00601C16">
        <w:rPr>
          <w:b/>
          <w:bCs/>
        </w:rPr>
        <w:t xml:space="preserve"> </w:t>
      </w:r>
      <w:r w:rsidR="004402A6" w:rsidRPr="0058627D">
        <w:rPr>
          <w:b/>
          <w:bCs/>
        </w:rPr>
        <w:t>Availability of Connection to Water Networks in Housing</w:t>
      </w:r>
    </w:p>
    <w:p w:rsidR="004402A6" w:rsidRPr="0058627D" w:rsidRDefault="004402A6" w:rsidP="004402A6">
      <w:pPr>
        <w:autoSpaceDE w:val="0"/>
        <w:autoSpaceDN w:val="0"/>
        <w:bidi w:val="0"/>
        <w:adjustRightInd w:val="0"/>
        <w:jc w:val="lowKashida"/>
        <w:rPr>
          <w:rtl/>
        </w:rPr>
      </w:pPr>
      <w:r w:rsidRPr="0058627D">
        <w:t>Survey findings showed that 37.7% of households in Palestine dwell in houses with ongoing (uninterrupted) water service, with 56.3% in the West Bank, compared to 5.8% in the Gaza Strip. The percentage of households in Palestine that suffer interruption of water service for more than once a week reached 30.3% being 16.5% in the West Bank compared to 54.0% in the Gaza Strip.</w:t>
      </w:r>
    </w:p>
    <w:p w:rsidR="004402A6" w:rsidRPr="007C052E" w:rsidRDefault="004402A6" w:rsidP="004402A6">
      <w:pPr>
        <w:autoSpaceDE w:val="0"/>
        <w:autoSpaceDN w:val="0"/>
        <w:adjustRightInd w:val="0"/>
        <w:rPr>
          <w:b/>
          <w:bCs/>
          <w:sz w:val="20"/>
          <w:szCs w:val="20"/>
          <w:rtl/>
        </w:rPr>
      </w:pPr>
      <w:r w:rsidRPr="0058627D">
        <w:rPr>
          <w:b/>
          <w:bCs/>
          <w:rtl/>
        </w:rPr>
        <w:t xml:space="preserve"> </w:t>
      </w:r>
    </w:p>
    <w:p w:rsidR="004402A6" w:rsidRDefault="004402A6" w:rsidP="004402A6">
      <w:pPr>
        <w:autoSpaceDE w:val="0"/>
        <w:autoSpaceDN w:val="0"/>
        <w:bidi w:val="0"/>
        <w:adjustRightInd w:val="0"/>
        <w:jc w:val="center"/>
        <w:rPr>
          <w:b/>
          <w:bCs/>
          <w:sz w:val="22"/>
          <w:szCs w:val="22"/>
        </w:rPr>
      </w:pPr>
      <w:r w:rsidRPr="0058627D">
        <w:rPr>
          <w:b/>
          <w:bCs/>
          <w:sz w:val="22"/>
          <w:szCs w:val="22"/>
        </w:rPr>
        <w:t>Percentage Distribution of Palestinian Households according to Interruption/Continuity of Water Service through Connection to Public Water Networks and by Region, 2014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B2173A">
        <w:trPr>
          <w:trHeight w:val="5248"/>
        </w:trPr>
        <w:tc>
          <w:tcPr>
            <w:tcW w:w="9289" w:type="dxa"/>
          </w:tcPr>
          <w:p w:rsidR="004202F6" w:rsidRDefault="004202F6" w:rsidP="005E4CFB">
            <w:pPr>
              <w:autoSpaceDE w:val="0"/>
              <w:autoSpaceDN w:val="0"/>
              <w:bidi w:val="0"/>
              <w:adjustRightInd w:val="0"/>
              <w:jc w:val="center"/>
              <w:rPr>
                <w:b/>
                <w:bCs/>
                <w:noProof/>
                <w:lang w:val="en-GB" w:eastAsia="en-GB"/>
              </w:rPr>
            </w:pPr>
          </w:p>
          <w:p w:rsidR="00B2173A" w:rsidRPr="005E4CFB" w:rsidRDefault="00B2173A" w:rsidP="00B2173A">
            <w:pPr>
              <w:autoSpaceDE w:val="0"/>
              <w:autoSpaceDN w:val="0"/>
              <w:bidi w:val="0"/>
              <w:adjustRightInd w:val="0"/>
              <w:jc w:val="center"/>
              <w:rPr>
                <w:b/>
                <w:bCs/>
                <w:sz w:val="22"/>
                <w:szCs w:val="22"/>
              </w:rPr>
            </w:pPr>
            <w:r w:rsidRPr="00B2173A">
              <w:rPr>
                <w:b/>
                <w:bCs/>
                <w:noProof/>
                <w:lang w:val="en-GB" w:eastAsia="en-GB"/>
              </w:rPr>
              <w:drawing>
                <wp:inline distT="0" distB="0" distL="0" distR="0">
                  <wp:extent cx="5667375" cy="3105150"/>
                  <wp:effectExtent l="0" t="0" r="0" b="0"/>
                  <wp:docPr id="83"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8253EC" w:rsidRPr="007C052E" w:rsidRDefault="008253EC" w:rsidP="004202F6">
      <w:pPr>
        <w:autoSpaceDE w:val="0"/>
        <w:autoSpaceDN w:val="0"/>
        <w:adjustRightInd w:val="0"/>
        <w:rPr>
          <w:b/>
          <w:bCs/>
          <w:sz w:val="20"/>
          <w:szCs w:val="20"/>
          <w:rtl/>
        </w:rPr>
      </w:pPr>
    </w:p>
    <w:p w:rsidR="004402A6" w:rsidRPr="0058627D" w:rsidRDefault="000F11A7" w:rsidP="004402A6">
      <w:pPr>
        <w:autoSpaceDE w:val="0"/>
        <w:autoSpaceDN w:val="0"/>
        <w:bidi w:val="0"/>
        <w:adjustRightInd w:val="0"/>
        <w:rPr>
          <w:b/>
          <w:bCs/>
          <w:rtl/>
        </w:rPr>
      </w:pPr>
      <w:r>
        <w:rPr>
          <w:b/>
          <w:bCs/>
        </w:rPr>
        <w:t>1.2.4</w:t>
      </w:r>
      <w:r w:rsidR="004402A6" w:rsidRPr="0058627D">
        <w:rPr>
          <w:b/>
          <w:bCs/>
          <w:rtl/>
        </w:rPr>
        <w:t xml:space="preserve"> </w:t>
      </w:r>
      <w:r w:rsidR="00601C16">
        <w:rPr>
          <w:b/>
          <w:bCs/>
        </w:rPr>
        <w:t xml:space="preserve"> </w:t>
      </w:r>
      <w:r w:rsidR="004402A6" w:rsidRPr="0058627D">
        <w:rPr>
          <w:b/>
          <w:bCs/>
        </w:rPr>
        <w:t xml:space="preserve">Connection to Electricity Network of Housing </w:t>
      </w:r>
    </w:p>
    <w:p w:rsidR="004402A6" w:rsidRPr="0058627D" w:rsidRDefault="004402A6" w:rsidP="004402A6">
      <w:pPr>
        <w:autoSpaceDE w:val="0"/>
        <w:autoSpaceDN w:val="0"/>
        <w:bidi w:val="0"/>
        <w:adjustRightInd w:val="0"/>
        <w:jc w:val="lowKashida"/>
        <w:rPr>
          <w:rtl/>
        </w:rPr>
      </w:pPr>
      <w:r w:rsidRPr="0058627D">
        <w:t>Findings showed that 61.8% of households in Palestine dwell in housings with ongoing connection to electricity services (uninterrupted). This percentage was 93.3% in the West Bank, compared to 1.7% in the Gaza Strip. Findings also showed that the percentage of households who live in housings with daily cuts of power (a number of hours per day) reached 33.3% being 0.2% in the West Bank and 96.6% in the Gaza Strip.</w:t>
      </w:r>
    </w:p>
    <w:p w:rsidR="004402A6" w:rsidRDefault="004402A6"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Pr="00C71850"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Default="007C052E" w:rsidP="004402A6">
      <w:pPr>
        <w:autoSpaceDE w:val="0"/>
        <w:autoSpaceDN w:val="0"/>
        <w:adjustRightInd w:val="0"/>
        <w:jc w:val="lowKashida"/>
        <w:rPr>
          <w:sz w:val="20"/>
          <w:szCs w:val="20"/>
        </w:rPr>
      </w:pPr>
    </w:p>
    <w:p w:rsidR="007C052E" w:rsidRPr="007C052E" w:rsidRDefault="007C052E" w:rsidP="004402A6">
      <w:pPr>
        <w:autoSpaceDE w:val="0"/>
        <w:autoSpaceDN w:val="0"/>
        <w:adjustRightInd w:val="0"/>
        <w:jc w:val="lowKashida"/>
        <w:rPr>
          <w:sz w:val="20"/>
          <w:szCs w:val="20"/>
        </w:rPr>
      </w:pPr>
    </w:p>
    <w:p w:rsidR="004402A6" w:rsidRDefault="004402A6" w:rsidP="004402A6">
      <w:pPr>
        <w:autoSpaceDE w:val="0"/>
        <w:autoSpaceDN w:val="0"/>
        <w:adjustRightInd w:val="0"/>
        <w:jc w:val="center"/>
        <w:rPr>
          <w:b/>
          <w:bCs/>
          <w:sz w:val="22"/>
          <w:szCs w:val="22"/>
        </w:rPr>
      </w:pPr>
      <w:r w:rsidRPr="0058627D">
        <w:rPr>
          <w:b/>
          <w:bCs/>
          <w:sz w:val="22"/>
          <w:szCs w:val="22"/>
        </w:rPr>
        <w:lastRenderedPageBreak/>
        <w:t>Percentage Distribution of Palestinian Household by Interruption/ Continuity of Electricity of Public Network Connection and by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FE79DC">
        <w:trPr>
          <w:trHeight w:val="4495"/>
        </w:trPr>
        <w:tc>
          <w:tcPr>
            <w:tcW w:w="9289" w:type="dxa"/>
          </w:tcPr>
          <w:p w:rsidR="004202F6" w:rsidRPr="00E810E6" w:rsidRDefault="004202F6" w:rsidP="005E4CFB">
            <w:pPr>
              <w:autoSpaceDE w:val="0"/>
              <w:autoSpaceDN w:val="0"/>
              <w:adjustRightInd w:val="0"/>
              <w:jc w:val="center"/>
              <w:rPr>
                <w:b/>
                <w:bCs/>
                <w:noProof/>
                <w:sz w:val="8"/>
                <w:szCs w:val="8"/>
                <w:lang w:val="en-GB" w:eastAsia="en-GB"/>
              </w:rPr>
            </w:pPr>
          </w:p>
          <w:p w:rsidR="00E810E6" w:rsidRPr="005E4CFB" w:rsidRDefault="00E810E6" w:rsidP="005E4CFB">
            <w:pPr>
              <w:autoSpaceDE w:val="0"/>
              <w:autoSpaceDN w:val="0"/>
              <w:adjustRightInd w:val="0"/>
              <w:jc w:val="center"/>
              <w:rPr>
                <w:b/>
                <w:bCs/>
                <w:sz w:val="22"/>
                <w:szCs w:val="22"/>
                <w:rtl/>
              </w:rPr>
            </w:pPr>
            <w:r w:rsidRPr="00E810E6">
              <w:rPr>
                <w:b/>
                <w:bCs/>
                <w:noProof/>
                <w:rtl/>
                <w:lang w:val="en-GB" w:eastAsia="en-GB"/>
              </w:rPr>
              <w:drawing>
                <wp:inline distT="0" distB="0" distL="0" distR="0">
                  <wp:extent cx="5791200" cy="2705100"/>
                  <wp:effectExtent l="0" t="0" r="0" b="0"/>
                  <wp:docPr id="48"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402A6" w:rsidRPr="0058627D" w:rsidRDefault="004402A6" w:rsidP="004202F6">
      <w:pPr>
        <w:autoSpaceDE w:val="0"/>
        <w:autoSpaceDN w:val="0"/>
        <w:adjustRightInd w:val="0"/>
        <w:rPr>
          <w:b/>
          <w:bCs/>
          <w:rtl/>
        </w:rPr>
      </w:pPr>
    </w:p>
    <w:p w:rsidR="004402A6" w:rsidRPr="0058627D" w:rsidRDefault="000F11A7" w:rsidP="004402A6">
      <w:pPr>
        <w:autoSpaceDE w:val="0"/>
        <w:autoSpaceDN w:val="0"/>
        <w:bidi w:val="0"/>
        <w:adjustRightInd w:val="0"/>
        <w:rPr>
          <w:b/>
          <w:bCs/>
          <w:rtl/>
        </w:rPr>
      </w:pPr>
      <w:r>
        <w:rPr>
          <w:b/>
          <w:bCs/>
        </w:rPr>
        <w:t>1.2.5</w:t>
      </w:r>
      <w:r w:rsidR="004402A6" w:rsidRPr="0058627D">
        <w:rPr>
          <w:b/>
          <w:bCs/>
          <w:rtl/>
        </w:rPr>
        <w:t xml:space="preserve"> </w:t>
      </w:r>
      <w:r w:rsidR="00601C16">
        <w:rPr>
          <w:b/>
          <w:bCs/>
        </w:rPr>
        <w:t xml:space="preserve"> </w:t>
      </w:r>
      <w:r w:rsidR="004402A6" w:rsidRPr="0058627D">
        <w:rPr>
          <w:b/>
          <w:bCs/>
        </w:rPr>
        <w:t>Source of Drinking Water in Housing</w:t>
      </w:r>
    </w:p>
    <w:p w:rsidR="004402A6" w:rsidRPr="0058627D" w:rsidRDefault="004402A6" w:rsidP="004402A6">
      <w:pPr>
        <w:autoSpaceDE w:val="0"/>
        <w:autoSpaceDN w:val="0"/>
        <w:bidi w:val="0"/>
        <w:adjustRightInd w:val="0"/>
        <w:jc w:val="lowKashida"/>
        <w:rPr>
          <w:rtl/>
        </w:rPr>
      </w:pPr>
      <w:r w:rsidRPr="0058627D">
        <w:t>Survey Findings for 2014 showed that the source of drinking water for household members was piped water for 63.2% of households in Palestine, being 92.9% in the West Bank and 6.1% in the Gaza Strip. Water tank purchase was source of drinking water for 36.1% of households, being 10.7% in the West Bank, compared to 84.8% in the Gaza Strip.</w:t>
      </w:r>
    </w:p>
    <w:p w:rsidR="004402A6" w:rsidRPr="0058627D" w:rsidRDefault="004402A6" w:rsidP="004402A6">
      <w:pPr>
        <w:autoSpaceDE w:val="0"/>
        <w:autoSpaceDN w:val="0"/>
        <w:adjustRightInd w:val="0"/>
        <w:rPr>
          <w:b/>
          <w:bCs/>
        </w:rPr>
      </w:pPr>
    </w:p>
    <w:p w:rsidR="004402A6" w:rsidRDefault="004402A6" w:rsidP="004402A6">
      <w:pPr>
        <w:autoSpaceDE w:val="0"/>
        <w:autoSpaceDN w:val="0"/>
        <w:adjustRightInd w:val="0"/>
        <w:jc w:val="center"/>
        <w:rPr>
          <w:b/>
          <w:bCs/>
          <w:sz w:val="22"/>
          <w:szCs w:val="22"/>
        </w:rPr>
      </w:pPr>
      <w:r w:rsidRPr="0058627D">
        <w:rPr>
          <w:b/>
          <w:bCs/>
          <w:sz w:val="22"/>
          <w:szCs w:val="22"/>
        </w:rPr>
        <w:t>Percentage of Palestinian Households According to Source of Drinking Water and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E810E6">
        <w:trPr>
          <w:trHeight w:val="4410"/>
        </w:trPr>
        <w:tc>
          <w:tcPr>
            <w:tcW w:w="9289" w:type="dxa"/>
          </w:tcPr>
          <w:p w:rsidR="004202F6" w:rsidRPr="00E810E6" w:rsidRDefault="004202F6" w:rsidP="005E4CFB">
            <w:pPr>
              <w:autoSpaceDE w:val="0"/>
              <w:autoSpaceDN w:val="0"/>
              <w:adjustRightInd w:val="0"/>
              <w:jc w:val="center"/>
              <w:rPr>
                <w:b/>
                <w:bCs/>
                <w:noProof/>
                <w:sz w:val="8"/>
                <w:szCs w:val="8"/>
                <w:lang w:val="en-GB" w:eastAsia="en-GB"/>
              </w:rPr>
            </w:pPr>
          </w:p>
          <w:p w:rsidR="00E810E6" w:rsidRPr="005E4CFB" w:rsidRDefault="00E810E6" w:rsidP="005E4CFB">
            <w:pPr>
              <w:autoSpaceDE w:val="0"/>
              <w:autoSpaceDN w:val="0"/>
              <w:adjustRightInd w:val="0"/>
              <w:jc w:val="center"/>
              <w:rPr>
                <w:b/>
                <w:bCs/>
                <w:sz w:val="22"/>
                <w:szCs w:val="22"/>
                <w:rtl/>
              </w:rPr>
            </w:pPr>
            <w:r w:rsidRPr="00E810E6">
              <w:rPr>
                <w:b/>
                <w:bCs/>
                <w:noProof/>
                <w:rtl/>
                <w:lang w:val="en-GB" w:eastAsia="en-GB"/>
              </w:rPr>
              <w:drawing>
                <wp:inline distT="0" distB="0" distL="0" distR="0">
                  <wp:extent cx="5772150" cy="2581275"/>
                  <wp:effectExtent l="0" t="0" r="0" b="0"/>
                  <wp:docPr id="49"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4202F6" w:rsidRPr="0058627D" w:rsidRDefault="004202F6" w:rsidP="004402A6">
      <w:pPr>
        <w:autoSpaceDE w:val="0"/>
        <w:autoSpaceDN w:val="0"/>
        <w:adjustRightInd w:val="0"/>
        <w:jc w:val="center"/>
        <w:rPr>
          <w:b/>
          <w:bCs/>
          <w:sz w:val="22"/>
          <w:szCs w:val="22"/>
          <w:rtl/>
        </w:rPr>
      </w:pPr>
    </w:p>
    <w:p w:rsidR="004402A6" w:rsidRPr="0058627D" w:rsidRDefault="000F11A7" w:rsidP="00BF6D44">
      <w:pPr>
        <w:autoSpaceDE w:val="0"/>
        <w:autoSpaceDN w:val="0"/>
        <w:bidi w:val="0"/>
        <w:adjustRightInd w:val="0"/>
      </w:pPr>
      <w:r>
        <w:rPr>
          <w:b/>
          <w:bCs/>
        </w:rPr>
        <w:t>1.2.6</w:t>
      </w:r>
      <w:r w:rsidR="004402A6" w:rsidRPr="0058627D">
        <w:rPr>
          <w:b/>
          <w:bCs/>
          <w:rtl/>
        </w:rPr>
        <w:t xml:space="preserve"> </w:t>
      </w:r>
      <w:r w:rsidR="00601C16">
        <w:rPr>
          <w:b/>
          <w:bCs/>
        </w:rPr>
        <w:t xml:space="preserve"> </w:t>
      </w:r>
      <w:r w:rsidR="004402A6" w:rsidRPr="0058627D">
        <w:rPr>
          <w:b/>
          <w:bCs/>
        </w:rPr>
        <w:t>Availability of Durable Goods</w:t>
      </w:r>
    </w:p>
    <w:p w:rsidR="004402A6" w:rsidRPr="0058627D" w:rsidRDefault="004402A6" w:rsidP="00924D5F">
      <w:pPr>
        <w:bidi w:val="0"/>
        <w:jc w:val="both"/>
      </w:pPr>
      <w:r w:rsidRPr="0058627D">
        <w:t>Findings showed that 19.7% of Households in Palestine own a private car, with 26.1% in the West Bank and 7.4% in the Gaza Strip. Percentage of households whose members own Palestinian mobile lines reached 9</w:t>
      </w:r>
      <w:r w:rsidR="00BF6D44">
        <w:t>0</w:t>
      </w:r>
      <w:r w:rsidRPr="0058627D">
        <w:t>.2%, being 86.8% in the West Bank and 96.9% in the Gaza strip</w:t>
      </w:r>
      <w:r w:rsidR="00BF6D44">
        <w:t>, also</w:t>
      </w:r>
      <w:r w:rsidR="00BF6D44" w:rsidRPr="00BF6D44">
        <w:t xml:space="preserve"> </w:t>
      </w:r>
      <w:r w:rsidR="00BF6D44" w:rsidRPr="0058627D">
        <w:t xml:space="preserve">33.6% of households in Palestine have an phone line with </w:t>
      </w:r>
      <w:r w:rsidR="00BF6D44">
        <w:t>36.3</w:t>
      </w:r>
      <w:r w:rsidR="00BF6D44" w:rsidRPr="0058627D">
        <w:t xml:space="preserve">% in the West Bank and </w:t>
      </w:r>
      <w:r w:rsidR="00BF6D44">
        <w:t>28.5</w:t>
      </w:r>
      <w:r w:rsidR="00BF6D44" w:rsidRPr="0058627D">
        <w:t>% in the Gaza Strip</w:t>
      </w:r>
      <w:r w:rsidR="00BF6D44">
        <w:t xml:space="preserve"> </w:t>
      </w:r>
      <w:r w:rsidRPr="0058627D">
        <w:t xml:space="preserve">. Data also showed that </w:t>
      </w:r>
      <w:r w:rsidR="00BF6D44">
        <w:rPr>
          <w:rFonts w:hint="cs"/>
          <w:rtl/>
        </w:rPr>
        <w:t>20.1</w:t>
      </w:r>
      <w:r w:rsidRPr="0058627D">
        <w:t xml:space="preserve">% of households in Palestine have an Israeli mobile phone line with 30.4% in the West Bank and 0.5% in the Gaza Strip. The </w:t>
      </w:r>
      <w:r w:rsidRPr="0058627D">
        <w:lastRenderedPageBreak/>
        <w:t>percentage of households with smart phones reached 58.8%, and with tablets reached 13.1%. households with a laptop/notebook represented 27.0% while 29.1% own a PC.</w:t>
      </w:r>
    </w:p>
    <w:p w:rsidR="005A1ADC" w:rsidRPr="00E6401C" w:rsidRDefault="005A1ADC" w:rsidP="004402A6">
      <w:pPr>
        <w:autoSpaceDE w:val="0"/>
        <w:autoSpaceDN w:val="0"/>
        <w:adjustRightInd w:val="0"/>
        <w:jc w:val="center"/>
        <w:rPr>
          <w:b/>
          <w:bCs/>
          <w:sz w:val="20"/>
          <w:szCs w:val="20"/>
        </w:rPr>
      </w:pPr>
    </w:p>
    <w:p w:rsidR="004402A6" w:rsidRDefault="004402A6" w:rsidP="004402A6">
      <w:pPr>
        <w:autoSpaceDE w:val="0"/>
        <w:autoSpaceDN w:val="0"/>
        <w:adjustRightInd w:val="0"/>
        <w:jc w:val="center"/>
        <w:rPr>
          <w:b/>
          <w:bCs/>
          <w:sz w:val="22"/>
          <w:szCs w:val="22"/>
        </w:rPr>
      </w:pPr>
      <w:r w:rsidRPr="0058627D">
        <w:rPr>
          <w:b/>
          <w:bCs/>
          <w:sz w:val="22"/>
          <w:szCs w:val="22"/>
        </w:rPr>
        <w:t>Percentage of Palestinian Households with Durable Goods,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E6401C">
        <w:trPr>
          <w:trHeight w:val="12742"/>
        </w:trPr>
        <w:tc>
          <w:tcPr>
            <w:tcW w:w="9289" w:type="dxa"/>
          </w:tcPr>
          <w:p w:rsidR="004202F6" w:rsidRPr="00617847" w:rsidRDefault="004202F6" w:rsidP="005E4CFB">
            <w:pPr>
              <w:autoSpaceDE w:val="0"/>
              <w:autoSpaceDN w:val="0"/>
              <w:adjustRightInd w:val="0"/>
              <w:jc w:val="center"/>
              <w:rPr>
                <w:b/>
                <w:bCs/>
                <w:noProof/>
                <w:sz w:val="12"/>
                <w:szCs w:val="12"/>
                <w:lang w:eastAsia="en-GB"/>
              </w:rPr>
            </w:pPr>
          </w:p>
          <w:p w:rsidR="00617847" w:rsidRPr="00617847" w:rsidRDefault="00617847" w:rsidP="005E4CFB">
            <w:pPr>
              <w:autoSpaceDE w:val="0"/>
              <w:autoSpaceDN w:val="0"/>
              <w:adjustRightInd w:val="0"/>
              <w:jc w:val="center"/>
              <w:rPr>
                <w:b/>
                <w:bCs/>
                <w:sz w:val="22"/>
                <w:szCs w:val="22"/>
                <w:rtl/>
              </w:rPr>
            </w:pPr>
            <w:r w:rsidRPr="00617847">
              <w:rPr>
                <w:b/>
                <w:bCs/>
                <w:noProof/>
                <w:rtl/>
                <w:lang w:eastAsia="en-GB"/>
              </w:rPr>
              <w:drawing>
                <wp:inline distT="0" distB="0" distL="0" distR="0">
                  <wp:extent cx="4467225" cy="7848600"/>
                  <wp:effectExtent l="0" t="0" r="0" b="0"/>
                  <wp:docPr id="5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4402A6" w:rsidRPr="0058627D" w:rsidRDefault="000F11A7" w:rsidP="004402A6">
      <w:pPr>
        <w:autoSpaceDE w:val="0"/>
        <w:autoSpaceDN w:val="0"/>
        <w:bidi w:val="0"/>
        <w:adjustRightInd w:val="0"/>
        <w:rPr>
          <w:b/>
          <w:bCs/>
        </w:rPr>
      </w:pPr>
      <w:r>
        <w:rPr>
          <w:b/>
          <w:bCs/>
        </w:rPr>
        <w:lastRenderedPageBreak/>
        <w:t>1.3</w:t>
      </w:r>
      <w:r w:rsidR="004402A6" w:rsidRPr="0058627D">
        <w:rPr>
          <w:b/>
          <w:bCs/>
        </w:rPr>
        <w:t xml:space="preserve"> Assistance</w:t>
      </w:r>
      <w:r w:rsidR="009968AB">
        <w:rPr>
          <w:b/>
          <w:bCs/>
        </w:rPr>
        <w:t>s</w:t>
      </w:r>
      <w:r w:rsidR="004402A6" w:rsidRPr="0058627D">
        <w:rPr>
          <w:b/>
          <w:bCs/>
          <w:rtl/>
        </w:rPr>
        <w:t xml:space="preserve"> </w:t>
      </w:r>
    </w:p>
    <w:p w:rsidR="004402A6" w:rsidRPr="0058627D" w:rsidRDefault="004402A6" w:rsidP="004402A6">
      <w:pPr>
        <w:autoSpaceDE w:val="0"/>
        <w:autoSpaceDN w:val="0"/>
        <w:bidi w:val="0"/>
        <w:adjustRightInd w:val="0"/>
        <w:jc w:val="lowKashida"/>
        <w:rPr>
          <w:rtl/>
        </w:rPr>
      </w:pPr>
      <w:r w:rsidRPr="0058627D">
        <w:t xml:space="preserve">Findings showed that 39.5% of households or any member thereof received assistance in 2014, with 16.3% in the West Bank, compared to 84.1% in the Gaza Strip. Gaza Strip governorates scored highest as regards reception of assistance with </w:t>
      </w:r>
      <w:proofErr w:type="spellStart"/>
      <w:r w:rsidRPr="0058627D">
        <w:t>Rafah</w:t>
      </w:r>
      <w:proofErr w:type="spellEnd"/>
      <w:r w:rsidRPr="0058627D">
        <w:t xml:space="preserve"> highest at 92.6% while the lowest percentage of assistance reception was in Jerusalem and stood at 6.4%.</w:t>
      </w:r>
    </w:p>
    <w:p w:rsidR="004402A6" w:rsidRPr="0058627D" w:rsidRDefault="004402A6" w:rsidP="004402A6">
      <w:pPr>
        <w:autoSpaceDE w:val="0"/>
        <w:autoSpaceDN w:val="0"/>
        <w:adjustRightInd w:val="0"/>
        <w:rPr>
          <w:b/>
          <w:bCs/>
          <w:rtl/>
        </w:rPr>
      </w:pPr>
    </w:p>
    <w:p w:rsidR="004402A6" w:rsidRPr="00897967" w:rsidRDefault="004402A6" w:rsidP="004402A6">
      <w:pPr>
        <w:autoSpaceDE w:val="0"/>
        <w:autoSpaceDN w:val="0"/>
        <w:adjustRightInd w:val="0"/>
        <w:jc w:val="center"/>
        <w:rPr>
          <w:b/>
          <w:bCs/>
          <w:sz w:val="22"/>
          <w:szCs w:val="22"/>
        </w:rPr>
      </w:pPr>
      <w:r w:rsidRPr="00897967">
        <w:rPr>
          <w:b/>
          <w:bCs/>
          <w:sz w:val="22"/>
          <w:szCs w:val="22"/>
        </w:rPr>
        <w:t>Percentage of Palestinian Households Who Received Assistance by Governorate,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4202F6" w:rsidRPr="005E4CFB" w:rsidTr="00355C4B">
        <w:trPr>
          <w:trHeight w:val="5312"/>
        </w:trPr>
        <w:tc>
          <w:tcPr>
            <w:tcW w:w="9289" w:type="dxa"/>
          </w:tcPr>
          <w:p w:rsidR="004202F6" w:rsidRDefault="004202F6" w:rsidP="005E4CFB">
            <w:pPr>
              <w:autoSpaceDE w:val="0"/>
              <w:autoSpaceDN w:val="0"/>
              <w:adjustRightInd w:val="0"/>
              <w:jc w:val="center"/>
              <w:rPr>
                <w:b/>
                <w:bCs/>
                <w:noProof/>
                <w:lang w:val="en-GB" w:eastAsia="en-GB"/>
              </w:rPr>
            </w:pPr>
          </w:p>
          <w:p w:rsidR="00355C4B" w:rsidRPr="005E4CFB" w:rsidRDefault="00355C4B" w:rsidP="005E4CFB">
            <w:pPr>
              <w:autoSpaceDE w:val="0"/>
              <w:autoSpaceDN w:val="0"/>
              <w:adjustRightInd w:val="0"/>
              <w:jc w:val="center"/>
              <w:rPr>
                <w:b/>
                <w:bCs/>
                <w:rtl/>
              </w:rPr>
            </w:pPr>
            <w:r w:rsidRPr="00355C4B">
              <w:rPr>
                <w:b/>
                <w:bCs/>
                <w:noProof/>
                <w:rtl/>
                <w:lang w:val="en-GB" w:eastAsia="en-GB"/>
              </w:rPr>
              <w:drawing>
                <wp:inline distT="0" distB="0" distL="0" distR="0">
                  <wp:extent cx="5638800" cy="3038475"/>
                  <wp:effectExtent l="0" t="0" r="0" b="0"/>
                  <wp:docPr id="52"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AD3057" w:rsidRPr="0058627D" w:rsidRDefault="00AD3057" w:rsidP="00F93269">
      <w:pPr>
        <w:autoSpaceDE w:val="0"/>
        <w:autoSpaceDN w:val="0"/>
        <w:adjustRightInd w:val="0"/>
        <w:rPr>
          <w:b/>
          <w:bCs/>
        </w:rPr>
      </w:pPr>
    </w:p>
    <w:p w:rsidR="004402A6" w:rsidRPr="0058627D" w:rsidRDefault="004402A6" w:rsidP="005A1ADC">
      <w:pPr>
        <w:bidi w:val="0"/>
        <w:jc w:val="both"/>
      </w:pPr>
      <w:r w:rsidRPr="0058627D">
        <w:t>Survey Findings showed that the percentage of households who received in assistance in 2014 compared to 2013 has increased by 7.2%. The rise according to region showed that it was small in the West Bank compared to the Gaza Strip. The increase of assistance reception increased by 1.2% in the West Bank compared to 2013, while it increased by 18.4% for households in the Gaza Strip in the same period.</w:t>
      </w:r>
    </w:p>
    <w:p w:rsidR="004402A6" w:rsidRPr="0058627D" w:rsidRDefault="004402A6" w:rsidP="005A1ADC">
      <w:pPr>
        <w:bidi w:val="0"/>
        <w:jc w:val="both"/>
        <w:rPr>
          <w:b/>
          <w:bCs/>
          <w:sz w:val="22"/>
          <w:szCs w:val="22"/>
        </w:rPr>
      </w:pPr>
    </w:p>
    <w:p w:rsidR="004402A6" w:rsidRDefault="004402A6" w:rsidP="004402A6">
      <w:pPr>
        <w:jc w:val="center"/>
        <w:rPr>
          <w:b/>
          <w:bCs/>
          <w:sz w:val="22"/>
          <w:szCs w:val="22"/>
        </w:rPr>
      </w:pPr>
      <w:r w:rsidRPr="0058627D">
        <w:rPr>
          <w:b/>
          <w:bCs/>
          <w:sz w:val="22"/>
          <w:szCs w:val="22"/>
        </w:rPr>
        <w:t>Percentage of Households Who Received Assistance in 2013,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F93269" w:rsidRPr="005E4CFB" w:rsidTr="00355C4B">
        <w:trPr>
          <w:trHeight w:val="4342"/>
        </w:trPr>
        <w:tc>
          <w:tcPr>
            <w:tcW w:w="9289" w:type="dxa"/>
          </w:tcPr>
          <w:p w:rsidR="00F93269" w:rsidRDefault="00F93269" w:rsidP="005E4CFB">
            <w:pPr>
              <w:jc w:val="center"/>
              <w:rPr>
                <w:b/>
                <w:bCs/>
                <w:noProof/>
                <w:sz w:val="22"/>
                <w:szCs w:val="22"/>
                <w:lang w:val="en-GB" w:eastAsia="en-GB"/>
              </w:rPr>
            </w:pPr>
          </w:p>
          <w:p w:rsidR="00355C4B" w:rsidRPr="005E4CFB" w:rsidRDefault="00355C4B" w:rsidP="005E4CFB">
            <w:pPr>
              <w:jc w:val="center"/>
              <w:rPr>
                <w:b/>
                <w:bCs/>
                <w:sz w:val="22"/>
                <w:szCs w:val="22"/>
                <w:rtl/>
              </w:rPr>
            </w:pPr>
            <w:r w:rsidRPr="00355C4B">
              <w:rPr>
                <w:b/>
                <w:bCs/>
                <w:noProof/>
                <w:sz w:val="22"/>
                <w:szCs w:val="22"/>
                <w:rtl/>
                <w:lang w:val="en-GB" w:eastAsia="en-GB"/>
              </w:rPr>
              <w:drawing>
                <wp:inline distT="0" distB="0" distL="0" distR="0">
                  <wp:extent cx="5667375" cy="2438400"/>
                  <wp:effectExtent l="0" t="0" r="0" b="0"/>
                  <wp:docPr id="53" name="Objec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4402A6" w:rsidRPr="0058627D" w:rsidRDefault="004402A6" w:rsidP="004402A6">
      <w:pPr>
        <w:bidi w:val="0"/>
        <w:jc w:val="both"/>
        <w:rPr>
          <w:b/>
          <w:bCs/>
          <w:rtl/>
        </w:rPr>
      </w:pPr>
      <w:r w:rsidRPr="0058627D">
        <w:rPr>
          <w:b/>
          <w:bCs/>
          <w:rtl/>
        </w:rPr>
        <w:lastRenderedPageBreak/>
        <w:t>1.3.1</w:t>
      </w:r>
      <w:r w:rsidR="000F11A7">
        <w:rPr>
          <w:b/>
          <w:bCs/>
        </w:rPr>
        <w:t xml:space="preserve"> </w:t>
      </w:r>
      <w:r w:rsidRPr="0058627D">
        <w:rPr>
          <w:b/>
          <w:bCs/>
          <w:rtl/>
        </w:rPr>
        <w:t xml:space="preserve"> </w:t>
      </w:r>
      <w:r w:rsidRPr="0058627D">
        <w:rPr>
          <w:b/>
          <w:bCs/>
        </w:rPr>
        <w:t>Type of Assistance</w:t>
      </w:r>
    </w:p>
    <w:p w:rsidR="004402A6" w:rsidRPr="0058627D" w:rsidRDefault="004402A6" w:rsidP="00F93269">
      <w:pPr>
        <w:bidi w:val="0"/>
        <w:jc w:val="both"/>
        <w:rPr>
          <w:rtl/>
        </w:rPr>
      </w:pPr>
      <w:r w:rsidRPr="0058627D">
        <w:t>Survey findings for 2014 showed that 39.6% of households who received assistance in Palestine received food assistance. Cash assistance represented 17.5% and housing assistance constituted 13.4%. The percentage of assistance received by Palestinian households in the form of food ratio was 10.5% while health insurance assistance represented 10.2%.</w:t>
      </w:r>
    </w:p>
    <w:p w:rsidR="004402A6" w:rsidRPr="0058627D" w:rsidRDefault="000F11A7" w:rsidP="004402A6">
      <w:pPr>
        <w:bidi w:val="0"/>
        <w:jc w:val="both"/>
        <w:rPr>
          <w:b/>
          <w:bCs/>
          <w:rtl/>
        </w:rPr>
      </w:pPr>
      <w:r>
        <w:rPr>
          <w:b/>
          <w:bCs/>
        </w:rPr>
        <w:t>1.3.2</w:t>
      </w:r>
      <w:r w:rsidR="004402A6" w:rsidRPr="0058627D">
        <w:rPr>
          <w:b/>
          <w:bCs/>
          <w:rtl/>
        </w:rPr>
        <w:t xml:space="preserve"> </w:t>
      </w:r>
      <w:r w:rsidR="00601C16">
        <w:rPr>
          <w:b/>
          <w:bCs/>
        </w:rPr>
        <w:t xml:space="preserve"> </w:t>
      </w:r>
      <w:r w:rsidR="004402A6" w:rsidRPr="0058627D">
        <w:rPr>
          <w:b/>
          <w:bCs/>
        </w:rPr>
        <w:t>Source of Assistance</w:t>
      </w:r>
    </w:p>
    <w:p w:rsidR="004402A6" w:rsidRPr="0058627D" w:rsidRDefault="004402A6" w:rsidP="004402A6">
      <w:pPr>
        <w:bidi w:val="0"/>
        <w:jc w:val="both"/>
        <w:rPr>
          <w:rtl/>
        </w:rPr>
      </w:pPr>
      <w:r w:rsidRPr="0058627D">
        <w:t>Survey findings showed that 36.8% of assistance came from UNRWA in Palestine while the Ministry of Social Affairs (</w:t>
      </w:r>
      <w:proofErr w:type="spellStart"/>
      <w:r w:rsidRPr="0058627D">
        <w:t>MoSA</w:t>
      </w:r>
      <w:proofErr w:type="spellEnd"/>
      <w:r w:rsidRPr="0058627D">
        <w:t>) ranked second as it provided 18.2% of assistance. International and development agencies came third with 11.8% of assistance provided in 2014.</w:t>
      </w:r>
    </w:p>
    <w:p w:rsidR="004402A6" w:rsidRPr="0058627D" w:rsidRDefault="004402A6" w:rsidP="004402A6">
      <w:pPr>
        <w:jc w:val="both"/>
        <w:rPr>
          <w:rtl/>
        </w:rPr>
      </w:pPr>
    </w:p>
    <w:p w:rsidR="004402A6" w:rsidRPr="0058627D" w:rsidRDefault="004402A6" w:rsidP="004402A6">
      <w:pPr>
        <w:bidi w:val="0"/>
        <w:jc w:val="lowKashida"/>
      </w:pPr>
      <w:r w:rsidRPr="0058627D">
        <w:t xml:space="preserve">Survey Findings showed a decrease by 11.8% in assistance from Labor Unions compared to 2013. Moreover, assistance from family and relatives dropped by 4.6%. On the other hand, assistance </w:t>
      </w:r>
      <w:r w:rsidR="00AD3057" w:rsidRPr="0058627D">
        <w:t>from</w:t>
      </w:r>
      <w:r w:rsidRPr="0058627D">
        <w:t xml:space="preserve"> UNRWA in 2014 increased by 32.0% compared to 2013. Assistance from international and development agencies rose by 15.2% and assistance from </w:t>
      </w:r>
      <w:proofErr w:type="spellStart"/>
      <w:r w:rsidRPr="0058627D">
        <w:t>MoSA</w:t>
      </w:r>
      <w:proofErr w:type="spellEnd"/>
      <w:r w:rsidRPr="0058627D">
        <w:t xml:space="preserve"> and charitable and religious institutions increased by 14.3%</w:t>
      </w:r>
    </w:p>
    <w:p w:rsidR="004402A6" w:rsidRPr="0058627D" w:rsidRDefault="004402A6" w:rsidP="004402A6">
      <w:pPr>
        <w:jc w:val="lowKashida"/>
        <w:rPr>
          <w:rtl/>
        </w:rPr>
      </w:pPr>
    </w:p>
    <w:p w:rsidR="00243822" w:rsidRPr="00897967" w:rsidRDefault="004402A6" w:rsidP="00533C2F">
      <w:pPr>
        <w:jc w:val="center"/>
        <w:rPr>
          <w:b/>
          <w:bCs/>
          <w:sz w:val="22"/>
          <w:szCs w:val="22"/>
        </w:rPr>
      </w:pPr>
      <w:r w:rsidRPr="00897967">
        <w:rPr>
          <w:b/>
          <w:bCs/>
          <w:sz w:val="22"/>
          <w:szCs w:val="22"/>
        </w:rPr>
        <w:t>Change in Percentage of Assistance Received by Palestinian Households by Source of Assistance in 2013 and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F93269" w:rsidRPr="005E4CFB" w:rsidTr="00355C4B">
        <w:trPr>
          <w:trHeight w:val="5288"/>
        </w:trPr>
        <w:tc>
          <w:tcPr>
            <w:tcW w:w="9289" w:type="dxa"/>
          </w:tcPr>
          <w:p w:rsidR="00F93269" w:rsidRDefault="00F93269" w:rsidP="005E4CFB">
            <w:pPr>
              <w:jc w:val="center"/>
              <w:rPr>
                <w:rFonts w:ascii="Arial" w:hAnsi="Arial" w:cs="Arial"/>
                <w:b/>
                <w:bCs/>
                <w:noProof/>
                <w:lang w:val="en-GB" w:eastAsia="en-GB"/>
              </w:rPr>
            </w:pPr>
          </w:p>
          <w:p w:rsidR="00355C4B" w:rsidRPr="005E4CFB" w:rsidRDefault="00355C4B" w:rsidP="005E4CFB">
            <w:pPr>
              <w:jc w:val="center"/>
              <w:rPr>
                <w:rFonts w:ascii="Arial" w:hAnsi="Arial" w:cs="Arial"/>
                <w:b/>
                <w:bCs/>
                <w:rtl/>
              </w:rPr>
            </w:pPr>
            <w:r w:rsidRPr="00355C4B">
              <w:rPr>
                <w:rFonts w:ascii="Arial" w:hAnsi="Arial" w:cs="Arial"/>
                <w:b/>
                <w:bCs/>
                <w:noProof/>
                <w:rtl/>
                <w:lang w:val="en-GB" w:eastAsia="en-GB"/>
              </w:rPr>
              <w:drawing>
                <wp:inline distT="0" distB="0" distL="0" distR="0">
                  <wp:extent cx="5838825" cy="3057525"/>
                  <wp:effectExtent l="0" t="0" r="0" b="0"/>
                  <wp:docPr id="54"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51868" w:rsidRDefault="00F93269" w:rsidP="009F7FBB">
      <w:pPr>
        <w:tabs>
          <w:tab w:val="left" w:pos="763"/>
        </w:tabs>
        <w:rPr>
          <w:b/>
          <w:bCs/>
        </w:rPr>
      </w:pPr>
      <w:r>
        <w:rPr>
          <w:b/>
          <w:bCs/>
          <w:rtl/>
        </w:rPr>
        <w:tab/>
      </w:r>
    </w:p>
    <w:p w:rsidR="004402A6" w:rsidRPr="0058627D" w:rsidRDefault="000F11A7" w:rsidP="00651868">
      <w:pPr>
        <w:bidi w:val="0"/>
        <w:rPr>
          <w:b/>
          <w:bCs/>
          <w:rtl/>
        </w:rPr>
      </w:pPr>
      <w:r>
        <w:rPr>
          <w:b/>
          <w:bCs/>
        </w:rPr>
        <w:t>1.3.3</w:t>
      </w:r>
      <w:r w:rsidR="00AD3057">
        <w:rPr>
          <w:b/>
          <w:bCs/>
        </w:rPr>
        <w:t xml:space="preserve"> </w:t>
      </w:r>
      <w:r w:rsidR="004402A6" w:rsidRPr="0058627D">
        <w:rPr>
          <w:b/>
          <w:bCs/>
        </w:rPr>
        <w:t>Type of Assistance</w:t>
      </w:r>
    </w:p>
    <w:p w:rsidR="004402A6" w:rsidRPr="0058627D" w:rsidRDefault="004402A6" w:rsidP="004402A6">
      <w:pPr>
        <w:bidi w:val="0"/>
        <w:jc w:val="both"/>
        <w:rPr>
          <w:rtl/>
        </w:rPr>
      </w:pPr>
      <w:r w:rsidRPr="0058627D">
        <w:t>Survey findings showed that regular assistance to Palestine contributed 52.3% of total assistance in 2014, being 81.3% in the West Bank compared to 52.5% in the Gaza Strip. Contingency assistance represented 47.7% with 18.7% in the West Bank and 47.5% in the Gaza Strip.</w:t>
      </w:r>
    </w:p>
    <w:p w:rsidR="004402A6" w:rsidRDefault="004402A6" w:rsidP="004402A6">
      <w:pPr>
        <w:jc w:val="center"/>
        <w:rPr>
          <w:b/>
          <w:bCs/>
        </w:rPr>
      </w:pPr>
    </w:p>
    <w:p w:rsidR="00897967" w:rsidRDefault="00897967" w:rsidP="004402A6">
      <w:pPr>
        <w:jc w:val="center"/>
        <w:rPr>
          <w:b/>
          <w:bCs/>
        </w:rPr>
      </w:pPr>
    </w:p>
    <w:p w:rsidR="00897967" w:rsidRDefault="00897967" w:rsidP="004402A6">
      <w:pPr>
        <w:jc w:val="center"/>
        <w:rPr>
          <w:b/>
          <w:bCs/>
        </w:rPr>
      </w:pPr>
    </w:p>
    <w:p w:rsidR="00897967" w:rsidRDefault="00897967" w:rsidP="004402A6">
      <w:pPr>
        <w:jc w:val="center"/>
        <w:rPr>
          <w:b/>
          <w:bCs/>
        </w:rPr>
      </w:pPr>
    </w:p>
    <w:p w:rsidR="00897967" w:rsidRDefault="00897967" w:rsidP="004402A6">
      <w:pPr>
        <w:jc w:val="center"/>
        <w:rPr>
          <w:b/>
          <w:bCs/>
        </w:rPr>
      </w:pPr>
    </w:p>
    <w:p w:rsidR="00897967" w:rsidRPr="0058627D" w:rsidRDefault="00897967" w:rsidP="004402A6">
      <w:pPr>
        <w:jc w:val="center"/>
        <w:rPr>
          <w:b/>
          <w:bCs/>
        </w:rPr>
      </w:pPr>
    </w:p>
    <w:p w:rsidR="004402A6" w:rsidRPr="00897967" w:rsidRDefault="004402A6" w:rsidP="004402A6">
      <w:pPr>
        <w:jc w:val="center"/>
        <w:rPr>
          <w:b/>
          <w:bCs/>
          <w:sz w:val="22"/>
          <w:szCs w:val="22"/>
        </w:rPr>
      </w:pPr>
      <w:r w:rsidRPr="00897967">
        <w:rPr>
          <w:b/>
          <w:bCs/>
          <w:sz w:val="22"/>
          <w:szCs w:val="22"/>
        </w:rPr>
        <w:lastRenderedPageBreak/>
        <w:t>Percentage Distribution of Palestinian Households Who Received Assistance by Type of Assistance and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39"/>
      </w:tblGrid>
      <w:tr w:rsidR="009F7FBB" w:rsidRPr="005E4CFB" w:rsidTr="00355C4B">
        <w:trPr>
          <w:trHeight w:val="4457"/>
        </w:trPr>
        <w:tc>
          <w:tcPr>
            <w:tcW w:w="9039" w:type="dxa"/>
          </w:tcPr>
          <w:p w:rsidR="009F7FBB" w:rsidRDefault="009F7FBB" w:rsidP="005E4CFB">
            <w:pPr>
              <w:jc w:val="center"/>
              <w:rPr>
                <w:b/>
                <w:bCs/>
                <w:noProof/>
                <w:lang w:val="en-GB" w:eastAsia="en-GB"/>
              </w:rPr>
            </w:pPr>
          </w:p>
          <w:p w:rsidR="00355C4B" w:rsidRPr="005E4CFB" w:rsidRDefault="00355C4B" w:rsidP="005E4CFB">
            <w:pPr>
              <w:jc w:val="center"/>
              <w:rPr>
                <w:b/>
                <w:bCs/>
                <w:rtl/>
              </w:rPr>
            </w:pPr>
            <w:r w:rsidRPr="00355C4B">
              <w:rPr>
                <w:b/>
                <w:bCs/>
                <w:noProof/>
                <w:rtl/>
                <w:lang w:val="en-GB" w:eastAsia="en-GB"/>
              </w:rPr>
              <w:drawing>
                <wp:inline distT="0" distB="0" distL="0" distR="0">
                  <wp:extent cx="5429250" cy="2552700"/>
                  <wp:effectExtent l="0" t="0" r="0" b="0"/>
                  <wp:docPr id="55"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AD3057" w:rsidRPr="0058627D" w:rsidRDefault="00AD3057" w:rsidP="00355C4B">
      <w:pPr>
        <w:rPr>
          <w:b/>
          <w:bCs/>
          <w:rtl/>
        </w:rPr>
      </w:pPr>
    </w:p>
    <w:p w:rsidR="004402A6" w:rsidRDefault="004402A6" w:rsidP="00BF6D44">
      <w:pPr>
        <w:bidi w:val="0"/>
        <w:jc w:val="lowKashida"/>
      </w:pPr>
      <w:r w:rsidRPr="0058627D">
        <w:t>Survey findings for 2014 showed an increase by 35.4% in contingency assistance compared to 2013 at the expense of regular assistance. There was a slight increase in the contingency assistance in the West Bank compared with 2013 (3</w:t>
      </w:r>
      <w:r w:rsidR="00BF6D44">
        <w:t>.0%</w:t>
      </w:r>
      <w:r w:rsidRPr="0058627D">
        <w:t>) while the larger rise was in the Gaza Strip with 41.3% in 2014, compared to 2013.</w:t>
      </w:r>
    </w:p>
    <w:p w:rsidR="00645786" w:rsidRPr="0058627D" w:rsidRDefault="00645786" w:rsidP="00645786">
      <w:pPr>
        <w:bidi w:val="0"/>
        <w:jc w:val="lowKashida"/>
      </w:pPr>
    </w:p>
    <w:p w:rsidR="004402A6" w:rsidRPr="0058627D" w:rsidRDefault="000F11A7" w:rsidP="004402A6">
      <w:pPr>
        <w:bidi w:val="0"/>
        <w:jc w:val="both"/>
        <w:rPr>
          <w:b/>
          <w:bCs/>
          <w:rtl/>
        </w:rPr>
      </w:pPr>
      <w:r>
        <w:rPr>
          <w:b/>
          <w:bCs/>
        </w:rPr>
        <w:t xml:space="preserve">1.3.4 </w:t>
      </w:r>
      <w:r w:rsidR="004402A6" w:rsidRPr="0058627D">
        <w:rPr>
          <w:b/>
          <w:bCs/>
        </w:rPr>
        <w:t>Satisfaction with Assistance</w:t>
      </w:r>
    </w:p>
    <w:p w:rsidR="004402A6" w:rsidRDefault="004402A6" w:rsidP="004402A6">
      <w:pPr>
        <w:bidi w:val="0"/>
        <w:jc w:val="lowKashida"/>
      </w:pPr>
      <w:r w:rsidRPr="0058627D">
        <w:t>Survey findings showed that 83.4% of households who received assistance in 2014 were satisfied or very satisfied with this assistance (80.8% in the West Bank, compared to 83.8% in the Gaza Strip).</w:t>
      </w:r>
    </w:p>
    <w:p w:rsidR="004402A6" w:rsidRPr="0058627D" w:rsidRDefault="004402A6" w:rsidP="004402A6">
      <w:pPr>
        <w:jc w:val="lowKashida"/>
        <w:rPr>
          <w:rtl/>
        </w:rPr>
      </w:pPr>
    </w:p>
    <w:p w:rsidR="004402A6" w:rsidRDefault="004402A6" w:rsidP="004402A6">
      <w:pPr>
        <w:jc w:val="center"/>
        <w:rPr>
          <w:b/>
          <w:bCs/>
          <w:sz w:val="22"/>
          <w:szCs w:val="22"/>
        </w:rPr>
      </w:pPr>
      <w:r w:rsidRPr="0058627D">
        <w:rPr>
          <w:b/>
          <w:bCs/>
          <w:sz w:val="22"/>
          <w:szCs w:val="22"/>
        </w:rPr>
        <w:t>Percentage Distribution of Assistance Received by Palestinian Households According to Level of Satisfaction and By Region, 2014</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2"/>
      </w:tblGrid>
      <w:tr w:rsidR="009F7FBB" w:rsidRPr="005E4CFB" w:rsidTr="00355C4B">
        <w:trPr>
          <w:trHeight w:val="4641"/>
        </w:trPr>
        <w:tc>
          <w:tcPr>
            <w:tcW w:w="9072" w:type="dxa"/>
          </w:tcPr>
          <w:p w:rsidR="009F7FBB" w:rsidRDefault="009F7FBB" w:rsidP="005E4CFB">
            <w:pPr>
              <w:jc w:val="center"/>
              <w:rPr>
                <w:b/>
                <w:bCs/>
                <w:noProof/>
                <w:sz w:val="22"/>
                <w:szCs w:val="22"/>
                <w:lang w:val="en-GB" w:eastAsia="en-GB"/>
              </w:rPr>
            </w:pPr>
          </w:p>
          <w:p w:rsidR="00355C4B" w:rsidRPr="005E4CFB" w:rsidRDefault="00355C4B" w:rsidP="005E4CFB">
            <w:pPr>
              <w:jc w:val="center"/>
              <w:rPr>
                <w:b/>
                <w:bCs/>
                <w:sz w:val="22"/>
                <w:szCs w:val="22"/>
                <w:rtl/>
              </w:rPr>
            </w:pPr>
            <w:r w:rsidRPr="00355C4B">
              <w:rPr>
                <w:b/>
                <w:bCs/>
                <w:noProof/>
                <w:sz w:val="22"/>
                <w:szCs w:val="22"/>
                <w:rtl/>
                <w:lang w:val="en-GB" w:eastAsia="en-GB"/>
              </w:rPr>
              <w:drawing>
                <wp:inline distT="0" distB="0" distL="0" distR="0">
                  <wp:extent cx="5591175" cy="2676525"/>
                  <wp:effectExtent l="0" t="0" r="0" b="0"/>
                  <wp:docPr id="56" name="Objec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9F7FBB" w:rsidRDefault="009F7FBB" w:rsidP="004402A6">
      <w:pPr>
        <w:jc w:val="center"/>
        <w:rPr>
          <w:b/>
          <w:bCs/>
          <w:sz w:val="22"/>
          <w:szCs w:val="22"/>
          <w:rtl/>
        </w:rPr>
      </w:pPr>
    </w:p>
    <w:p w:rsidR="0035590B" w:rsidRDefault="0035590B" w:rsidP="004402A6">
      <w:pPr>
        <w:jc w:val="center"/>
        <w:rPr>
          <w:b/>
          <w:bCs/>
          <w:sz w:val="22"/>
          <w:szCs w:val="22"/>
        </w:rPr>
      </w:pPr>
    </w:p>
    <w:p w:rsidR="00C459E2" w:rsidRDefault="00C459E2" w:rsidP="004402A6">
      <w:pPr>
        <w:jc w:val="center"/>
        <w:rPr>
          <w:b/>
          <w:bCs/>
          <w:sz w:val="22"/>
          <w:szCs w:val="22"/>
        </w:rPr>
      </w:pPr>
    </w:p>
    <w:p w:rsidR="004402A6" w:rsidRPr="0058627D" w:rsidRDefault="004402A6" w:rsidP="004402A6">
      <w:pPr>
        <w:bidi w:val="0"/>
        <w:jc w:val="lowKashida"/>
      </w:pPr>
      <w:r w:rsidRPr="0058627D">
        <w:lastRenderedPageBreak/>
        <w:t>Survey findings for 2014 showed 23.9% increase of satisfaction with assistance received by households in Palestine compared to 2013. The highest change in level of satisfaction with assistance was in the Gaza Strip in 2014, compared to 2013, scoring 27.8%. on the other hand, results showed high level of dissatisfaction (13.9%) with assistance in the Gaza Strip in 2014, compared to 2013.</w:t>
      </w:r>
    </w:p>
    <w:p w:rsidR="004402A6" w:rsidRPr="0058627D" w:rsidRDefault="004402A6" w:rsidP="004402A6">
      <w:pPr>
        <w:jc w:val="both"/>
        <w:rPr>
          <w:b/>
          <w:bCs/>
          <w:sz w:val="18"/>
          <w:szCs w:val="18"/>
          <w:rtl/>
        </w:rPr>
      </w:pPr>
    </w:p>
    <w:p w:rsidR="004402A6" w:rsidRPr="0058627D" w:rsidRDefault="000F11A7" w:rsidP="004402A6">
      <w:pPr>
        <w:bidi w:val="0"/>
        <w:jc w:val="both"/>
        <w:rPr>
          <w:b/>
          <w:bCs/>
          <w:rtl/>
        </w:rPr>
      </w:pPr>
      <w:r>
        <w:rPr>
          <w:b/>
          <w:bCs/>
        </w:rPr>
        <w:t xml:space="preserve">1.3.5 </w:t>
      </w:r>
      <w:r w:rsidR="004402A6" w:rsidRPr="0058627D">
        <w:rPr>
          <w:b/>
          <w:bCs/>
        </w:rPr>
        <w:t>Main reason for dissatisfaction with assistance</w:t>
      </w:r>
    </w:p>
    <w:p w:rsidR="004402A6" w:rsidRPr="0058627D" w:rsidRDefault="004402A6" w:rsidP="004402A6">
      <w:pPr>
        <w:bidi w:val="0"/>
        <w:jc w:val="lowKashida"/>
        <w:rPr>
          <w:rtl/>
        </w:rPr>
      </w:pPr>
      <w:r w:rsidRPr="0058627D">
        <w:rPr>
          <w:rtl/>
        </w:rPr>
        <w:t>16</w:t>
      </w:r>
      <w:r w:rsidRPr="0058627D">
        <w:t>.6% of households in Palestine responded they were not satisfied (unsatisfied, totally unsatisfied) with the assistance they received in 2014 mainly because of dissatisfaction with quantity (39.7%) while 32.0% of households reported they were unsatisfied with both quantity and quality. 18.6% of households reported they were unsatisfied with the frequency of assistance while 6.0% were not satisfied with the quality of assistance.</w:t>
      </w:r>
    </w:p>
    <w:p w:rsidR="004402A6" w:rsidRPr="0058627D" w:rsidRDefault="004402A6" w:rsidP="004402A6">
      <w:pPr>
        <w:rPr>
          <w:sz w:val="18"/>
          <w:szCs w:val="18"/>
          <w:rtl/>
        </w:rPr>
      </w:pPr>
    </w:p>
    <w:p w:rsidR="004402A6" w:rsidRDefault="004402A6" w:rsidP="004402A6">
      <w:pPr>
        <w:jc w:val="center"/>
        <w:rPr>
          <w:b/>
          <w:bCs/>
          <w:sz w:val="22"/>
          <w:szCs w:val="22"/>
        </w:rPr>
      </w:pPr>
      <w:r w:rsidRPr="0058627D">
        <w:rPr>
          <w:b/>
          <w:bCs/>
          <w:sz w:val="22"/>
          <w:szCs w:val="22"/>
        </w:rPr>
        <w:t>Percentage Distribution of Assistance Received by Palestinian Households by Main Reason of Dissatisfaction with Assistance and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9F7FBB" w:rsidRPr="005E4CFB" w:rsidTr="00355C4B">
        <w:trPr>
          <w:trHeight w:val="4973"/>
        </w:trPr>
        <w:tc>
          <w:tcPr>
            <w:tcW w:w="9289" w:type="dxa"/>
          </w:tcPr>
          <w:p w:rsidR="009F7FBB" w:rsidRDefault="009F7FBB" w:rsidP="005E4CFB">
            <w:pPr>
              <w:jc w:val="center"/>
              <w:rPr>
                <w:b/>
                <w:bCs/>
                <w:noProof/>
                <w:sz w:val="22"/>
                <w:szCs w:val="22"/>
                <w:lang w:val="en-GB" w:eastAsia="en-GB"/>
              </w:rPr>
            </w:pPr>
          </w:p>
          <w:p w:rsidR="00355C4B" w:rsidRPr="005E4CFB" w:rsidRDefault="00355C4B" w:rsidP="005E4CFB">
            <w:pPr>
              <w:jc w:val="center"/>
              <w:rPr>
                <w:b/>
                <w:bCs/>
                <w:sz w:val="22"/>
                <w:szCs w:val="22"/>
                <w:rtl/>
              </w:rPr>
            </w:pPr>
            <w:r w:rsidRPr="00355C4B">
              <w:rPr>
                <w:b/>
                <w:bCs/>
                <w:noProof/>
                <w:sz w:val="22"/>
                <w:szCs w:val="22"/>
                <w:rtl/>
                <w:lang w:val="en-GB" w:eastAsia="en-GB"/>
              </w:rPr>
              <w:drawing>
                <wp:inline distT="0" distB="0" distL="0" distR="0">
                  <wp:extent cx="5676900" cy="2905125"/>
                  <wp:effectExtent l="0" t="0" r="0" b="0"/>
                  <wp:docPr id="58" name="Objec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35590B" w:rsidRPr="0058627D" w:rsidRDefault="0035590B" w:rsidP="00C829E7">
      <w:pPr>
        <w:rPr>
          <w:b/>
          <w:bCs/>
          <w:sz w:val="22"/>
          <w:szCs w:val="22"/>
          <w:rtl/>
        </w:rPr>
      </w:pPr>
    </w:p>
    <w:p w:rsidR="004402A6" w:rsidRDefault="004402A6" w:rsidP="00F60113">
      <w:pPr>
        <w:bidi w:val="0"/>
        <w:jc w:val="both"/>
      </w:pPr>
      <w:r w:rsidRPr="0058627D">
        <w:t xml:space="preserve">Survey findings for 2014 showed a decrease in dissatisfaction with assistance because of quantity only by </w:t>
      </w:r>
      <w:r w:rsidR="00F60113">
        <w:t>9.6</w:t>
      </w:r>
      <w:r w:rsidRPr="0058627D">
        <w:t>%</w:t>
      </w:r>
      <w:r w:rsidR="00F60113">
        <w:t xml:space="preserve">, against a rise in the percentage of assistances that didn’t have satisfaction because of the quality by 3.3%. </w:t>
      </w:r>
      <w:r w:rsidRPr="0058627D">
        <w:t xml:space="preserve"> while there was a rise by 10.4% of dissatisfaction with assistance because of both quality and quantity. There was a decrease of 9.3% as regards dissatisfaction with assistance because of frequency.</w:t>
      </w: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Default="00C829E7" w:rsidP="00C829E7">
      <w:pPr>
        <w:bidi w:val="0"/>
        <w:jc w:val="both"/>
      </w:pPr>
    </w:p>
    <w:p w:rsidR="00C829E7" w:rsidRPr="0058627D" w:rsidRDefault="00C829E7" w:rsidP="00C829E7">
      <w:pPr>
        <w:bidi w:val="0"/>
        <w:jc w:val="both"/>
      </w:pPr>
    </w:p>
    <w:p w:rsidR="004402A6" w:rsidRDefault="004402A6" w:rsidP="004402A6">
      <w:pPr>
        <w:jc w:val="center"/>
        <w:rPr>
          <w:b/>
          <w:bCs/>
          <w:sz w:val="22"/>
          <w:szCs w:val="22"/>
        </w:rPr>
      </w:pPr>
      <w:r w:rsidRPr="0058627D">
        <w:rPr>
          <w:b/>
          <w:bCs/>
          <w:sz w:val="22"/>
          <w:szCs w:val="22"/>
        </w:rPr>
        <w:lastRenderedPageBreak/>
        <w:t>Change with the Level of Dissatisfaction with Assistance Received by Households in Palestine in Years 2013 and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9F7FBB" w:rsidRPr="005E4CFB" w:rsidTr="00355C4B">
        <w:trPr>
          <w:trHeight w:val="4457"/>
        </w:trPr>
        <w:tc>
          <w:tcPr>
            <w:tcW w:w="9289" w:type="dxa"/>
          </w:tcPr>
          <w:p w:rsidR="009F7FBB" w:rsidRDefault="009F7FBB" w:rsidP="005E4CFB">
            <w:pPr>
              <w:jc w:val="center"/>
              <w:rPr>
                <w:b/>
                <w:bCs/>
                <w:noProof/>
                <w:lang w:val="en-GB" w:eastAsia="en-GB"/>
              </w:rPr>
            </w:pPr>
          </w:p>
          <w:p w:rsidR="00355C4B" w:rsidRPr="005E4CFB" w:rsidRDefault="00355C4B" w:rsidP="005E4CFB">
            <w:pPr>
              <w:jc w:val="center"/>
              <w:rPr>
                <w:b/>
                <w:bCs/>
                <w:rtl/>
              </w:rPr>
            </w:pPr>
            <w:r w:rsidRPr="00355C4B">
              <w:rPr>
                <w:b/>
                <w:bCs/>
                <w:noProof/>
                <w:rtl/>
                <w:lang w:val="en-GB" w:eastAsia="en-GB"/>
              </w:rPr>
              <w:drawing>
                <wp:inline distT="0" distB="0" distL="0" distR="0">
                  <wp:extent cx="5753100" cy="2581275"/>
                  <wp:effectExtent l="0" t="0" r="0" b="0"/>
                  <wp:docPr id="59" name="Objec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35590B" w:rsidRPr="00355C4B" w:rsidRDefault="0035590B" w:rsidP="004402A6">
      <w:pPr>
        <w:jc w:val="center"/>
        <w:rPr>
          <w:b/>
          <w:bCs/>
          <w:sz w:val="20"/>
          <w:szCs w:val="20"/>
          <w:rtl/>
        </w:rPr>
      </w:pPr>
    </w:p>
    <w:p w:rsidR="004402A6" w:rsidRPr="0058627D" w:rsidRDefault="004402A6" w:rsidP="004402A6">
      <w:pPr>
        <w:rPr>
          <w:b/>
          <w:bCs/>
          <w:sz w:val="10"/>
          <w:szCs w:val="10"/>
          <w:rtl/>
        </w:rPr>
      </w:pPr>
    </w:p>
    <w:p w:rsidR="004402A6" w:rsidRPr="0058627D" w:rsidRDefault="000F11A7" w:rsidP="0035590B">
      <w:pPr>
        <w:bidi w:val="0"/>
        <w:jc w:val="lowKashida"/>
        <w:rPr>
          <w:b/>
          <w:bCs/>
          <w:rtl/>
        </w:rPr>
      </w:pPr>
      <w:r>
        <w:rPr>
          <w:b/>
          <w:bCs/>
        </w:rPr>
        <w:t xml:space="preserve">1.3.6 </w:t>
      </w:r>
      <w:r w:rsidR="004402A6" w:rsidRPr="0058627D">
        <w:rPr>
          <w:b/>
          <w:bCs/>
        </w:rPr>
        <w:t>Submission of Assistance Applications</w:t>
      </w:r>
    </w:p>
    <w:p w:rsidR="004402A6" w:rsidRPr="0058627D" w:rsidRDefault="004402A6" w:rsidP="004402A6">
      <w:pPr>
        <w:bidi w:val="0"/>
        <w:jc w:val="lowKashida"/>
        <w:rPr>
          <w:rtl/>
        </w:rPr>
      </w:pPr>
      <w:r w:rsidRPr="0058627D">
        <w:t>Data showed that 76.3% of households in Palestine reported they did not submit any assistance application (78.7% in the West Bank and 54.0% in the Gaza Strip). As regards reasons for non-reception of assistance, findings showed that 10.7% of households submitted an application but did not receive an assistance for a reason they do not know while 3.6% reported they submitted an application for assistance and did not receive any because one or more household members work.</w:t>
      </w:r>
    </w:p>
    <w:p w:rsidR="004402A6" w:rsidRPr="0058627D" w:rsidRDefault="004402A6" w:rsidP="004402A6">
      <w:pPr>
        <w:autoSpaceDE w:val="0"/>
        <w:autoSpaceDN w:val="0"/>
        <w:adjustRightInd w:val="0"/>
        <w:rPr>
          <w:b/>
          <w:bCs/>
          <w:rtl/>
        </w:rPr>
      </w:pPr>
    </w:p>
    <w:p w:rsidR="004402A6" w:rsidRPr="0058627D" w:rsidRDefault="00825487" w:rsidP="0035590B">
      <w:pPr>
        <w:bidi w:val="0"/>
        <w:jc w:val="lowKashida"/>
        <w:rPr>
          <w:b/>
          <w:bCs/>
          <w:rtl/>
        </w:rPr>
      </w:pPr>
      <w:r>
        <w:rPr>
          <w:b/>
          <w:bCs/>
        </w:rPr>
        <w:t xml:space="preserve">1.3.7 </w:t>
      </w:r>
      <w:r w:rsidR="004402A6" w:rsidRPr="0058627D">
        <w:rPr>
          <w:b/>
          <w:bCs/>
        </w:rPr>
        <w:t>Submission of Assistance Applications</w:t>
      </w:r>
    </w:p>
    <w:p w:rsidR="004402A6" w:rsidRPr="0058627D" w:rsidRDefault="004402A6" w:rsidP="004402A6">
      <w:pPr>
        <w:bidi w:val="0"/>
        <w:jc w:val="lowKashida"/>
        <w:rPr>
          <w:rtl/>
        </w:rPr>
      </w:pPr>
      <w:r w:rsidRPr="0058627D">
        <w:t>Survey findings showed that 31.8% of households (regardless if they received assistance or not) reported they needed more assistance. 25.5% of households (regardless if they received assistance or not) reported they needed some kind of assistance (moderate need). On the other hand, 42.7% of households answered they did not need assistance.</w:t>
      </w:r>
    </w:p>
    <w:p w:rsidR="004402A6" w:rsidRPr="00355C4B" w:rsidRDefault="004402A6" w:rsidP="004402A6">
      <w:pPr>
        <w:autoSpaceDE w:val="0"/>
        <w:autoSpaceDN w:val="0"/>
        <w:adjustRightInd w:val="0"/>
        <w:rPr>
          <w:b/>
          <w:bCs/>
          <w:sz w:val="20"/>
          <w:szCs w:val="20"/>
          <w:rtl/>
        </w:rPr>
      </w:pPr>
    </w:p>
    <w:p w:rsidR="004402A6" w:rsidRDefault="004402A6" w:rsidP="004402A6">
      <w:pPr>
        <w:autoSpaceDE w:val="0"/>
        <w:autoSpaceDN w:val="0"/>
        <w:adjustRightInd w:val="0"/>
        <w:jc w:val="center"/>
        <w:rPr>
          <w:b/>
          <w:bCs/>
        </w:rPr>
      </w:pPr>
      <w:r w:rsidRPr="0035590B">
        <w:rPr>
          <w:b/>
          <w:bCs/>
        </w:rPr>
        <w:t>Percentage Distribution of Palestinian Households (Regardless if they received assistance or not) by Reason Why They Need Assistance and Region,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9F7FBB" w:rsidRPr="005E4CFB" w:rsidTr="00355C4B">
        <w:trPr>
          <w:trHeight w:val="4150"/>
        </w:trPr>
        <w:tc>
          <w:tcPr>
            <w:tcW w:w="9289" w:type="dxa"/>
          </w:tcPr>
          <w:p w:rsidR="009F7FBB" w:rsidRPr="00355C4B" w:rsidRDefault="009F7FBB" w:rsidP="005E4CFB">
            <w:pPr>
              <w:autoSpaceDE w:val="0"/>
              <w:autoSpaceDN w:val="0"/>
              <w:adjustRightInd w:val="0"/>
              <w:jc w:val="center"/>
              <w:rPr>
                <w:b/>
                <w:bCs/>
                <w:noProof/>
                <w:sz w:val="10"/>
                <w:szCs w:val="10"/>
                <w:lang w:val="en-GB" w:eastAsia="en-GB"/>
              </w:rPr>
            </w:pPr>
          </w:p>
          <w:p w:rsidR="00355C4B" w:rsidRPr="005E4CFB" w:rsidRDefault="00355C4B" w:rsidP="005E4CFB">
            <w:pPr>
              <w:autoSpaceDE w:val="0"/>
              <w:autoSpaceDN w:val="0"/>
              <w:adjustRightInd w:val="0"/>
              <w:jc w:val="center"/>
              <w:rPr>
                <w:b/>
                <w:bCs/>
                <w:rtl/>
              </w:rPr>
            </w:pPr>
            <w:r w:rsidRPr="00355C4B">
              <w:rPr>
                <w:b/>
                <w:bCs/>
                <w:noProof/>
                <w:rtl/>
                <w:lang w:val="en-GB" w:eastAsia="en-GB"/>
              </w:rPr>
              <w:drawing>
                <wp:inline distT="0" distB="0" distL="0" distR="0">
                  <wp:extent cx="5715000" cy="2466975"/>
                  <wp:effectExtent l="0" t="0" r="0" b="0"/>
                  <wp:docPr id="60" name="Objec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4402A6" w:rsidRPr="0058627D" w:rsidRDefault="00825487" w:rsidP="004402A6">
      <w:pPr>
        <w:autoSpaceDE w:val="0"/>
        <w:autoSpaceDN w:val="0"/>
        <w:bidi w:val="0"/>
        <w:adjustRightInd w:val="0"/>
        <w:rPr>
          <w:b/>
          <w:bCs/>
          <w:rtl/>
        </w:rPr>
      </w:pPr>
      <w:r>
        <w:rPr>
          <w:b/>
          <w:bCs/>
        </w:rPr>
        <w:lastRenderedPageBreak/>
        <w:t>1.3.8</w:t>
      </w:r>
      <w:r w:rsidR="004402A6" w:rsidRPr="0058627D">
        <w:rPr>
          <w:b/>
          <w:bCs/>
          <w:rtl/>
        </w:rPr>
        <w:t xml:space="preserve"> </w:t>
      </w:r>
      <w:r w:rsidR="004402A6" w:rsidRPr="0058627D">
        <w:rPr>
          <w:b/>
          <w:bCs/>
        </w:rPr>
        <w:t>Assistance Access to Needy Sectors</w:t>
      </w:r>
    </w:p>
    <w:p w:rsidR="004402A6" w:rsidRPr="0058627D" w:rsidRDefault="004402A6" w:rsidP="004402A6">
      <w:pPr>
        <w:bidi w:val="0"/>
        <w:jc w:val="lowKashida"/>
      </w:pPr>
      <w:r w:rsidRPr="0058627D">
        <w:t>As regards households’ opinion of distribution and access of assistance to needy sectors, data showed that 8.0% of households in Palestine believe that assistance goes mainly to the needy while 60.5% believe that they go to the needy but some families not in need still receive assistance. 23.0% believe that food assistance is received in the needy and not-needy in general.</w:t>
      </w:r>
    </w:p>
    <w:p w:rsidR="004402A6" w:rsidRPr="00355C4B" w:rsidRDefault="004402A6" w:rsidP="004402A6">
      <w:pPr>
        <w:bidi w:val="0"/>
        <w:jc w:val="lowKashida"/>
        <w:rPr>
          <w:sz w:val="20"/>
          <w:szCs w:val="20"/>
          <w:rtl/>
        </w:rPr>
      </w:pPr>
    </w:p>
    <w:p w:rsidR="004402A6" w:rsidRPr="004538F2" w:rsidRDefault="004402A6" w:rsidP="004402A6">
      <w:pPr>
        <w:autoSpaceDE w:val="0"/>
        <w:autoSpaceDN w:val="0"/>
        <w:adjustRightInd w:val="0"/>
        <w:jc w:val="center"/>
        <w:rPr>
          <w:b/>
          <w:bCs/>
          <w:sz w:val="22"/>
          <w:szCs w:val="22"/>
        </w:rPr>
      </w:pPr>
      <w:r w:rsidRPr="004538F2">
        <w:rPr>
          <w:b/>
          <w:bCs/>
          <w:sz w:val="22"/>
          <w:szCs w:val="22"/>
        </w:rPr>
        <w:t>Percentage Distribution of Palestinian Households (regardless if they received assistance or not) by Region and according to their Opinion about Access of Assistance to Needy Sectors,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9F7FBB" w:rsidRPr="005E4CFB" w:rsidTr="00355C4B">
        <w:trPr>
          <w:trHeight w:val="4398"/>
        </w:trPr>
        <w:tc>
          <w:tcPr>
            <w:tcW w:w="9289" w:type="dxa"/>
          </w:tcPr>
          <w:p w:rsidR="009F7FBB" w:rsidRDefault="009F7FBB" w:rsidP="005E4CFB">
            <w:pPr>
              <w:autoSpaceDE w:val="0"/>
              <w:autoSpaceDN w:val="0"/>
              <w:bidi w:val="0"/>
              <w:adjustRightInd w:val="0"/>
              <w:jc w:val="center"/>
              <w:rPr>
                <w:b/>
                <w:bCs/>
                <w:noProof/>
                <w:sz w:val="22"/>
                <w:szCs w:val="22"/>
                <w:lang w:val="en-GB" w:eastAsia="en-GB"/>
              </w:rPr>
            </w:pPr>
          </w:p>
          <w:p w:rsidR="00355C4B" w:rsidRPr="005E4CFB" w:rsidRDefault="00355C4B" w:rsidP="00355C4B">
            <w:pPr>
              <w:autoSpaceDE w:val="0"/>
              <w:autoSpaceDN w:val="0"/>
              <w:bidi w:val="0"/>
              <w:adjustRightInd w:val="0"/>
              <w:jc w:val="center"/>
              <w:rPr>
                <w:b/>
                <w:bCs/>
                <w:sz w:val="22"/>
                <w:szCs w:val="22"/>
                <w:rtl/>
              </w:rPr>
            </w:pPr>
            <w:r w:rsidRPr="00355C4B">
              <w:rPr>
                <w:b/>
                <w:bCs/>
                <w:noProof/>
                <w:sz w:val="22"/>
                <w:szCs w:val="22"/>
                <w:lang w:val="en-GB" w:eastAsia="en-GB"/>
              </w:rPr>
              <w:drawing>
                <wp:inline distT="0" distB="0" distL="0" distR="0">
                  <wp:extent cx="5781675" cy="2533650"/>
                  <wp:effectExtent l="0" t="0" r="0" b="0"/>
                  <wp:docPr id="61" name="Object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9F7FBB" w:rsidRPr="0058627D" w:rsidRDefault="009F7FBB" w:rsidP="004402A6">
      <w:pPr>
        <w:autoSpaceDE w:val="0"/>
        <w:autoSpaceDN w:val="0"/>
        <w:adjustRightInd w:val="0"/>
        <w:jc w:val="center"/>
        <w:rPr>
          <w:b/>
          <w:bCs/>
          <w:sz w:val="22"/>
          <w:szCs w:val="22"/>
        </w:rPr>
      </w:pPr>
    </w:p>
    <w:p w:rsidR="004402A6" w:rsidRPr="0058627D" w:rsidRDefault="004402A6" w:rsidP="004402A6">
      <w:pPr>
        <w:bidi w:val="0"/>
        <w:jc w:val="both"/>
      </w:pPr>
      <w:r w:rsidRPr="0058627D">
        <w:t>Findings of the survey showed that more Palestinian households believe that assistance is distributed at random without consideration of needy or not needy. The rate of households who support this opinion increased by 5.6% in 2014, compared to 2013. This is considered a negative trend since it indicates that the level of discrimination is higher in 2014 compared to 2013. On the other hand, 1.4% less households viewed that assistance reaches mainly the needy compared to 2013. A rise of 0.8% was observed as regards households who believed that assistance reached the needy but also some of the non-needy, compared to 2013.</w:t>
      </w:r>
    </w:p>
    <w:p w:rsidR="004402A6" w:rsidRPr="0058627D" w:rsidRDefault="004402A6" w:rsidP="004402A6">
      <w:pPr>
        <w:jc w:val="both"/>
        <w:rPr>
          <w:sz w:val="20"/>
          <w:szCs w:val="20"/>
          <w:rtl/>
        </w:rPr>
      </w:pPr>
    </w:p>
    <w:p w:rsidR="004402A6" w:rsidRDefault="004402A6" w:rsidP="004402A6">
      <w:pPr>
        <w:jc w:val="center"/>
        <w:rPr>
          <w:b/>
          <w:bCs/>
          <w:sz w:val="22"/>
          <w:szCs w:val="22"/>
        </w:rPr>
      </w:pPr>
      <w:r w:rsidRPr="0058627D">
        <w:rPr>
          <w:b/>
          <w:bCs/>
          <w:sz w:val="22"/>
          <w:szCs w:val="22"/>
        </w:rPr>
        <w:t>Change in opinions of households (regardless if they received assistance or not) as regards assistance reaching the need for the years 2013 and 2014</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2"/>
      </w:tblGrid>
      <w:tr w:rsidR="009F7FBB" w:rsidRPr="005E4CFB" w:rsidTr="00355C4B">
        <w:trPr>
          <w:trHeight w:val="4150"/>
        </w:trPr>
        <w:tc>
          <w:tcPr>
            <w:tcW w:w="9072" w:type="dxa"/>
          </w:tcPr>
          <w:p w:rsidR="009F7FBB" w:rsidRPr="00355C4B" w:rsidRDefault="009F7FBB" w:rsidP="005E4CFB">
            <w:pPr>
              <w:jc w:val="center"/>
              <w:rPr>
                <w:noProof/>
                <w:sz w:val="16"/>
                <w:szCs w:val="16"/>
                <w:lang w:val="en-GB" w:eastAsia="en-GB"/>
              </w:rPr>
            </w:pPr>
          </w:p>
          <w:p w:rsidR="00355C4B" w:rsidRPr="005E4CFB" w:rsidRDefault="00355C4B" w:rsidP="005E4CFB">
            <w:pPr>
              <w:jc w:val="center"/>
              <w:rPr>
                <w:b/>
                <w:bCs/>
                <w:sz w:val="22"/>
                <w:szCs w:val="22"/>
                <w:rtl/>
              </w:rPr>
            </w:pPr>
            <w:r w:rsidRPr="00355C4B">
              <w:rPr>
                <w:noProof/>
                <w:rtl/>
                <w:lang w:val="en-GB" w:eastAsia="en-GB"/>
              </w:rPr>
              <w:drawing>
                <wp:inline distT="0" distB="0" distL="0" distR="0">
                  <wp:extent cx="5686425" cy="2466975"/>
                  <wp:effectExtent l="0" t="0" r="0" b="0"/>
                  <wp:docPr id="62" name="Objec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4402A6" w:rsidRPr="0058627D" w:rsidRDefault="00825487" w:rsidP="008D758A">
      <w:pPr>
        <w:autoSpaceDE w:val="0"/>
        <w:autoSpaceDN w:val="0"/>
        <w:bidi w:val="0"/>
        <w:adjustRightInd w:val="0"/>
        <w:rPr>
          <w:b/>
          <w:bCs/>
          <w:rtl/>
        </w:rPr>
      </w:pPr>
      <w:r>
        <w:rPr>
          <w:b/>
          <w:bCs/>
        </w:rPr>
        <w:lastRenderedPageBreak/>
        <w:t>1.3.9</w:t>
      </w:r>
      <w:r w:rsidR="004402A6" w:rsidRPr="0058627D">
        <w:rPr>
          <w:b/>
          <w:bCs/>
          <w:rtl/>
        </w:rPr>
        <w:t xml:space="preserve"> </w:t>
      </w:r>
      <w:r w:rsidR="004402A6" w:rsidRPr="0058627D">
        <w:rPr>
          <w:b/>
          <w:bCs/>
        </w:rPr>
        <w:t>Attitudes Regarding Impact of Assistance on Households</w:t>
      </w:r>
    </w:p>
    <w:p w:rsidR="004402A6" w:rsidRDefault="004402A6" w:rsidP="004402A6">
      <w:pPr>
        <w:autoSpaceDE w:val="0"/>
        <w:autoSpaceDN w:val="0"/>
        <w:bidi w:val="0"/>
        <w:adjustRightInd w:val="0"/>
        <w:jc w:val="lowKashida"/>
      </w:pPr>
      <w:r w:rsidRPr="0058627D">
        <w:t>As regards households’ opinion of the impact of assistance, data showed that 87.0% of households in Palestine believe that assistance helped improve households living conditions while 90.2% believe assistance helped improve the situation in their area (neighborhood, street, community). On the other hand, the percentage of households who believe that assistance helped improve living in the region (West Bank and Gaza Strip) reached 92.7%.</w:t>
      </w:r>
    </w:p>
    <w:p w:rsidR="004402A6" w:rsidRPr="002A4C88" w:rsidRDefault="004402A6" w:rsidP="004402A6">
      <w:pPr>
        <w:autoSpaceDE w:val="0"/>
        <w:autoSpaceDN w:val="0"/>
        <w:adjustRightInd w:val="0"/>
        <w:rPr>
          <w:b/>
          <w:bCs/>
          <w:sz w:val="16"/>
          <w:szCs w:val="16"/>
          <w:rtl/>
        </w:rPr>
      </w:pPr>
    </w:p>
    <w:p w:rsidR="0035590B" w:rsidRDefault="004402A6" w:rsidP="004402A6">
      <w:pPr>
        <w:autoSpaceDE w:val="0"/>
        <w:autoSpaceDN w:val="0"/>
        <w:adjustRightInd w:val="0"/>
        <w:ind w:right="709" w:firstLine="568"/>
        <w:jc w:val="center"/>
        <w:rPr>
          <w:b/>
          <w:bCs/>
          <w:sz w:val="22"/>
          <w:szCs w:val="22"/>
        </w:rPr>
      </w:pPr>
      <w:r w:rsidRPr="0058627D">
        <w:rPr>
          <w:b/>
          <w:bCs/>
          <w:sz w:val="22"/>
          <w:szCs w:val="22"/>
        </w:rPr>
        <w:t>Percentage of Palestinian Households (regardless if they received assistance or not) Who Believe that</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2"/>
      </w:tblGrid>
      <w:tr w:rsidR="002A4C88" w:rsidRPr="005E4CFB" w:rsidTr="00355C4B">
        <w:trPr>
          <w:trHeight w:val="4170"/>
        </w:trPr>
        <w:tc>
          <w:tcPr>
            <w:tcW w:w="9072" w:type="dxa"/>
          </w:tcPr>
          <w:p w:rsidR="002A4C88" w:rsidRDefault="002A4C88" w:rsidP="005E4CFB">
            <w:pPr>
              <w:autoSpaceDE w:val="0"/>
              <w:autoSpaceDN w:val="0"/>
              <w:adjustRightInd w:val="0"/>
              <w:ind w:right="709"/>
              <w:jc w:val="center"/>
              <w:rPr>
                <w:b/>
                <w:bCs/>
                <w:noProof/>
                <w:sz w:val="22"/>
                <w:szCs w:val="22"/>
                <w:lang w:val="en-GB" w:eastAsia="en-GB"/>
              </w:rPr>
            </w:pPr>
          </w:p>
          <w:p w:rsidR="00355C4B" w:rsidRPr="005E4CFB" w:rsidRDefault="00355C4B" w:rsidP="005E4CFB">
            <w:pPr>
              <w:autoSpaceDE w:val="0"/>
              <w:autoSpaceDN w:val="0"/>
              <w:adjustRightInd w:val="0"/>
              <w:ind w:right="709"/>
              <w:jc w:val="center"/>
              <w:rPr>
                <w:b/>
                <w:bCs/>
                <w:sz w:val="22"/>
                <w:szCs w:val="22"/>
                <w:rtl/>
              </w:rPr>
            </w:pPr>
            <w:r w:rsidRPr="00355C4B">
              <w:rPr>
                <w:b/>
                <w:bCs/>
                <w:noProof/>
                <w:sz w:val="22"/>
                <w:szCs w:val="22"/>
                <w:rtl/>
                <w:lang w:val="en-GB" w:eastAsia="en-GB"/>
              </w:rPr>
              <w:drawing>
                <wp:inline distT="0" distB="0" distL="0" distR="0">
                  <wp:extent cx="5676900" cy="2362200"/>
                  <wp:effectExtent l="0" t="0" r="0" b="0"/>
                  <wp:docPr id="63" name="Objec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4402A6" w:rsidRPr="0058627D" w:rsidRDefault="004402A6" w:rsidP="0035590B">
      <w:pPr>
        <w:autoSpaceDE w:val="0"/>
        <w:autoSpaceDN w:val="0"/>
        <w:adjustRightInd w:val="0"/>
        <w:ind w:firstLine="1"/>
        <w:rPr>
          <w:b/>
          <w:bCs/>
          <w:sz w:val="22"/>
          <w:szCs w:val="22"/>
        </w:rPr>
      </w:pPr>
    </w:p>
    <w:p w:rsidR="004402A6" w:rsidRPr="0058627D" w:rsidRDefault="00825487" w:rsidP="009968AB">
      <w:pPr>
        <w:autoSpaceDE w:val="0"/>
        <w:autoSpaceDN w:val="0"/>
        <w:bidi w:val="0"/>
        <w:adjustRightInd w:val="0"/>
        <w:rPr>
          <w:b/>
          <w:bCs/>
          <w:rtl/>
        </w:rPr>
      </w:pPr>
      <w:r>
        <w:rPr>
          <w:b/>
          <w:bCs/>
        </w:rPr>
        <w:t>1.4</w:t>
      </w:r>
      <w:r w:rsidR="004402A6" w:rsidRPr="0058627D">
        <w:rPr>
          <w:b/>
          <w:bCs/>
          <w:rtl/>
        </w:rPr>
        <w:t xml:space="preserve"> </w:t>
      </w:r>
      <w:r w:rsidR="004402A6" w:rsidRPr="0058627D">
        <w:rPr>
          <w:b/>
          <w:bCs/>
        </w:rPr>
        <w:t xml:space="preserve">Exposure of Household Members to </w:t>
      </w:r>
      <w:r w:rsidR="009968AB">
        <w:rPr>
          <w:b/>
          <w:bCs/>
        </w:rPr>
        <w:t>shocks/acts</w:t>
      </w:r>
    </w:p>
    <w:p w:rsidR="004402A6" w:rsidRPr="0058627D" w:rsidRDefault="004402A6" w:rsidP="00F60113">
      <w:pPr>
        <w:autoSpaceDE w:val="0"/>
        <w:autoSpaceDN w:val="0"/>
        <w:bidi w:val="0"/>
        <w:adjustRightInd w:val="0"/>
        <w:jc w:val="lowKashida"/>
      </w:pPr>
      <w:r w:rsidRPr="0058627D">
        <w:t xml:space="preserve">When asked about exposure of household members to traumas and traumatic events, respondents reported that the key trauma relates to soaring prices of food products (90.2%, being 88.6% in the West Bank and 93.3% in the Gaza Strip). Furthermore, 35.4% of households reported they endured water shortage (15.9% in the West Bank and </w:t>
      </w:r>
      <w:r w:rsidR="00F60113">
        <w:t>73.0</w:t>
      </w:r>
      <w:r w:rsidRPr="0058627D">
        <w:t>% in the Gaza Strip). Hygiene related trauma included the inability to pay medical bills, as reported by 26.7% of households (16.6% in the West Bank and 46.1% in the Gaza Strip). On another hand 20.6% responded they did not have access to health services because of shortage in medicines and equipment (12.3% in the West Bank and 36.4% in the Gaza Strip</w:t>
      </w:r>
      <w:r w:rsidR="00F60113">
        <w:t>).</w:t>
      </w:r>
    </w:p>
    <w:p w:rsidR="004402A6" w:rsidRPr="0058627D" w:rsidRDefault="004402A6" w:rsidP="004402A6">
      <w:pPr>
        <w:autoSpaceDE w:val="0"/>
        <w:autoSpaceDN w:val="0"/>
        <w:adjustRightInd w:val="0"/>
        <w:rPr>
          <w:b/>
          <w:bCs/>
        </w:rPr>
      </w:pPr>
    </w:p>
    <w:p w:rsidR="004402A6" w:rsidRPr="0058627D" w:rsidRDefault="00825487" w:rsidP="009968AB">
      <w:pPr>
        <w:autoSpaceDE w:val="0"/>
        <w:autoSpaceDN w:val="0"/>
        <w:bidi w:val="0"/>
        <w:adjustRightInd w:val="0"/>
        <w:rPr>
          <w:b/>
          <w:bCs/>
          <w:rtl/>
        </w:rPr>
      </w:pPr>
      <w:r>
        <w:rPr>
          <w:b/>
          <w:bCs/>
        </w:rPr>
        <w:t xml:space="preserve">1.5 </w:t>
      </w:r>
      <w:r w:rsidR="004402A6" w:rsidRPr="0058627D">
        <w:rPr>
          <w:b/>
          <w:bCs/>
          <w:rtl/>
        </w:rPr>
        <w:t xml:space="preserve"> </w:t>
      </w:r>
      <w:r w:rsidR="009968AB">
        <w:rPr>
          <w:b/>
          <w:bCs/>
        </w:rPr>
        <w:t>Disability of covering the cost</w:t>
      </w:r>
    </w:p>
    <w:p w:rsidR="004402A6" w:rsidRPr="0058627D" w:rsidRDefault="004402A6" w:rsidP="004402A6">
      <w:pPr>
        <w:autoSpaceDE w:val="0"/>
        <w:autoSpaceDN w:val="0"/>
        <w:bidi w:val="0"/>
        <w:adjustRightInd w:val="0"/>
        <w:jc w:val="lowKashida"/>
        <w:rPr>
          <w:rtl/>
        </w:rPr>
      </w:pPr>
      <w:r w:rsidRPr="0058627D">
        <w:t xml:space="preserve">45.4% of households in Palestine reported they purchased their food needs on credit because they cannot pay cost (35.4% in the West Bank and 64.6% in the Gaza Strip). As for the distribution of households that buy their food needs on credit because they cannot afford cost per governorate, Jericho and Jordan Valley scored highest with 61.7%, and the lowest Ramallah and </w:t>
      </w:r>
      <w:proofErr w:type="spellStart"/>
      <w:r w:rsidRPr="0058627D">
        <w:t>Albiereh</w:t>
      </w:r>
      <w:proofErr w:type="spellEnd"/>
      <w:r w:rsidRPr="0058627D">
        <w:t xml:space="preserve"> with 21.2%; in the Gaza Strip, the highest rate was in </w:t>
      </w:r>
      <w:proofErr w:type="spellStart"/>
      <w:r w:rsidRPr="0058627D">
        <w:t>Dier</w:t>
      </w:r>
      <w:proofErr w:type="spellEnd"/>
      <w:r w:rsidRPr="0058627D">
        <w:t xml:space="preserve"> </w:t>
      </w:r>
      <w:proofErr w:type="spellStart"/>
      <w:r w:rsidRPr="0058627D">
        <w:t>AlBalah</w:t>
      </w:r>
      <w:proofErr w:type="spellEnd"/>
      <w:r w:rsidRPr="0058627D">
        <w:t xml:space="preserve"> scored highest with 74.5% and the lowest in Gaza Governorate (59.8%).</w:t>
      </w:r>
    </w:p>
    <w:p w:rsidR="004402A6" w:rsidRDefault="004402A6"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Default="007176F7" w:rsidP="004402A6">
      <w:pPr>
        <w:autoSpaceDE w:val="0"/>
        <w:autoSpaceDN w:val="0"/>
        <w:adjustRightInd w:val="0"/>
        <w:rPr>
          <w:b/>
          <w:bCs/>
        </w:rPr>
      </w:pPr>
    </w:p>
    <w:p w:rsidR="007176F7" w:rsidRPr="0058627D" w:rsidRDefault="007176F7" w:rsidP="004402A6">
      <w:pPr>
        <w:autoSpaceDE w:val="0"/>
        <w:autoSpaceDN w:val="0"/>
        <w:adjustRightInd w:val="0"/>
        <w:rPr>
          <w:b/>
          <w:bCs/>
          <w:rtl/>
        </w:rPr>
      </w:pPr>
    </w:p>
    <w:p w:rsidR="004402A6" w:rsidRDefault="004402A6" w:rsidP="004402A6">
      <w:pPr>
        <w:autoSpaceDE w:val="0"/>
        <w:autoSpaceDN w:val="0"/>
        <w:bidi w:val="0"/>
        <w:adjustRightInd w:val="0"/>
        <w:jc w:val="center"/>
        <w:rPr>
          <w:b/>
          <w:bCs/>
          <w:sz w:val="22"/>
          <w:szCs w:val="22"/>
        </w:rPr>
      </w:pPr>
      <w:r w:rsidRPr="0058627D">
        <w:rPr>
          <w:b/>
          <w:bCs/>
          <w:sz w:val="22"/>
          <w:szCs w:val="22"/>
        </w:rPr>
        <w:lastRenderedPageBreak/>
        <w:t>Percentage of Palestinian Households that Buy their Food Needs on Credit (because they cannot afford cost) by Governorate, 2014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7176F7" w:rsidRPr="005E4CFB" w:rsidTr="00355C4B">
        <w:trPr>
          <w:trHeight w:val="5166"/>
          <w:jc w:val="center"/>
        </w:trPr>
        <w:tc>
          <w:tcPr>
            <w:tcW w:w="9289" w:type="dxa"/>
          </w:tcPr>
          <w:p w:rsidR="007176F7" w:rsidRDefault="007176F7" w:rsidP="005E4CFB">
            <w:pPr>
              <w:autoSpaceDE w:val="0"/>
              <w:autoSpaceDN w:val="0"/>
              <w:bidi w:val="0"/>
              <w:adjustRightInd w:val="0"/>
              <w:jc w:val="center"/>
              <w:rPr>
                <w:b/>
                <w:bCs/>
                <w:noProof/>
                <w:sz w:val="22"/>
                <w:szCs w:val="22"/>
                <w:lang w:val="en-GB" w:eastAsia="en-GB"/>
              </w:rPr>
            </w:pPr>
          </w:p>
          <w:p w:rsidR="00355C4B" w:rsidRPr="005E4CFB" w:rsidRDefault="00355C4B" w:rsidP="00355C4B">
            <w:pPr>
              <w:autoSpaceDE w:val="0"/>
              <w:autoSpaceDN w:val="0"/>
              <w:bidi w:val="0"/>
              <w:adjustRightInd w:val="0"/>
              <w:jc w:val="center"/>
              <w:rPr>
                <w:b/>
                <w:bCs/>
                <w:sz w:val="22"/>
                <w:szCs w:val="22"/>
              </w:rPr>
            </w:pPr>
            <w:r w:rsidRPr="00355C4B">
              <w:rPr>
                <w:b/>
                <w:bCs/>
                <w:noProof/>
                <w:sz w:val="22"/>
                <w:szCs w:val="22"/>
                <w:lang w:val="en-GB" w:eastAsia="en-GB"/>
              </w:rPr>
              <w:drawing>
                <wp:inline distT="0" distB="0" distL="0" distR="0">
                  <wp:extent cx="5829300" cy="3057525"/>
                  <wp:effectExtent l="0" t="0" r="0" b="0"/>
                  <wp:docPr id="64" name="Objec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7176F7" w:rsidRDefault="007176F7" w:rsidP="007176F7">
      <w:pPr>
        <w:autoSpaceDE w:val="0"/>
        <w:autoSpaceDN w:val="0"/>
        <w:bidi w:val="0"/>
        <w:adjustRightInd w:val="0"/>
        <w:jc w:val="center"/>
        <w:rPr>
          <w:b/>
          <w:bCs/>
          <w:sz w:val="22"/>
          <w:szCs w:val="22"/>
        </w:rPr>
      </w:pPr>
    </w:p>
    <w:p w:rsidR="004402A6" w:rsidRPr="0058627D" w:rsidRDefault="004402A6" w:rsidP="00AE1984">
      <w:pPr>
        <w:autoSpaceDE w:val="0"/>
        <w:autoSpaceDN w:val="0"/>
        <w:bidi w:val="0"/>
        <w:adjustRightInd w:val="0"/>
        <w:jc w:val="both"/>
      </w:pPr>
      <w:r w:rsidRPr="0058627D">
        <w:t>Findings showed that a 6.1% increase in the number of households that buy their needs on credit because they are unable to pay cost in 2014 compared to 2013. In the West Bank, the rate increased by 2.3% compared to 2013. This rise was more noticeable in the Gaza Strip, marking 13.4% for the same period.</w:t>
      </w:r>
    </w:p>
    <w:p w:rsidR="004402A6" w:rsidRPr="00656B93" w:rsidRDefault="004402A6" w:rsidP="004402A6">
      <w:pPr>
        <w:jc w:val="center"/>
        <w:rPr>
          <w:b/>
          <w:bCs/>
          <w:sz w:val="22"/>
          <w:szCs w:val="22"/>
        </w:rPr>
      </w:pPr>
    </w:p>
    <w:p w:rsidR="004402A6" w:rsidRDefault="004402A6" w:rsidP="004402A6">
      <w:pPr>
        <w:jc w:val="center"/>
        <w:rPr>
          <w:b/>
          <w:bCs/>
          <w:sz w:val="22"/>
          <w:szCs w:val="22"/>
        </w:rPr>
      </w:pPr>
      <w:r w:rsidRPr="0058627D">
        <w:rPr>
          <w:b/>
          <w:bCs/>
          <w:sz w:val="22"/>
          <w:szCs w:val="22"/>
        </w:rPr>
        <w:t>Change of the percentage of households that purchase their needs in food products on credit (because they cannot afford cost) per region in 2013,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607EE4" w:rsidRPr="005E4CFB" w:rsidTr="00355C4B">
        <w:trPr>
          <w:trHeight w:val="3809"/>
        </w:trPr>
        <w:tc>
          <w:tcPr>
            <w:tcW w:w="9289" w:type="dxa"/>
          </w:tcPr>
          <w:p w:rsidR="00607EE4" w:rsidRDefault="00607EE4" w:rsidP="005E4CFB">
            <w:pPr>
              <w:jc w:val="center"/>
              <w:rPr>
                <w:b/>
                <w:bCs/>
                <w:noProof/>
                <w:lang w:val="en-GB" w:eastAsia="en-GB"/>
              </w:rPr>
            </w:pPr>
          </w:p>
          <w:p w:rsidR="00355C4B" w:rsidRPr="005E4CFB" w:rsidRDefault="00355C4B" w:rsidP="005E4CFB">
            <w:pPr>
              <w:jc w:val="center"/>
              <w:rPr>
                <w:b/>
                <w:bCs/>
                <w:sz w:val="22"/>
                <w:szCs w:val="22"/>
                <w:rtl/>
              </w:rPr>
            </w:pPr>
            <w:r w:rsidRPr="00355C4B">
              <w:rPr>
                <w:b/>
                <w:bCs/>
                <w:noProof/>
                <w:rtl/>
                <w:lang w:val="en-GB" w:eastAsia="en-GB"/>
              </w:rPr>
              <w:drawing>
                <wp:inline distT="0" distB="0" distL="0" distR="0">
                  <wp:extent cx="5743575" cy="2162175"/>
                  <wp:effectExtent l="0" t="0" r="0" b="0"/>
                  <wp:docPr id="65"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4402A6" w:rsidRPr="0058627D" w:rsidRDefault="004402A6" w:rsidP="004402A6">
      <w:pPr>
        <w:autoSpaceDE w:val="0"/>
        <w:autoSpaceDN w:val="0"/>
        <w:adjustRightInd w:val="0"/>
        <w:jc w:val="center"/>
        <w:rPr>
          <w:b/>
          <w:bCs/>
        </w:rPr>
      </w:pPr>
    </w:p>
    <w:p w:rsidR="004402A6" w:rsidRPr="0058627D" w:rsidRDefault="00651868" w:rsidP="00C30EA6">
      <w:pPr>
        <w:autoSpaceDE w:val="0"/>
        <w:autoSpaceDN w:val="0"/>
        <w:bidi w:val="0"/>
        <w:adjustRightInd w:val="0"/>
      </w:pPr>
      <w:r>
        <w:rPr>
          <w:b/>
          <w:bCs/>
        </w:rPr>
        <w:t>1.6</w:t>
      </w:r>
      <w:r w:rsidR="004402A6" w:rsidRPr="0058627D">
        <w:rPr>
          <w:b/>
          <w:bCs/>
          <w:rtl/>
        </w:rPr>
        <w:t xml:space="preserve"> </w:t>
      </w:r>
      <w:r w:rsidR="009968AB">
        <w:rPr>
          <w:b/>
          <w:bCs/>
        </w:rPr>
        <w:t>Sex of head of household</w:t>
      </w:r>
    </w:p>
    <w:p w:rsidR="004402A6" w:rsidRPr="0058627D" w:rsidRDefault="004402A6" w:rsidP="004402A6">
      <w:pPr>
        <w:autoSpaceDE w:val="0"/>
        <w:autoSpaceDN w:val="0"/>
        <w:bidi w:val="0"/>
        <w:adjustRightInd w:val="0"/>
        <w:jc w:val="lowKashida"/>
        <w:rPr>
          <w:rtl/>
        </w:rPr>
      </w:pPr>
      <w:r w:rsidRPr="0058627D">
        <w:t>91.1% of Palestinian households confirmed that the main breadwinner was male, compared to 8.9% who confirmed the main breadwinner was a female. In the West Bank, households with a male breadwinner represented 91.9%, compared to 8.1% of households with a female breadwinner. In the Gaza Strip, households with a male breadwinner represented 89.6% compared to 10.4% with a female breadwinner.</w:t>
      </w:r>
    </w:p>
    <w:p w:rsidR="004402A6" w:rsidRDefault="004402A6" w:rsidP="004402A6">
      <w:pPr>
        <w:autoSpaceDE w:val="0"/>
        <w:autoSpaceDN w:val="0"/>
        <w:adjustRightInd w:val="0"/>
        <w:rPr>
          <w:b/>
          <w:bCs/>
        </w:rPr>
      </w:pPr>
    </w:p>
    <w:p w:rsidR="004402A6" w:rsidRDefault="004402A6" w:rsidP="009968AB">
      <w:pPr>
        <w:autoSpaceDE w:val="0"/>
        <w:autoSpaceDN w:val="0"/>
        <w:adjustRightInd w:val="0"/>
        <w:jc w:val="center"/>
        <w:rPr>
          <w:b/>
          <w:bCs/>
          <w:sz w:val="22"/>
          <w:szCs w:val="22"/>
        </w:rPr>
      </w:pPr>
      <w:r w:rsidRPr="0058627D">
        <w:rPr>
          <w:b/>
          <w:bCs/>
          <w:sz w:val="22"/>
          <w:szCs w:val="22"/>
        </w:rPr>
        <w:lastRenderedPageBreak/>
        <w:t xml:space="preserve">Percentage Distribution of Palestinian Households by </w:t>
      </w:r>
      <w:r w:rsidR="009968AB">
        <w:rPr>
          <w:b/>
          <w:bCs/>
          <w:sz w:val="22"/>
          <w:szCs w:val="22"/>
        </w:rPr>
        <w:t>sex</w:t>
      </w:r>
      <w:r w:rsidRPr="0058627D">
        <w:rPr>
          <w:b/>
          <w:bCs/>
          <w:sz w:val="22"/>
          <w:szCs w:val="22"/>
        </w:rPr>
        <w:t xml:space="preserve"> of Main Breadwinner,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607EE4" w:rsidRPr="005E4CFB" w:rsidTr="00355C4B">
        <w:trPr>
          <w:trHeight w:val="3574"/>
        </w:trPr>
        <w:tc>
          <w:tcPr>
            <w:tcW w:w="9289" w:type="dxa"/>
          </w:tcPr>
          <w:p w:rsidR="00607EE4" w:rsidRDefault="00607EE4" w:rsidP="005E4CFB">
            <w:pPr>
              <w:autoSpaceDE w:val="0"/>
              <w:autoSpaceDN w:val="0"/>
              <w:adjustRightInd w:val="0"/>
              <w:jc w:val="center"/>
              <w:rPr>
                <w:b/>
                <w:bCs/>
                <w:noProof/>
                <w:sz w:val="22"/>
                <w:szCs w:val="22"/>
                <w:lang w:eastAsia="en-GB"/>
              </w:rPr>
            </w:pPr>
          </w:p>
          <w:p w:rsidR="00355C4B" w:rsidRPr="00355C4B" w:rsidRDefault="00355C4B" w:rsidP="005E4CFB">
            <w:pPr>
              <w:autoSpaceDE w:val="0"/>
              <w:autoSpaceDN w:val="0"/>
              <w:adjustRightInd w:val="0"/>
              <w:jc w:val="center"/>
              <w:rPr>
                <w:b/>
                <w:bCs/>
                <w:sz w:val="22"/>
                <w:szCs w:val="22"/>
                <w:rtl/>
              </w:rPr>
            </w:pPr>
            <w:r w:rsidRPr="00355C4B">
              <w:rPr>
                <w:b/>
                <w:bCs/>
                <w:noProof/>
                <w:sz w:val="22"/>
                <w:szCs w:val="22"/>
                <w:rtl/>
                <w:lang w:eastAsia="en-GB"/>
              </w:rPr>
              <w:drawing>
                <wp:inline distT="0" distB="0" distL="0" distR="0">
                  <wp:extent cx="5476875" cy="1990725"/>
                  <wp:effectExtent l="0" t="0" r="0" b="0"/>
                  <wp:docPr id="66"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35590B" w:rsidRPr="0058627D" w:rsidRDefault="0035590B" w:rsidP="0035590B">
      <w:pPr>
        <w:autoSpaceDE w:val="0"/>
        <w:autoSpaceDN w:val="0"/>
        <w:bidi w:val="0"/>
        <w:adjustRightInd w:val="0"/>
        <w:jc w:val="center"/>
        <w:rPr>
          <w:b/>
          <w:bCs/>
          <w:sz w:val="22"/>
          <w:szCs w:val="22"/>
          <w:rtl/>
        </w:rPr>
      </w:pPr>
    </w:p>
    <w:p w:rsidR="004402A6" w:rsidRPr="0058627D" w:rsidRDefault="00651868" w:rsidP="00C30EA6">
      <w:pPr>
        <w:autoSpaceDE w:val="0"/>
        <w:autoSpaceDN w:val="0"/>
        <w:bidi w:val="0"/>
        <w:adjustRightInd w:val="0"/>
      </w:pPr>
      <w:r>
        <w:rPr>
          <w:b/>
          <w:bCs/>
        </w:rPr>
        <w:t xml:space="preserve">1.7 </w:t>
      </w:r>
      <w:r w:rsidR="004402A6" w:rsidRPr="0058627D">
        <w:rPr>
          <w:b/>
          <w:bCs/>
          <w:rtl/>
        </w:rPr>
        <w:t xml:space="preserve"> </w:t>
      </w:r>
      <w:r w:rsidR="009968AB" w:rsidRPr="0058627D">
        <w:rPr>
          <w:b/>
          <w:bCs/>
        </w:rPr>
        <w:t xml:space="preserve">Economic </w:t>
      </w:r>
      <w:r w:rsidR="009968AB">
        <w:rPr>
          <w:b/>
          <w:bCs/>
        </w:rPr>
        <w:t>Living Conditions</w:t>
      </w:r>
      <w:proofErr w:type="spellStart"/>
      <w:r w:rsidR="004402A6" w:rsidRPr="0058627D">
        <w:rPr>
          <w:rtl/>
        </w:rPr>
        <w:t>.</w:t>
      </w:r>
      <w:proofErr w:type="spellEnd"/>
    </w:p>
    <w:p w:rsidR="004402A6" w:rsidRPr="0058627D" w:rsidRDefault="004402A6" w:rsidP="004402A6">
      <w:pPr>
        <w:autoSpaceDE w:val="0"/>
        <w:autoSpaceDN w:val="0"/>
        <w:bidi w:val="0"/>
        <w:adjustRightInd w:val="0"/>
        <w:jc w:val="lowKashida"/>
        <w:rPr>
          <w:rtl/>
        </w:rPr>
      </w:pPr>
      <w:r w:rsidRPr="0058627D">
        <w:t>48.7% of households in Palestine reported no change to their living conditions compared to the second half of 2014; the rate varied between 58.6% in the West Bank to 29.5% in the Gaza Strip.</w:t>
      </w:r>
    </w:p>
    <w:p w:rsidR="004402A6" w:rsidRPr="0058627D" w:rsidRDefault="004402A6" w:rsidP="004402A6">
      <w:pPr>
        <w:autoSpaceDE w:val="0"/>
        <w:autoSpaceDN w:val="0"/>
        <w:adjustRightInd w:val="0"/>
        <w:jc w:val="lowKashida"/>
        <w:rPr>
          <w:rtl/>
        </w:rPr>
      </w:pPr>
    </w:p>
    <w:p w:rsidR="004402A6" w:rsidRPr="0058627D" w:rsidRDefault="004402A6" w:rsidP="004402A6">
      <w:pPr>
        <w:autoSpaceDE w:val="0"/>
        <w:autoSpaceDN w:val="0"/>
        <w:bidi w:val="0"/>
        <w:adjustRightInd w:val="0"/>
        <w:jc w:val="lowKashida"/>
        <w:rPr>
          <w:rtl/>
        </w:rPr>
      </w:pPr>
      <w:r w:rsidRPr="0058627D">
        <w:t>Findings showed that the living conditions of households in the Gaza Strip have noticeably deteriorated in the second quarter of 2014 as 36.0% of households reported they were in worse living conditions, compared to the second half of 2014. On the other hand, 21.4% of households in the West Bank reported the same. Moreover, 29.1% of households in the Gaza Strip reported that their living conditions are much worse compared to 3.7% in the West Bank.</w:t>
      </w:r>
    </w:p>
    <w:p w:rsidR="004402A6" w:rsidRPr="0058627D" w:rsidRDefault="004402A6" w:rsidP="004402A6">
      <w:pPr>
        <w:autoSpaceDE w:val="0"/>
        <w:autoSpaceDN w:val="0"/>
        <w:adjustRightInd w:val="0"/>
        <w:rPr>
          <w:b/>
          <w:bCs/>
          <w:rtl/>
        </w:rPr>
      </w:pPr>
    </w:p>
    <w:p w:rsidR="004402A6" w:rsidRDefault="004402A6" w:rsidP="004402A6">
      <w:pPr>
        <w:autoSpaceDE w:val="0"/>
        <w:autoSpaceDN w:val="0"/>
        <w:adjustRightInd w:val="0"/>
        <w:jc w:val="center"/>
        <w:rPr>
          <w:b/>
          <w:bCs/>
          <w:sz w:val="22"/>
          <w:szCs w:val="22"/>
        </w:rPr>
      </w:pPr>
      <w:r w:rsidRPr="0058627D">
        <w:rPr>
          <w:b/>
          <w:bCs/>
          <w:sz w:val="22"/>
          <w:szCs w:val="22"/>
        </w:rPr>
        <w:t>Percentage Distribution of Palestinian Households According to their</w:t>
      </w:r>
      <w:r w:rsidR="0035590B">
        <w:rPr>
          <w:b/>
          <w:bCs/>
          <w:sz w:val="22"/>
          <w:szCs w:val="22"/>
        </w:rPr>
        <w:t xml:space="preserve"> Opinion on Comparing</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607EE4" w:rsidRPr="005E4CFB" w:rsidTr="00355C4B">
        <w:trPr>
          <w:trHeight w:val="5494"/>
        </w:trPr>
        <w:tc>
          <w:tcPr>
            <w:tcW w:w="9289" w:type="dxa"/>
          </w:tcPr>
          <w:p w:rsidR="00607EE4" w:rsidRDefault="00607EE4" w:rsidP="005E4CFB">
            <w:pPr>
              <w:autoSpaceDE w:val="0"/>
              <w:autoSpaceDN w:val="0"/>
              <w:adjustRightInd w:val="0"/>
              <w:jc w:val="center"/>
              <w:rPr>
                <w:b/>
                <w:bCs/>
                <w:noProof/>
                <w:sz w:val="22"/>
                <w:szCs w:val="22"/>
                <w:lang w:val="en-GB" w:eastAsia="en-GB"/>
              </w:rPr>
            </w:pPr>
          </w:p>
          <w:p w:rsidR="00355C4B" w:rsidRPr="005E4CFB" w:rsidRDefault="00355C4B" w:rsidP="005E4CFB">
            <w:pPr>
              <w:autoSpaceDE w:val="0"/>
              <w:autoSpaceDN w:val="0"/>
              <w:adjustRightInd w:val="0"/>
              <w:jc w:val="center"/>
              <w:rPr>
                <w:b/>
                <w:bCs/>
                <w:sz w:val="22"/>
                <w:szCs w:val="22"/>
                <w:rtl/>
              </w:rPr>
            </w:pPr>
            <w:r w:rsidRPr="00355C4B">
              <w:rPr>
                <w:b/>
                <w:bCs/>
                <w:noProof/>
                <w:sz w:val="22"/>
                <w:szCs w:val="22"/>
                <w:rtl/>
                <w:lang w:val="en-GB" w:eastAsia="en-GB"/>
              </w:rPr>
              <w:drawing>
                <wp:inline distT="0" distB="0" distL="0" distR="0">
                  <wp:extent cx="5753100" cy="3238500"/>
                  <wp:effectExtent l="0" t="0" r="0" b="0"/>
                  <wp:docPr id="67" name="Objec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607EE4" w:rsidRDefault="00607EE4" w:rsidP="004402A6">
      <w:pPr>
        <w:autoSpaceDE w:val="0"/>
        <w:autoSpaceDN w:val="0"/>
        <w:adjustRightInd w:val="0"/>
        <w:jc w:val="center"/>
        <w:rPr>
          <w:b/>
          <w:bCs/>
          <w:sz w:val="22"/>
          <w:szCs w:val="22"/>
        </w:rPr>
      </w:pPr>
    </w:p>
    <w:p w:rsidR="00355C4B" w:rsidRDefault="00355C4B" w:rsidP="004402A6">
      <w:pPr>
        <w:autoSpaceDE w:val="0"/>
        <w:autoSpaceDN w:val="0"/>
        <w:adjustRightInd w:val="0"/>
        <w:jc w:val="center"/>
        <w:rPr>
          <w:b/>
          <w:bCs/>
          <w:sz w:val="22"/>
          <w:szCs w:val="22"/>
        </w:rPr>
      </w:pPr>
    </w:p>
    <w:p w:rsidR="00355C4B" w:rsidRDefault="00355C4B" w:rsidP="004402A6">
      <w:pPr>
        <w:autoSpaceDE w:val="0"/>
        <w:autoSpaceDN w:val="0"/>
        <w:adjustRightInd w:val="0"/>
        <w:jc w:val="center"/>
        <w:rPr>
          <w:b/>
          <w:bCs/>
          <w:sz w:val="22"/>
          <w:szCs w:val="22"/>
          <w:rtl/>
        </w:rPr>
      </w:pPr>
    </w:p>
    <w:p w:rsidR="004402A6" w:rsidRPr="0058627D" w:rsidRDefault="00651868" w:rsidP="009968AB">
      <w:pPr>
        <w:autoSpaceDE w:val="0"/>
        <w:autoSpaceDN w:val="0"/>
        <w:bidi w:val="0"/>
        <w:adjustRightInd w:val="0"/>
        <w:rPr>
          <w:b/>
          <w:bCs/>
          <w:rtl/>
        </w:rPr>
      </w:pPr>
      <w:r>
        <w:rPr>
          <w:b/>
          <w:bCs/>
        </w:rPr>
        <w:lastRenderedPageBreak/>
        <w:t xml:space="preserve">1.8 </w:t>
      </w:r>
      <w:r w:rsidR="009968AB">
        <w:rPr>
          <w:b/>
          <w:bCs/>
        </w:rPr>
        <w:t>Status of the</w:t>
      </w:r>
      <w:r w:rsidR="004402A6" w:rsidRPr="0058627D">
        <w:rPr>
          <w:b/>
          <w:bCs/>
          <w:rtl/>
        </w:rPr>
        <w:t xml:space="preserve"> </w:t>
      </w:r>
      <w:r w:rsidR="004402A6" w:rsidRPr="0058627D">
        <w:rPr>
          <w:b/>
          <w:bCs/>
        </w:rPr>
        <w:t xml:space="preserve">Palestinian </w:t>
      </w:r>
      <w:r w:rsidR="009968AB">
        <w:rPr>
          <w:b/>
          <w:bCs/>
        </w:rPr>
        <w:t>households</w:t>
      </w:r>
    </w:p>
    <w:p w:rsidR="004402A6" w:rsidRPr="0058627D" w:rsidRDefault="004402A6" w:rsidP="004402A6">
      <w:pPr>
        <w:autoSpaceDE w:val="0"/>
        <w:autoSpaceDN w:val="0"/>
        <w:bidi w:val="0"/>
        <w:adjustRightInd w:val="0"/>
        <w:jc w:val="lowKashida"/>
        <w:rPr>
          <w:rtl/>
        </w:rPr>
      </w:pPr>
      <w:r w:rsidRPr="0058627D">
        <w:t>75.4% of households in Palestine reported they had moderate financial status (83.7% in the West Bank and 59.4% in the Gaza Strip). On the other hand, 21.6% of households in Palestine defined themselves as poor or very poor. This percentage ranged from 12.8% in the West Bank to three times this level in the Gaza Strip (38.3%).</w:t>
      </w:r>
    </w:p>
    <w:p w:rsidR="004402A6" w:rsidRPr="0058627D" w:rsidRDefault="004402A6" w:rsidP="004402A6">
      <w:pPr>
        <w:autoSpaceDE w:val="0"/>
        <w:autoSpaceDN w:val="0"/>
        <w:adjustRightInd w:val="0"/>
        <w:jc w:val="lowKashida"/>
        <w:rPr>
          <w:rtl/>
        </w:rPr>
      </w:pPr>
    </w:p>
    <w:p w:rsidR="004402A6" w:rsidRDefault="004402A6" w:rsidP="004402A6">
      <w:pPr>
        <w:autoSpaceDE w:val="0"/>
        <w:autoSpaceDN w:val="0"/>
        <w:adjustRightInd w:val="0"/>
        <w:jc w:val="center"/>
        <w:rPr>
          <w:b/>
          <w:bCs/>
          <w:sz w:val="22"/>
          <w:szCs w:val="22"/>
        </w:rPr>
      </w:pPr>
      <w:r w:rsidRPr="0058627D">
        <w:rPr>
          <w:b/>
          <w:bCs/>
          <w:sz w:val="22"/>
          <w:szCs w:val="22"/>
        </w:rPr>
        <w:t>Percentage Distribution of Palestinian Households according to their Opinion in the conditions of their households and region, 2014</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1"/>
      </w:tblGrid>
      <w:tr w:rsidR="0071462F" w:rsidRPr="005E4CFB" w:rsidTr="00355C4B">
        <w:trPr>
          <w:trHeight w:val="4763"/>
        </w:trPr>
        <w:tc>
          <w:tcPr>
            <w:tcW w:w="9072" w:type="dxa"/>
          </w:tcPr>
          <w:p w:rsidR="0071462F" w:rsidRDefault="0071462F" w:rsidP="005E4CFB">
            <w:pPr>
              <w:autoSpaceDE w:val="0"/>
              <w:autoSpaceDN w:val="0"/>
              <w:adjustRightInd w:val="0"/>
              <w:jc w:val="center"/>
              <w:rPr>
                <w:b/>
                <w:bCs/>
                <w:noProof/>
                <w:sz w:val="22"/>
                <w:szCs w:val="22"/>
                <w:lang w:val="en-GB" w:eastAsia="en-GB"/>
              </w:rPr>
            </w:pPr>
          </w:p>
          <w:p w:rsidR="00355C4B" w:rsidRPr="005E4CFB" w:rsidRDefault="00355C4B" w:rsidP="005E4CFB">
            <w:pPr>
              <w:autoSpaceDE w:val="0"/>
              <w:autoSpaceDN w:val="0"/>
              <w:adjustRightInd w:val="0"/>
              <w:jc w:val="center"/>
              <w:rPr>
                <w:b/>
                <w:bCs/>
                <w:sz w:val="22"/>
                <w:szCs w:val="22"/>
                <w:rtl/>
              </w:rPr>
            </w:pPr>
            <w:r w:rsidRPr="00355C4B">
              <w:rPr>
                <w:b/>
                <w:bCs/>
                <w:noProof/>
                <w:sz w:val="22"/>
                <w:szCs w:val="22"/>
                <w:rtl/>
                <w:lang w:val="en-GB" w:eastAsia="en-GB"/>
              </w:rPr>
              <w:drawing>
                <wp:inline distT="0" distB="0" distL="0" distR="0">
                  <wp:extent cx="5686425" cy="2752725"/>
                  <wp:effectExtent l="0" t="0" r="0" b="0"/>
                  <wp:docPr id="68" name="Object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607EE4" w:rsidRDefault="00607EE4" w:rsidP="004402A6">
      <w:pPr>
        <w:autoSpaceDE w:val="0"/>
        <w:autoSpaceDN w:val="0"/>
        <w:adjustRightInd w:val="0"/>
        <w:jc w:val="center"/>
        <w:rPr>
          <w:b/>
          <w:bCs/>
          <w:sz w:val="22"/>
          <w:szCs w:val="22"/>
          <w:rtl/>
        </w:rPr>
      </w:pPr>
    </w:p>
    <w:p w:rsidR="004402A6" w:rsidRPr="0058627D" w:rsidRDefault="004402A6" w:rsidP="00CD385D">
      <w:pPr>
        <w:autoSpaceDE w:val="0"/>
        <w:autoSpaceDN w:val="0"/>
        <w:bidi w:val="0"/>
        <w:adjustRightInd w:val="0"/>
        <w:rPr>
          <w:b/>
          <w:bCs/>
          <w:rtl/>
        </w:rPr>
      </w:pPr>
      <w:r w:rsidRPr="0058627D">
        <w:rPr>
          <w:b/>
          <w:bCs/>
          <w:rtl/>
        </w:rPr>
        <w:t>1.8.1</w:t>
      </w:r>
      <w:r w:rsidR="00CD385D">
        <w:rPr>
          <w:b/>
          <w:bCs/>
        </w:rPr>
        <w:t xml:space="preserve"> </w:t>
      </w:r>
      <w:r w:rsidRPr="0058627D">
        <w:rPr>
          <w:b/>
          <w:bCs/>
        </w:rPr>
        <w:t>Financial Steadfastness of Palestinian Households</w:t>
      </w:r>
    </w:p>
    <w:p w:rsidR="004402A6" w:rsidRDefault="004402A6" w:rsidP="00F60113">
      <w:pPr>
        <w:autoSpaceDE w:val="0"/>
        <w:autoSpaceDN w:val="0"/>
        <w:bidi w:val="0"/>
        <w:adjustRightInd w:val="0"/>
        <w:jc w:val="lowKashida"/>
      </w:pPr>
      <w:r w:rsidRPr="0058627D">
        <w:t xml:space="preserve">63.5% of Palestinian households can survive regardless of duration (80.0% in the West Bank, compared to </w:t>
      </w:r>
      <w:r w:rsidR="00F60113">
        <w:t>32.9</w:t>
      </w:r>
      <w:r w:rsidRPr="0058627D">
        <w:t>% in the Gaza Strip). Findings showed that 29.6% of Palestinian households barely manage and endure dire financial situation. 14.8% of these households are in the West Bank, compared to 57.3% in the Gaza Strip.</w:t>
      </w:r>
    </w:p>
    <w:p w:rsidR="00651868" w:rsidRDefault="00651868" w:rsidP="00651868">
      <w:pPr>
        <w:autoSpaceDE w:val="0"/>
        <w:autoSpaceDN w:val="0"/>
        <w:bidi w:val="0"/>
        <w:adjustRightInd w:val="0"/>
        <w:jc w:val="lowKashida"/>
      </w:pPr>
    </w:p>
    <w:p w:rsidR="004402A6" w:rsidRPr="0058627D" w:rsidRDefault="00651868" w:rsidP="00656B93">
      <w:pPr>
        <w:autoSpaceDE w:val="0"/>
        <w:autoSpaceDN w:val="0"/>
        <w:bidi w:val="0"/>
        <w:adjustRightInd w:val="0"/>
        <w:rPr>
          <w:b/>
          <w:bCs/>
          <w:rtl/>
        </w:rPr>
      </w:pPr>
      <w:r>
        <w:rPr>
          <w:b/>
          <w:bCs/>
        </w:rPr>
        <w:t xml:space="preserve">1.8.2 </w:t>
      </w:r>
      <w:r w:rsidR="004402A6" w:rsidRPr="0058627D">
        <w:rPr>
          <w:b/>
          <w:bCs/>
          <w:rtl/>
        </w:rPr>
        <w:t xml:space="preserve"> </w:t>
      </w:r>
      <w:r w:rsidR="004402A6" w:rsidRPr="0058627D">
        <w:rPr>
          <w:b/>
          <w:bCs/>
        </w:rPr>
        <w:t>Main Source of Income</w:t>
      </w:r>
    </w:p>
    <w:p w:rsidR="004402A6" w:rsidRPr="0058627D" w:rsidRDefault="004402A6" w:rsidP="004402A6">
      <w:pPr>
        <w:autoSpaceDE w:val="0"/>
        <w:autoSpaceDN w:val="0"/>
        <w:bidi w:val="0"/>
        <w:adjustRightInd w:val="0"/>
        <w:jc w:val="lowKashida"/>
        <w:rPr>
          <w:rtl/>
        </w:rPr>
      </w:pPr>
      <w:r w:rsidRPr="0058627D">
        <w:t>The Palestinian private sector comes on top of the list of sources of income in Palestine. 30.1% of Palestinian households reported that their main income came from the private sector (34.4% in the West Bank and 22.0% in the Gaza Strip). The public (government) sector ranks second source of income with 20.9% of households reporting it was their main source of income (13.0% in the West Bank and 35.9% in the Gaza Strip). The third main source of income was labor in Israeli sectors, (12.9% of households).</w:t>
      </w:r>
    </w:p>
    <w:p w:rsidR="004402A6" w:rsidRPr="0058627D" w:rsidRDefault="004402A6" w:rsidP="004402A6">
      <w:pPr>
        <w:autoSpaceDE w:val="0"/>
        <w:autoSpaceDN w:val="0"/>
        <w:adjustRightInd w:val="0"/>
        <w:rPr>
          <w:b/>
          <w:bCs/>
          <w:rtl/>
        </w:rPr>
      </w:pPr>
    </w:p>
    <w:p w:rsidR="004402A6" w:rsidRPr="0058627D" w:rsidRDefault="00651868" w:rsidP="004402A6">
      <w:pPr>
        <w:autoSpaceDE w:val="0"/>
        <w:autoSpaceDN w:val="0"/>
        <w:bidi w:val="0"/>
        <w:adjustRightInd w:val="0"/>
        <w:rPr>
          <w:b/>
          <w:bCs/>
          <w:rtl/>
        </w:rPr>
      </w:pPr>
      <w:r>
        <w:rPr>
          <w:b/>
          <w:bCs/>
        </w:rPr>
        <w:t xml:space="preserve">1.8.3 </w:t>
      </w:r>
      <w:r w:rsidR="004402A6" w:rsidRPr="0058627D">
        <w:rPr>
          <w:b/>
          <w:bCs/>
          <w:rtl/>
        </w:rPr>
        <w:t xml:space="preserve"> </w:t>
      </w:r>
      <w:r w:rsidR="004402A6" w:rsidRPr="0058627D">
        <w:rPr>
          <w:b/>
          <w:bCs/>
        </w:rPr>
        <w:t>Agricultural Ownership</w:t>
      </w:r>
    </w:p>
    <w:p w:rsidR="004402A6" w:rsidRPr="0058627D" w:rsidRDefault="004402A6" w:rsidP="004402A6">
      <w:pPr>
        <w:autoSpaceDE w:val="0"/>
        <w:autoSpaceDN w:val="0"/>
        <w:bidi w:val="0"/>
        <w:adjustRightInd w:val="0"/>
        <w:jc w:val="lowKashida"/>
        <w:rPr>
          <w:b/>
          <w:bCs/>
        </w:rPr>
      </w:pPr>
      <w:r w:rsidRPr="0058627D">
        <w:t>20.4% of Palestinian households dispose of lands (24.9% in the West Bank and 11.9% in the Gaza Strip). As for households’ ownership of animal wealth, 9.5% of Palestinian households own animal heads (9.2% in the West Bank and 10.0% in the Gaza Strip).</w:t>
      </w:r>
    </w:p>
    <w:p w:rsidR="004402A6" w:rsidRPr="0058627D" w:rsidRDefault="004402A6" w:rsidP="004402A6">
      <w:pPr>
        <w:autoSpaceDE w:val="0"/>
        <w:autoSpaceDN w:val="0"/>
        <w:adjustRightInd w:val="0"/>
        <w:jc w:val="lowKashida"/>
        <w:rPr>
          <w:b/>
          <w:bCs/>
          <w:rtl/>
        </w:rPr>
      </w:pPr>
    </w:p>
    <w:p w:rsidR="004402A6" w:rsidRPr="0058627D" w:rsidRDefault="004402A6" w:rsidP="004402A6">
      <w:pPr>
        <w:bidi w:val="0"/>
      </w:pPr>
      <w:r w:rsidRPr="0058627D">
        <w:t xml:space="preserve">Findings for 2014 showed that the Palestinian households with holding of land or animal wealth increased compared to 2013 by 3.3% for land holding and by 1.8% for animal holding compared to the </w:t>
      </w:r>
      <w:proofErr w:type="spellStart"/>
      <w:r w:rsidRPr="0058627D">
        <w:t>agri</w:t>
      </w:r>
      <w:proofErr w:type="spellEnd"/>
      <w:r w:rsidRPr="0058627D">
        <w:t>-year 2012-2013.</w:t>
      </w:r>
    </w:p>
    <w:p w:rsidR="004402A6" w:rsidRDefault="004402A6" w:rsidP="004402A6">
      <w:pPr>
        <w:bidi w:val="0"/>
      </w:pPr>
    </w:p>
    <w:p w:rsidR="0071462F" w:rsidRDefault="0071462F" w:rsidP="0071462F">
      <w:pPr>
        <w:bidi w:val="0"/>
      </w:pPr>
    </w:p>
    <w:p w:rsidR="004402A6" w:rsidRDefault="004402A6" w:rsidP="004402A6">
      <w:pPr>
        <w:jc w:val="center"/>
        <w:rPr>
          <w:b/>
          <w:bCs/>
          <w:sz w:val="22"/>
          <w:szCs w:val="22"/>
        </w:rPr>
      </w:pPr>
      <w:r w:rsidRPr="0058627D">
        <w:rPr>
          <w:b/>
          <w:bCs/>
          <w:sz w:val="22"/>
          <w:szCs w:val="22"/>
        </w:rPr>
        <w:lastRenderedPageBreak/>
        <w:t xml:space="preserve">Change in Palestinian Households Holding of Agricultural Assets by Type and Region for the years 2013 and 2014 and for Holding of Land and Animal Wealth for the </w:t>
      </w:r>
      <w:proofErr w:type="spellStart"/>
      <w:r w:rsidRPr="0058627D">
        <w:rPr>
          <w:b/>
          <w:bCs/>
          <w:sz w:val="22"/>
          <w:szCs w:val="22"/>
        </w:rPr>
        <w:t>Agri</w:t>
      </w:r>
      <w:proofErr w:type="spellEnd"/>
      <w:r w:rsidRPr="0058627D">
        <w:rPr>
          <w:b/>
          <w:bCs/>
          <w:sz w:val="22"/>
          <w:szCs w:val="22"/>
        </w:rPr>
        <w:t>-Years 2012-2013 and 2013-2014</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2"/>
      </w:tblGrid>
      <w:tr w:rsidR="0071462F" w:rsidRPr="005E4CFB" w:rsidTr="00355C4B">
        <w:trPr>
          <w:trHeight w:val="4616"/>
        </w:trPr>
        <w:tc>
          <w:tcPr>
            <w:tcW w:w="9072" w:type="dxa"/>
          </w:tcPr>
          <w:p w:rsidR="0071462F" w:rsidRDefault="0071462F" w:rsidP="005E4CFB">
            <w:pPr>
              <w:jc w:val="center"/>
              <w:rPr>
                <w:b/>
                <w:bCs/>
                <w:noProof/>
                <w:sz w:val="22"/>
                <w:szCs w:val="22"/>
                <w:lang w:eastAsia="en-GB"/>
              </w:rPr>
            </w:pPr>
          </w:p>
          <w:p w:rsidR="00355C4B" w:rsidRPr="00355C4B" w:rsidRDefault="00355C4B" w:rsidP="005E4CFB">
            <w:pPr>
              <w:jc w:val="center"/>
              <w:rPr>
                <w:b/>
                <w:bCs/>
                <w:sz w:val="22"/>
                <w:szCs w:val="22"/>
                <w:rtl/>
              </w:rPr>
            </w:pPr>
            <w:r w:rsidRPr="00355C4B">
              <w:rPr>
                <w:b/>
                <w:bCs/>
                <w:noProof/>
                <w:sz w:val="22"/>
                <w:szCs w:val="22"/>
                <w:rtl/>
                <w:lang w:eastAsia="en-GB"/>
              </w:rPr>
              <w:drawing>
                <wp:inline distT="0" distB="0" distL="0" distR="0">
                  <wp:extent cx="5457825" cy="2667000"/>
                  <wp:effectExtent l="0" t="0" r="0" b="0"/>
                  <wp:docPr id="69" name="Objec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651868" w:rsidRPr="00355C4B" w:rsidRDefault="00651868" w:rsidP="004402A6">
      <w:pPr>
        <w:jc w:val="center"/>
        <w:rPr>
          <w:b/>
          <w:bCs/>
          <w:sz w:val="20"/>
          <w:szCs w:val="20"/>
          <w:rtl/>
        </w:rPr>
      </w:pPr>
    </w:p>
    <w:p w:rsidR="004402A6" w:rsidRPr="0058627D" w:rsidRDefault="00651868" w:rsidP="00B049B3">
      <w:pPr>
        <w:autoSpaceDE w:val="0"/>
        <w:autoSpaceDN w:val="0"/>
        <w:bidi w:val="0"/>
        <w:adjustRightInd w:val="0"/>
      </w:pPr>
      <w:r>
        <w:rPr>
          <w:b/>
          <w:bCs/>
        </w:rPr>
        <w:t xml:space="preserve">1.8.4 </w:t>
      </w:r>
      <w:r w:rsidR="004402A6" w:rsidRPr="0058627D">
        <w:rPr>
          <w:b/>
          <w:bCs/>
        </w:rPr>
        <w:t>Restrictions on Households’ Mobility</w:t>
      </w:r>
    </w:p>
    <w:p w:rsidR="004402A6" w:rsidRPr="0058627D" w:rsidRDefault="004402A6" w:rsidP="004402A6">
      <w:pPr>
        <w:autoSpaceDE w:val="0"/>
        <w:autoSpaceDN w:val="0"/>
        <w:bidi w:val="0"/>
        <w:adjustRightInd w:val="0"/>
        <w:jc w:val="lowKashida"/>
        <w:rPr>
          <w:rtl/>
        </w:rPr>
      </w:pPr>
      <w:r w:rsidRPr="0058627D">
        <w:t>24.9% of Palestinian households reported that restrictions on their mobility is a major problem (9.3% in the West Bank and 54.8% in the Gaza Strip) while 22.4% reported minor problems resulting from restrictions on their mobility (20.5% in the West Bank and 26.0% in the Gaza Strip).</w:t>
      </w:r>
    </w:p>
    <w:p w:rsidR="004402A6" w:rsidRPr="00355C4B" w:rsidRDefault="004402A6" w:rsidP="004402A6">
      <w:pPr>
        <w:autoSpaceDE w:val="0"/>
        <w:autoSpaceDN w:val="0"/>
        <w:adjustRightInd w:val="0"/>
        <w:rPr>
          <w:b/>
          <w:bCs/>
          <w:sz w:val="20"/>
          <w:szCs w:val="20"/>
          <w:rtl/>
        </w:rPr>
      </w:pPr>
    </w:p>
    <w:p w:rsidR="004402A6" w:rsidRDefault="004402A6" w:rsidP="004402A6">
      <w:pPr>
        <w:bidi w:val="0"/>
        <w:jc w:val="both"/>
      </w:pPr>
      <w:r w:rsidRPr="0058627D">
        <w:t>It is evident that restrictions on mobility constituted a major problem for Palestinian households in 2014 compared to 2013 with a 19.2% rise in the percentage of households who reported that such restrictions represented a major problem. The more noticeable increase was in the Gaza Strip, showing a rise of 51.8% in 2014 compared to 2013, compared to 2.6% increase in the West Bank for the same period.</w:t>
      </w:r>
    </w:p>
    <w:p w:rsidR="00651868" w:rsidRDefault="00651868" w:rsidP="00651868">
      <w:pPr>
        <w:bidi w:val="0"/>
        <w:jc w:val="both"/>
      </w:pPr>
    </w:p>
    <w:p w:rsidR="004402A6" w:rsidRDefault="004402A6" w:rsidP="004402A6">
      <w:pPr>
        <w:jc w:val="center"/>
        <w:rPr>
          <w:b/>
          <w:bCs/>
          <w:sz w:val="22"/>
          <w:szCs w:val="22"/>
        </w:rPr>
      </w:pPr>
      <w:r w:rsidRPr="0058627D">
        <w:rPr>
          <w:b/>
          <w:bCs/>
          <w:sz w:val="22"/>
          <w:szCs w:val="22"/>
        </w:rPr>
        <w:t>Change in Palestinian Household Opinions on the Effect of Restrictions on their Mobility in the years 2013 and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71462F" w:rsidRPr="005E4CFB" w:rsidTr="00355C4B">
        <w:trPr>
          <w:trHeight w:val="4556"/>
        </w:trPr>
        <w:tc>
          <w:tcPr>
            <w:tcW w:w="9289" w:type="dxa"/>
          </w:tcPr>
          <w:p w:rsidR="0071462F" w:rsidRDefault="0071462F" w:rsidP="005E4CFB">
            <w:pPr>
              <w:jc w:val="center"/>
              <w:rPr>
                <w:noProof/>
                <w:lang w:val="en-GB" w:eastAsia="en-GB"/>
              </w:rPr>
            </w:pPr>
          </w:p>
          <w:p w:rsidR="00355C4B" w:rsidRPr="005E4CFB" w:rsidRDefault="00355C4B" w:rsidP="005E4CFB">
            <w:pPr>
              <w:jc w:val="center"/>
              <w:rPr>
                <w:b/>
                <w:bCs/>
                <w:sz w:val="22"/>
                <w:szCs w:val="22"/>
                <w:rtl/>
              </w:rPr>
            </w:pPr>
            <w:r w:rsidRPr="00355C4B">
              <w:rPr>
                <w:noProof/>
                <w:rtl/>
                <w:lang w:val="en-GB" w:eastAsia="en-GB"/>
              </w:rPr>
              <w:drawing>
                <wp:inline distT="0" distB="0" distL="0" distR="0">
                  <wp:extent cx="5305425" cy="2676525"/>
                  <wp:effectExtent l="0" t="0" r="0" b="0"/>
                  <wp:docPr id="70" name="Objec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4402A6" w:rsidRPr="002E3EC2" w:rsidRDefault="00651868" w:rsidP="002E3EC2">
      <w:pPr>
        <w:autoSpaceDE w:val="0"/>
        <w:autoSpaceDN w:val="0"/>
        <w:bidi w:val="0"/>
        <w:adjustRightInd w:val="0"/>
        <w:rPr>
          <w:b/>
          <w:bCs/>
        </w:rPr>
      </w:pPr>
      <w:r>
        <w:rPr>
          <w:b/>
          <w:bCs/>
        </w:rPr>
        <w:lastRenderedPageBreak/>
        <w:t xml:space="preserve">1.9 </w:t>
      </w:r>
      <w:r w:rsidR="009968AB">
        <w:rPr>
          <w:b/>
          <w:bCs/>
        </w:rPr>
        <w:t>M</w:t>
      </w:r>
      <w:r w:rsidR="004402A6" w:rsidRPr="0058627D">
        <w:rPr>
          <w:b/>
          <w:bCs/>
        </w:rPr>
        <w:t>igration</w:t>
      </w:r>
    </w:p>
    <w:p w:rsidR="004402A6" w:rsidRPr="0058627D" w:rsidRDefault="004402A6" w:rsidP="004402A6">
      <w:pPr>
        <w:autoSpaceDE w:val="0"/>
        <w:autoSpaceDN w:val="0"/>
        <w:bidi w:val="0"/>
        <w:adjustRightInd w:val="0"/>
        <w:jc w:val="lowKashida"/>
        <w:rPr>
          <w:rtl/>
        </w:rPr>
      </w:pPr>
      <w:r w:rsidRPr="0058627D">
        <w:t>Findings of 2014 survey showed that 83.7% of Palestinian households have not or any of their members thought of immigrating since 2009 (90.6% in the West Bank and 70.1% in the Gaza Strip).</w:t>
      </w:r>
    </w:p>
    <w:p w:rsidR="004402A6" w:rsidRPr="0058627D" w:rsidRDefault="004402A6" w:rsidP="004402A6">
      <w:pPr>
        <w:autoSpaceDE w:val="0"/>
        <w:autoSpaceDN w:val="0"/>
        <w:bidi w:val="0"/>
        <w:adjustRightInd w:val="0"/>
        <w:jc w:val="lowKashida"/>
        <w:rPr>
          <w:rtl/>
        </w:rPr>
      </w:pPr>
      <w:r w:rsidRPr="0058627D">
        <w:t>As for households or any of their members thinking of immigrating, findings showed that 9.3% of Palestinian households have at least one member who thinks of immigrating; 3.5% have several members who think of immigrating and 3.5% of households think of immigrating entirely.</w:t>
      </w:r>
    </w:p>
    <w:p w:rsidR="004402A6" w:rsidRPr="00355C4B" w:rsidRDefault="004402A6" w:rsidP="004402A6">
      <w:pPr>
        <w:autoSpaceDE w:val="0"/>
        <w:autoSpaceDN w:val="0"/>
        <w:adjustRightInd w:val="0"/>
        <w:rPr>
          <w:b/>
          <w:bCs/>
          <w:sz w:val="16"/>
          <w:szCs w:val="16"/>
          <w:rtl/>
        </w:rPr>
      </w:pPr>
    </w:p>
    <w:p w:rsidR="004402A6" w:rsidRPr="0058627D" w:rsidRDefault="00651868" w:rsidP="009968AB">
      <w:pPr>
        <w:autoSpaceDE w:val="0"/>
        <w:autoSpaceDN w:val="0"/>
        <w:bidi w:val="0"/>
        <w:adjustRightInd w:val="0"/>
        <w:jc w:val="both"/>
        <w:rPr>
          <w:b/>
          <w:bCs/>
          <w:rtl/>
          <w:lang w:eastAsia="en-US"/>
        </w:rPr>
      </w:pPr>
      <w:r>
        <w:rPr>
          <w:b/>
          <w:bCs/>
          <w:lang w:eastAsia="en-US"/>
        </w:rPr>
        <w:t>1.10</w:t>
      </w:r>
      <w:r w:rsidR="004402A6" w:rsidRPr="0058627D">
        <w:rPr>
          <w:b/>
          <w:bCs/>
          <w:lang w:eastAsia="en-US"/>
        </w:rPr>
        <w:t xml:space="preserve"> Impact of </w:t>
      </w:r>
      <w:r w:rsidR="009968AB" w:rsidRPr="0058627D">
        <w:rPr>
          <w:b/>
          <w:bCs/>
          <w:lang w:eastAsia="en-US"/>
        </w:rPr>
        <w:t>2014</w:t>
      </w:r>
      <w:r w:rsidR="004402A6" w:rsidRPr="0058627D">
        <w:rPr>
          <w:b/>
          <w:bCs/>
          <w:lang w:eastAsia="en-US"/>
        </w:rPr>
        <w:t xml:space="preserve">Israeli Aggression on Gaza Strip </w:t>
      </w:r>
    </w:p>
    <w:p w:rsidR="004402A6" w:rsidRPr="0058627D" w:rsidRDefault="004402A6" w:rsidP="004402A6">
      <w:pPr>
        <w:autoSpaceDE w:val="0"/>
        <w:autoSpaceDN w:val="0"/>
        <w:bidi w:val="0"/>
        <w:adjustRightInd w:val="0"/>
        <w:jc w:val="both"/>
      </w:pPr>
      <w:r w:rsidRPr="0058627D">
        <w:t>Following is a summary of the findings of key statistical indicators of the survey on the Impact of Israeli Aggression 2014 on Socioeconomic Conditions in the Gaza Strip</w:t>
      </w:r>
    </w:p>
    <w:p w:rsidR="004402A6" w:rsidRPr="0058627D" w:rsidRDefault="004402A6" w:rsidP="004402A6">
      <w:pPr>
        <w:jc w:val="both"/>
        <w:rPr>
          <w:b/>
          <w:bCs/>
          <w:sz w:val="16"/>
          <w:szCs w:val="16"/>
          <w:rtl/>
        </w:rPr>
      </w:pPr>
    </w:p>
    <w:p w:rsidR="004402A6" w:rsidRPr="0058627D" w:rsidRDefault="00651868" w:rsidP="004402A6">
      <w:pPr>
        <w:bidi w:val="0"/>
        <w:jc w:val="both"/>
        <w:rPr>
          <w:b/>
          <w:bCs/>
        </w:rPr>
      </w:pPr>
      <w:r>
        <w:rPr>
          <w:b/>
          <w:bCs/>
        </w:rPr>
        <w:t xml:space="preserve">1.10.1 </w:t>
      </w:r>
      <w:r w:rsidR="004402A6" w:rsidRPr="0058627D">
        <w:rPr>
          <w:b/>
          <w:bCs/>
        </w:rPr>
        <w:t xml:space="preserve">Impact of Aggression on Place of Residence </w:t>
      </w:r>
    </w:p>
    <w:p w:rsidR="004402A6" w:rsidRPr="0058627D" w:rsidRDefault="004402A6" w:rsidP="004402A6">
      <w:pPr>
        <w:bidi w:val="0"/>
        <w:jc w:val="both"/>
        <w:rPr>
          <w:rtl/>
        </w:rPr>
      </w:pPr>
      <w:r w:rsidRPr="0058627D">
        <w:t xml:space="preserve">Findings showed that 8.7% of households in the Gaza Strip changed their place of residence because of the 2014 assault. Data per governorate showed that the governorates of Gaza and </w:t>
      </w:r>
      <w:proofErr w:type="spellStart"/>
      <w:r w:rsidRPr="0058627D">
        <w:t>Rafah</w:t>
      </w:r>
      <w:proofErr w:type="spellEnd"/>
      <w:r w:rsidRPr="0058627D">
        <w:t xml:space="preserve"> were the most affected with 11.3% each while the least change occurred in </w:t>
      </w:r>
      <w:proofErr w:type="spellStart"/>
      <w:r w:rsidRPr="0058627D">
        <w:t>Dier</w:t>
      </w:r>
      <w:proofErr w:type="spellEnd"/>
      <w:r w:rsidRPr="0058627D">
        <w:t xml:space="preserve"> Al</w:t>
      </w:r>
      <w:r w:rsidR="009968AB">
        <w:t>-</w:t>
      </w:r>
      <w:proofErr w:type="spellStart"/>
      <w:r w:rsidRPr="0058627D">
        <w:t>Balah</w:t>
      </w:r>
      <w:proofErr w:type="spellEnd"/>
      <w:r w:rsidRPr="0058627D">
        <w:t xml:space="preserve"> (5.0%).</w:t>
      </w:r>
    </w:p>
    <w:p w:rsidR="004402A6" w:rsidRPr="00355C4B" w:rsidRDefault="004402A6" w:rsidP="004402A6">
      <w:pPr>
        <w:pStyle w:val="xl69"/>
        <w:bidi/>
        <w:spacing w:before="0" w:beforeAutospacing="0" w:after="0" w:afterAutospacing="0"/>
        <w:textAlignment w:val="auto"/>
        <w:rPr>
          <w:rFonts w:cs="Times New Roman" w:hint="default"/>
          <w:sz w:val="16"/>
          <w:szCs w:val="16"/>
          <w:lang w:eastAsia="ar-SA"/>
        </w:rPr>
      </w:pPr>
    </w:p>
    <w:p w:rsidR="004402A6" w:rsidRDefault="004402A6" w:rsidP="004402A6">
      <w:pPr>
        <w:pStyle w:val="xl69"/>
        <w:bidi/>
        <w:spacing w:before="0" w:beforeAutospacing="0" w:after="0" w:afterAutospacing="0"/>
        <w:textAlignment w:val="auto"/>
        <w:rPr>
          <w:rFonts w:cs="Times New Roman" w:hint="default"/>
          <w:lang w:eastAsia="ar-SA"/>
        </w:rPr>
      </w:pPr>
      <w:r w:rsidRPr="0058627D">
        <w:rPr>
          <w:rFonts w:cs="Times New Roman" w:hint="default"/>
          <w:lang w:eastAsia="ar-SA"/>
        </w:rPr>
        <w:t>Percentage of Households Who Changed their Place of Residence in the Gaza Strip Because of the Aggression by Governorate</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2"/>
      </w:tblGrid>
      <w:tr w:rsidR="0071462F" w:rsidTr="00355C4B">
        <w:trPr>
          <w:trHeight w:val="2998"/>
        </w:trPr>
        <w:tc>
          <w:tcPr>
            <w:tcW w:w="9072" w:type="dxa"/>
          </w:tcPr>
          <w:p w:rsidR="0071462F" w:rsidRDefault="0071462F" w:rsidP="005E4CFB">
            <w:pPr>
              <w:pStyle w:val="xl69"/>
              <w:bidi/>
              <w:spacing w:before="0" w:beforeAutospacing="0" w:after="0" w:afterAutospacing="0"/>
              <w:textAlignment w:val="auto"/>
              <w:rPr>
                <w:rFonts w:hint="default"/>
                <w:b w:val="0"/>
                <w:bCs w:val="0"/>
                <w:noProof/>
                <w:sz w:val="16"/>
                <w:szCs w:val="16"/>
                <w:lang w:val="en-GB" w:eastAsia="en-GB"/>
              </w:rPr>
            </w:pPr>
          </w:p>
          <w:p w:rsidR="00355C4B" w:rsidRPr="005E4CFB" w:rsidRDefault="00355C4B" w:rsidP="00355C4B">
            <w:pPr>
              <w:pStyle w:val="xl69"/>
              <w:bidi/>
              <w:spacing w:before="0" w:beforeAutospacing="0" w:after="0" w:afterAutospacing="0"/>
              <w:textAlignment w:val="auto"/>
              <w:rPr>
                <w:rFonts w:cs="Times New Roman" w:hint="default"/>
                <w:rtl/>
                <w:lang w:eastAsia="ar-SA"/>
              </w:rPr>
            </w:pPr>
            <w:r w:rsidRPr="00355C4B">
              <w:rPr>
                <w:b w:val="0"/>
                <w:bCs w:val="0"/>
                <w:noProof/>
                <w:sz w:val="16"/>
                <w:szCs w:val="16"/>
                <w:rtl/>
                <w:lang w:val="en-GB" w:eastAsia="en-GB"/>
              </w:rPr>
              <w:drawing>
                <wp:inline distT="0" distB="0" distL="0" distR="0">
                  <wp:extent cx="5486400" cy="1685925"/>
                  <wp:effectExtent l="0" t="0" r="0" b="0"/>
                  <wp:docPr id="71" name="Objec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873305" w:rsidRPr="0058627D" w:rsidRDefault="00873305" w:rsidP="00873305">
      <w:pPr>
        <w:pStyle w:val="xl69"/>
        <w:bidi/>
        <w:spacing w:before="0" w:beforeAutospacing="0" w:after="0" w:afterAutospacing="0"/>
        <w:textAlignment w:val="auto"/>
        <w:rPr>
          <w:rFonts w:cs="Times New Roman" w:hint="default"/>
          <w:noProof/>
          <w:sz w:val="10"/>
          <w:szCs w:val="10"/>
        </w:rPr>
      </w:pPr>
    </w:p>
    <w:p w:rsidR="002E3EC2" w:rsidRPr="00355C4B" w:rsidRDefault="002E3EC2" w:rsidP="00651868">
      <w:pPr>
        <w:bidi w:val="0"/>
        <w:jc w:val="mediumKashida"/>
        <w:rPr>
          <w:b/>
          <w:bCs/>
          <w:sz w:val="16"/>
          <w:szCs w:val="16"/>
        </w:rPr>
      </w:pPr>
    </w:p>
    <w:p w:rsidR="004402A6" w:rsidRPr="0058627D" w:rsidRDefault="00651868" w:rsidP="002E3EC2">
      <w:pPr>
        <w:bidi w:val="0"/>
        <w:jc w:val="mediumKashida"/>
        <w:rPr>
          <w:b/>
          <w:bCs/>
        </w:rPr>
      </w:pPr>
      <w:r>
        <w:rPr>
          <w:b/>
          <w:bCs/>
        </w:rPr>
        <w:t xml:space="preserve">1.10.2 </w:t>
      </w:r>
      <w:r w:rsidR="004402A6" w:rsidRPr="0058627D">
        <w:rPr>
          <w:b/>
          <w:bCs/>
        </w:rPr>
        <w:t>Displacement and Migration (first place to go to)</w:t>
      </w:r>
    </w:p>
    <w:p w:rsidR="002E3EC2" w:rsidRPr="0058627D" w:rsidRDefault="004402A6" w:rsidP="002E3EC2">
      <w:pPr>
        <w:bidi w:val="0"/>
        <w:jc w:val="both"/>
        <w:rPr>
          <w:rtl/>
        </w:rPr>
      </w:pPr>
      <w:r w:rsidRPr="0058627D">
        <w:t>Percentage of displaced individuals in the Gaza Strip during the 2014 assault reached 58.7%. 78.4% of the displaced population sought refuge in kids, family, relative’s or friends’ houses or in a secondary residence first. 17.7% went to a school. 3.9% rented another housing/ hotel room or went to a hospital, place or worship or public spaces.</w:t>
      </w:r>
    </w:p>
    <w:p w:rsidR="004402A6" w:rsidRPr="0058627D" w:rsidRDefault="004402A6" w:rsidP="004402A6">
      <w:pPr>
        <w:jc w:val="both"/>
        <w:rPr>
          <w:sz w:val="16"/>
          <w:szCs w:val="16"/>
          <w:rtl/>
        </w:rPr>
      </w:pPr>
    </w:p>
    <w:p w:rsidR="004402A6" w:rsidRDefault="004402A6" w:rsidP="004402A6">
      <w:pPr>
        <w:jc w:val="center"/>
        <w:rPr>
          <w:b/>
          <w:bCs/>
          <w:color w:val="000000"/>
          <w:sz w:val="22"/>
          <w:szCs w:val="22"/>
          <w:lang w:eastAsia="en-US"/>
        </w:rPr>
      </w:pPr>
      <w:r w:rsidRPr="0058627D">
        <w:rPr>
          <w:b/>
          <w:bCs/>
          <w:color w:val="000000"/>
          <w:sz w:val="22"/>
          <w:szCs w:val="22"/>
          <w:lang w:eastAsia="en-US"/>
        </w:rPr>
        <w:t>Percentage Distribution of Individuals in the Gaza Strip Who Left their Main Place of Residence during the Aggression by the First Place they Moved to</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072"/>
      </w:tblGrid>
      <w:tr w:rsidR="0071462F" w:rsidRPr="005E4CFB" w:rsidTr="00355C4B">
        <w:trPr>
          <w:trHeight w:val="3116"/>
        </w:trPr>
        <w:tc>
          <w:tcPr>
            <w:tcW w:w="9072" w:type="dxa"/>
          </w:tcPr>
          <w:p w:rsidR="0071462F" w:rsidRDefault="0071462F" w:rsidP="005E4CFB">
            <w:pPr>
              <w:jc w:val="center"/>
              <w:rPr>
                <w:noProof/>
                <w:sz w:val="10"/>
                <w:szCs w:val="10"/>
                <w:lang w:val="en-GB" w:eastAsia="en-GB"/>
              </w:rPr>
            </w:pPr>
          </w:p>
          <w:p w:rsidR="00355C4B" w:rsidRPr="005E4CFB" w:rsidRDefault="00355C4B" w:rsidP="005E4CFB">
            <w:pPr>
              <w:jc w:val="center"/>
              <w:rPr>
                <w:b/>
                <w:bCs/>
                <w:color w:val="000000"/>
                <w:sz w:val="22"/>
                <w:szCs w:val="22"/>
                <w:rtl/>
                <w:lang w:eastAsia="en-US"/>
              </w:rPr>
            </w:pPr>
            <w:r w:rsidRPr="00355C4B">
              <w:rPr>
                <w:noProof/>
                <w:sz w:val="10"/>
                <w:szCs w:val="10"/>
                <w:rtl/>
                <w:lang w:val="en-GB" w:eastAsia="en-GB"/>
              </w:rPr>
              <w:drawing>
                <wp:inline distT="0" distB="0" distL="0" distR="0">
                  <wp:extent cx="5553075" cy="1819275"/>
                  <wp:effectExtent l="0" t="0" r="0" b="0"/>
                  <wp:docPr id="72" name="Objec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4402A6" w:rsidRPr="0058627D" w:rsidRDefault="00651868" w:rsidP="0047366E">
      <w:pPr>
        <w:bidi w:val="0"/>
        <w:jc w:val="mediumKashida"/>
        <w:rPr>
          <w:b/>
          <w:bCs/>
        </w:rPr>
      </w:pPr>
      <w:r>
        <w:rPr>
          <w:b/>
          <w:bCs/>
        </w:rPr>
        <w:lastRenderedPageBreak/>
        <w:t xml:space="preserve">1.10.3 </w:t>
      </w:r>
      <w:r w:rsidR="004402A6" w:rsidRPr="0058627D">
        <w:rPr>
          <w:b/>
          <w:bCs/>
        </w:rPr>
        <w:t>Number of Times of Displacement</w:t>
      </w:r>
    </w:p>
    <w:p w:rsidR="00873305" w:rsidRDefault="004402A6" w:rsidP="00651868">
      <w:pPr>
        <w:bidi w:val="0"/>
        <w:jc w:val="both"/>
      </w:pPr>
      <w:r w:rsidRPr="0058627D">
        <w:t>Findings showed that individuals who left their main place of residence in the Gaza Strip during the 2014 aggression moved at different frequencies. 63.</w:t>
      </w:r>
      <w:r w:rsidR="00F60113">
        <w:t>0</w:t>
      </w:r>
      <w:r w:rsidRPr="0058627D">
        <w:t>% of them left their place of residence only once while 23.8% were displaced twice and 7.3% left their place of residence three times while 5.9% were displaced four times.</w:t>
      </w:r>
    </w:p>
    <w:p w:rsidR="004402A6" w:rsidRPr="0058627D" w:rsidRDefault="004402A6" w:rsidP="00873305">
      <w:pPr>
        <w:bidi w:val="0"/>
        <w:jc w:val="both"/>
      </w:pPr>
      <w:r w:rsidRPr="0058627D">
        <w:tab/>
      </w:r>
    </w:p>
    <w:p w:rsidR="004402A6" w:rsidRDefault="004402A6" w:rsidP="004402A6">
      <w:pPr>
        <w:jc w:val="center"/>
        <w:rPr>
          <w:b/>
          <w:bCs/>
          <w:color w:val="000000"/>
          <w:sz w:val="22"/>
          <w:szCs w:val="22"/>
          <w:lang w:eastAsia="en-US"/>
        </w:rPr>
      </w:pPr>
      <w:r w:rsidRPr="0058627D">
        <w:rPr>
          <w:b/>
          <w:bCs/>
          <w:color w:val="000000"/>
          <w:sz w:val="22"/>
          <w:szCs w:val="22"/>
          <w:lang w:eastAsia="en-US"/>
        </w:rPr>
        <w:t>Percentage Distribution of Individuals in the Gaza Strip who Left their Main Place of Residence during the Aggression by Number of Times of Displacement</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71462F" w:rsidRPr="005E4CFB" w:rsidTr="00F66FB0">
        <w:trPr>
          <w:trHeight w:val="3487"/>
          <w:jc w:val="center"/>
        </w:trPr>
        <w:tc>
          <w:tcPr>
            <w:tcW w:w="9289" w:type="dxa"/>
          </w:tcPr>
          <w:p w:rsidR="0071462F" w:rsidRDefault="0071462F" w:rsidP="005E4CFB">
            <w:pPr>
              <w:jc w:val="center"/>
              <w:rPr>
                <w:b/>
                <w:bCs/>
                <w:noProof/>
                <w:color w:val="000000"/>
                <w:sz w:val="22"/>
                <w:szCs w:val="22"/>
                <w:lang w:val="en-GB" w:eastAsia="en-GB"/>
              </w:rPr>
            </w:pPr>
          </w:p>
          <w:p w:rsidR="00F66FB0" w:rsidRPr="005E4CFB" w:rsidRDefault="00F66FB0" w:rsidP="005E4CFB">
            <w:pPr>
              <w:jc w:val="center"/>
              <w:rPr>
                <w:b/>
                <w:bCs/>
                <w:color w:val="000000"/>
                <w:sz w:val="22"/>
                <w:szCs w:val="22"/>
                <w:rtl/>
                <w:lang w:eastAsia="en-US"/>
              </w:rPr>
            </w:pPr>
            <w:r w:rsidRPr="00F66FB0">
              <w:rPr>
                <w:b/>
                <w:bCs/>
                <w:noProof/>
                <w:color w:val="000000"/>
                <w:sz w:val="22"/>
                <w:szCs w:val="22"/>
                <w:rtl/>
                <w:lang w:val="en-GB" w:eastAsia="en-GB"/>
              </w:rPr>
              <w:drawing>
                <wp:inline distT="0" distB="0" distL="0" distR="0">
                  <wp:extent cx="5600700" cy="1971675"/>
                  <wp:effectExtent l="0" t="0" r="0" b="0"/>
                  <wp:docPr id="73"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71462F" w:rsidRPr="0058627D" w:rsidRDefault="0071462F" w:rsidP="004402A6">
      <w:pPr>
        <w:jc w:val="center"/>
        <w:rPr>
          <w:b/>
          <w:bCs/>
          <w:color w:val="000000"/>
          <w:sz w:val="22"/>
          <w:szCs w:val="22"/>
          <w:rtl/>
          <w:lang w:eastAsia="en-US"/>
        </w:rPr>
      </w:pPr>
    </w:p>
    <w:p w:rsidR="004402A6" w:rsidRPr="0058627D" w:rsidRDefault="00651868" w:rsidP="00873305">
      <w:pPr>
        <w:bidi w:val="0"/>
        <w:jc w:val="mediumKashida"/>
        <w:rPr>
          <w:b/>
          <w:bCs/>
          <w:rtl/>
        </w:rPr>
      </w:pPr>
      <w:r>
        <w:rPr>
          <w:b/>
          <w:bCs/>
        </w:rPr>
        <w:t>1.10.4</w:t>
      </w:r>
      <w:r w:rsidR="00873305">
        <w:rPr>
          <w:b/>
          <w:bCs/>
        </w:rPr>
        <w:t xml:space="preserve"> </w:t>
      </w:r>
      <w:r w:rsidR="004402A6" w:rsidRPr="0058627D">
        <w:rPr>
          <w:b/>
          <w:bCs/>
        </w:rPr>
        <w:t>Impact of Aggression on Labor</w:t>
      </w:r>
    </w:p>
    <w:p w:rsidR="004402A6" w:rsidRDefault="004402A6" w:rsidP="004402A6">
      <w:pPr>
        <w:bidi w:val="0"/>
        <w:jc w:val="mediumKashida"/>
      </w:pPr>
      <w:r w:rsidRPr="0058627D">
        <w:t>13.1% of workers are self-employed or business owners; 85.0% are waged employees; 2% work for family without pay. Results showed that 24.7% of self-employed or business owners did not witness any change while 59.0% of waged employee endured worst conditions after the aggression; 16.0% lost their jobs completely and 0.3% witnessed a change to the better.</w:t>
      </w:r>
    </w:p>
    <w:p w:rsidR="004402A6" w:rsidRDefault="004402A6" w:rsidP="004402A6">
      <w:pPr>
        <w:jc w:val="mediumKashida"/>
        <w:rPr>
          <w:rtl/>
        </w:rPr>
      </w:pPr>
    </w:p>
    <w:p w:rsidR="004402A6" w:rsidRDefault="004402A6" w:rsidP="004402A6">
      <w:pPr>
        <w:pStyle w:val="xl69"/>
        <w:bidi/>
        <w:spacing w:before="0" w:beforeAutospacing="0" w:after="0" w:afterAutospacing="0"/>
        <w:textAlignment w:val="auto"/>
        <w:rPr>
          <w:rFonts w:cs="Times New Roman" w:hint="default"/>
          <w:lang w:eastAsia="ar-SA"/>
        </w:rPr>
      </w:pPr>
      <w:r w:rsidRPr="0058627D">
        <w:rPr>
          <w:rFonts w:cs="Times New Roman" w:hint="default"/>
          <w:lang w:eastAsia="ar-SA"/>
        </w:rPr>
        <w:t>Percentage Distribution of Self-Employed and Business Owners in the Gaza Strip by Changes that Affected their Work After the Aggression</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E870F4" w:rsidTr="00F66FB0">
        <w:trPr>
          <w:trHeight w:val="3534"/>
        </w:trPr>
        <w:tc>
          <w:tcPr>
            <w:tcW w:w="9289" w:type="dxa"/>
          </w:tcPr>
          <w:p w:rsidR="00E870F4" w:rsidRDefault="00E870F4" w:rsidP="005E4CFB">
            <w:pPr>
              <w:pStyle w:val="xl69"/>
              <w:bidi/>
              <w:spacing w:before="0" w:beforeAutospacing="0" w:after="0" w:afterAutospacing="0"/>
              <w:textAlignment w:val="auto"/>
              <w:rPr>
                <w:rFonts w:hint="default"/>
                <w:noProof/>
                <w:lang w:val="en-GB" w:eastAsia="en-GB"/>
              </w:rPr>
            </w:pPr>
          </w:p>
          <w:p w:rsidR="00F66FB0" w:rsidRPr="005E4CFB" w:rsidRDefault="00F66FB0" w:rsidP="00F66FB0">
            <w:pPr>
              <w:pStyle w:val="xl69"/>
              <w:bidi/>
              <w:spacing w:before="0" w:beforeAutospacing="0" w:after="0" w:afterAutospacing="0"/>
              <w:textAlignment w:val="auto"/>
              <w:rPr>
                <w:rFonts w:cs="Times New Roman" w:hint="default"/>
                <w:rtl/>
                <w:lang w:eastAsia="ar-SA"/>
              </w:rPr>
            </w:pPr>
            <w:r w:rsidRPr="00F66FB0">
              <w:rPr>
                <w:noProof/>
                <w:rtl/>
                <w:lang w:val="en-GB" w:eastAsia="en-GB"/>
              </w:rPr>
              <w:drawing>
                <wp:inline distT="0" distB="0" distL="0" distR="0">
                  <wp:extent cx="5676900" cy="1962150"/>
                  <wp:effectExtent l="0" t="0" r="0" b="0"/>
                  <wp:docPr id="74"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E870F4" w:rsidRPr="0058627D" w:rsidRDefault="00E870F4" w:rsidP="00E870F4">
      <w:pPr>
        <w:pStyle w:val="xl69"/>
        <w:bidi/>
        <w:spacing w:before="0" w:beforeAutospacing="0" w:after="0" w:afterAutospacing="0"/>
        <w:textAlignment w:val="auto"/>
        <w:rPr>
          <w:rFonts w:cs="Times New Roman" w:hint="default"/>
          <w:lang w:eastAsia="ar-SA"/>
        </w:rPr>
      </w:pPr>
    </w:p>
    <w:p w:rsidR="004402A6" w:rsidRPr="0058627D" w:rsidRDefault="004402A6" w:rsidP="004402A6">
      <w:pPr>
        <w:pStyle w:val="xl69"/>
        <w:bidi/>
        <w:spacing w:before="0" w:beforeAutospacing="0" w:after="0" w:afterAutospacing="0"/>
        <w:textAlignment w:val="auto"/>
        <w:rPr>
          <w:rFonts w:cs="Times New Roman" w:hint="default"/>
          <w:sz w:val="10"/>
          <w:szCs w:val="10"/>
        </w:rPr>
      </w:pPr>
    </w:p>
    <w:p w:rsidR="004402A6" w:rsidRPr="0058627D" w:rsidRDefault="004402A6" w:rsidP="00F66FB0">
      <w:pPr>
        <w:bidi w:val="0"/>
        <w:jc w:val="both"/>
      </w:pPr>
      <w:r w:rsidRPr="0058627D">
        <w:t>Findings for waged employees showed that 56.3% did not witness any change to their wages while wages stopped for 38.0% of them and decreased for 5.3% while 0.4% had a rise in their pay.</w:t>
      </w:r>
      <w:r w:rsidRPr="0058627D">
        <w:rPr>
          <w:rtl/>
        </w:rPr>
        <w:tab/>
      </w:r>
    </w:p>
    <w:p w:rsidR="00873305" w:rsidRDefault="00873305" w:rsidP="004402A6">
      <w:pPr>
        <w:pStyle w:val="xl69"/>
        <w:bidi/>
        <w:spacing w:before="0" w:beforeAutospacing="0" w:after="0" w:afterAutospacing="0"/>
        <w:textAlignment w:val="auto"/>
        <w:rPr>
          <w:rFonts w:cs="Times New Roman" w:hint="default"/>
          <w:lang w:eastAsia="ar-SA"/>
        </w:rPr>
      </w:pPr>
    </w:p>
    <w:p w:rsidR="00E870F4" w:rsidRDefault="00E870F4" w:rsidP="00E870F4">
      <w:pPr>
        <w:pStyle w:val="xl69"/>
        <w:bidi/>
        <w:spacing w:before="0" w:beforeAutospacing="0" w:after="0" w:afterAutospacing="0"/>
        <w:textAlignment w:val="auto"/>
        <w:rPr>
          <w:rFonts w:cs="Times New Roman" w:hint="default"/>
          <w:lang w:eastAsia="ar-SA"/>
        </w:rPr>
      </w:pPr>
    </w:p>
    <w:p w:rsidR="00E870F4" w:rsidRDefault="00E870F4" w:rsidP="00E870F4">
      <w:pPr>
        <w:pStyle w:val="xl69"/>
        <w:bidi/>
        <w:spacing w:before="0" w:beforeAutospacing="0" w:after="0" w:afterAutospacing="0"/>
        <w:textAlignment w:val="auto"/>
        <w:rPr>
          <w:rFonts w:cs="Times New Roman" w:hint="default"/>
          <w:lang w:eastAsia="ar-SA"/>
        </w:rPr>
      </w:pPr>
    </w:p>
    <w:p w:rsidR="00873305" w:rsidRDefault="004402A6" w:rsidP="00873305">
      <w:pPr>
        <w:pStyle w:val="xl69"/>
        <w:spacing w:before="0" w:beforeAutospacing="0" w:after="0" w:afterAutospacing="0"/>
        <w:textAlignment w:val="auto"/>
        <w:rPr>
          <w:rFonts w:cs="Times New Roman" w:hint="default"/>
          <w:lang w:eastAsia="ar-SA"/>
        </w:rPr>
      </w:pPr>
      <w:r w:rsidRPr="0058627D">
        <w:rPr>
          <w:rFonts w:cs="Times New Roman" w:hint="default"/>
          <w:lang w:eastAsia="ar-SA"/>
        </w:rPr>
        <w:lastRenderedPageBreak/>
        <w:t>Percentage Distribution of Waged Employees according to Changes to their Pay During the Aggression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E870F4" w:rsidTr="00F66FB0">
        <w:trPr>
          <w:trHeight w:val="3262"/>
        </w:trPr>
        <w:tc>
          <w:tcPr>
            <w:tcW w:w="9289" w:type="dxa"/>
          </w:tcPr>
          <w:p w:rsidR="00E870F4" w:rsidRDefault="00E870F4" w:rsidP="005E4CFB">
            <w:pPr>
              <w:pStyle w:val="xl69"/>
              <w:spacing w:before="0" w:beforeAutospacing="0" w:after="0" w:afterAutospacing="0"/>
              <w:textAlignment w:val="auto"/>
              <w:rPr>
                <w:rFonts w:cs="Times New Roman" w:hint="default"/>
                <w:noProof/>
                <w:lang w:val="en-GB" w:eastAsia="en-GB"/>
              </w:rPr>
            </w:pPr>
          </w:p>
          <w:p w:rsidR="00F66FB0" w:rsidRPr="005E4CFB" w:rsidRDefault="00F66FB0" w:rsidP="005E4CFB">
            <w:pPr>
              <w:pStyle w:val="xl69"/>
              <w:spacing w:before="0" w:beforeAutospacing="0" w:after="0" w:afterAutospacing="0"/>
              <w:textAlignment w:val="auto"/>
              <w:rPr>
                <w:rFonts w:cs="Times New Roman" w:hint="default"/>
                <w:lang w:eastAsia="ar-SA"/>
              </w:rPr>
            </w:pPr>
            <w:r w:rsidRPr="00F66FB0">
              <w:rPr>
                <w:rFonts w:cs="Times New Roman"/>
                <w:noProof/>
                <w:lang w:val="en-GB" w:eastAsia="en-GB"/>
              </w:rPr>
              <w:drawing>
                <wp:inline distT="0" distB="0" distL="0" distR="0">
                  <wp:extent cx="5514975" cy="1819275"/>
                  <wp:effectExtent l="0" t="0" r="0" b="0"/>
                  <wp:docPr id="75" name="Object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E870F4" w:rsidRDefault="00E870F4" w:rsidP="00873305">
      <w:pPr>
        <w:pStyle w:val="xl69"/>
        <w:spacing w:before="0" w:beforeAutospacing="0" w:after="0" w:afterAutospacing="0"/>
        <w:textAlignment w:val="auto"/>
        <w:rPr>
          <w:rFonts w:cs="Times New Roman" w:hint="default"/>
          <w:lang w:eastAsia="ar-SA"/>
        </w:rPr>
      </w:pPr>
    </w:p>
    <w:p w:rsidR="004402A6" w:rsidRDefault="004402A6" w:rsidP="00873305">
      <w:pPr>
        <w:bidi w:val="0"/>
        <w:jc w:val="both"/>
      </w:pPr>
      <w:r w:rsidRPr="0058627D">
        <w:t>As for forced work-skipping during the aggression of 2014, 64.3% of respondents were obliged to skip work including 75.4% without pay. The average number of forced absence reached 50 days while 82.3% were forced to skip work throughout the days of the aggression.</w:t>
      </w:r>
    </w:p>
    <w:p w:rsidR="00873305" w:rsidRPr="0058627D" w:rsidRDefault="00873305" w:rsidP="00873305">
      <w:pPr>
        <w:bidi w:val="0"/>
        <w:jc w:val="lowKashida"/>
        <w:rPr>
          <w:rtl/>
        </w:rPr>
      </w:pPr>
    </w:p>
    <w:p w:rsidR="004402A6" w:rsidRDefault="004402A6" w:rsidP="004402A6">
      <w:pPr>
        <w:pStyle w:val="xl69"/>
        <w:bidi/>
        <w:spacing w:before="0" w:beforeAutospacing="0" w:after="0" w:afterAutospacing="0"/>
        <w:textAlignment w:val="auto"/>
        <w:rPr>
          <w:rFonts w:cs="Times New Roman" w:hint="default"/>
          <w:lang w:eastAsia="ar-SA"/>
        </w:rPr>
      </w:pPr>
      <w:r w:rsidRPr="0058627D">
        <w:rPr>
          <w:rFonts w:cs="Times New Roman" w:hint="default"/>
          <w:lang w:eastAsia="ar-SA"/>
        </w:rPr>
        <w:t>Percentage Distribution of Individuals Forced to Be Skip Work During the Aggression by Reason</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E870F4" w:rsidTr="00F66FB0">
        <w:trPr>
          <w:trHeight w:val="3363"/>
        </w:trPr>
        <w:tc>
          <w:tcPr>
            <w:tcW w:w="9289" w:type="dxa"/>
          </w:tcPr>
          <w:p w:rsidR="00E870F4" w:rsidRDefault="00E870F4" w:rsidP="005E4CFB">
            <w:pPr>
              <w:pStyle w:val="xl69"/>
              <w:bidi/>
              <w:spacing w:before="0" w:beforeAutospacing="0" w:after="0" w:afterAutospacing="0"/>
              <w:textAlignment w:val="auto"/>
              <w:rPr>
                <w:rFonts w:cs="Times New Roman" w:hint="default"/>
                <w:noProof/>
                <w:lang w:val="en-GB" w:eastAsia="en-GB"/>
              </w:rPr>
            </w:pPr>
          </w:p>
          <w:p w:rsidR="00F66FB0" w:rsidRPr="005E4CFB" w:rsidRDefault="00F66FB0" w:rsidP="00F66FB0">
            <w:pPr>
              <w:pStyle w:val="xl69"/>
              <w:bidi/>
              <w:spacing w:before="0" w:beforeAutospacing="0" w:after="0" w:afterAutospacing="0"/>
              <w:textAlignment w:val="auto"/>
              <w:rPr>
                <w:rFonts w:cs="Times New Roman" w:hint="default"/>
                <w:rtl/>
                <w:lang w:eastAsia="ar-SA"/>
              </w:rPr>
            </w:pPr>
            <w:r w:rsidRPr="00F66FB0">
              <w:rPr>
                <w:rFonts w:cs="Times New Roman"/>
                <w:noProof/>
                <w:rtl/>
                <w:lang w:val="en-GB" w:eastAsia="en-GB"/>
              </w:rPr>
              <w:drawing>
                <wp:inline distT="0" distB="0" distL="0" distR="0">
                  <wp:extent cx="5657850" cy="1924050"/>
                  <wp:effectExtent l="19050" t="0" r="0" b="0"/>
                  <wp:docPr id="76" name="Object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E870F4" w:rsidRDefault="00E870F4" w:rsidP="00E870F4">
      <w:pPr>
        <w:pStyle w:val="xl69"/>
        <w:bidi/>
        <w:spacing w:before="0" w:beforeAutospacing="0" w:after="0" w:afterAutospacing="0"/>
        <w:textAlignment w:val="auto"/>
        <w:rPr>
          <w:rFonts w:cs="Times New Roman" w:hint="default"/>
          <w:lang w:eastAsia="ar-SA"/>
        </w:rPr>
      </w:pPr>
    </w:p>
    <w:p w:rsidR="004402A6" w:rsidRPr="0058627D" w:rsidRDefault="00651868" w:rsidP="004402A6">
      <w:pPr>
        <w:bidi w:val="0"/>
        <w:jc w:val="mediumKashida"/>
        <w:rPr>
          <w:b/>
          <w:bCs/>
          <w:rtl/>
        </w:rPr>
      </w:pPr>
      <w:r>
        <w:rPr>
          <w:b/>
          <w:bCs/>
        </w:rPr>
        <w:t xml:space="preserve">1.10.5 </w:t>
      </w:r>
      <w:r w:rsidR="004402A6" w:rsidRPr="0058627D">
        <w:rPr>
          <w:b/>
          <w:bCs/>
          <w:rtl/>
        </w:rPr>
        <w:t xml:space="preserve"> </w:t>
      </w:r>
      <w:r w:rsidR="004402A6" w:rsidRPr="0058627D">
        <w:rPr>
          <w:b/>
          <w:bCs/>
        </w:rPr>
        <w:t>Impact of the Aggression on the Infrastructure</w:t>
      </w:r>
    </w:p>
    <w:p w:rsidR="004402A6" w:rsidRPr="0058627D" w:rsidRDefault="004402A6" w:rsidP="004402A6">
      <w:pPr>
        <w:bidi w:val="0"/>
        <w:jc w:val="mediumKashida"/>
        <w:rPr>
          <w:rtl/>
        </w:rPr>
      </w:pPr>
      <w:r w:rsidRPr="0058627D">
        <w:t>Findings showed that 87% of households in Gaza endured disruption more than once of water services through the public network; 97% faced daily cuts for limited hours of electric power through the public network.</w:t>
      </w:r>
    </w:p>
    <w:p w:rsidR="004402A6" w:rsidRPr="0058627D" w:rsidRDefault="004402A6" w:rsidP="004402A6">
      <w:pPr>
        <w:jc w:val="lowKashida"/>
        <w:rPr>
          <w:rtl/>
        </w:rPr>
      </w:pPr>
    </w:p>
    <w:p w:rsidR="004402A6" w:rsidRPr="0058627D" w:rsidRDefault="00651868" w:rsidP="004402A6">
      <w:pPr>
        <w:bidi w:val="0"/>
        <w:jc w:val="mediumKashida"/>
        <w:rPr>
          <w:b/>
          <w:bCs/>
          <w:rtl/>
        </w:rPr>
      </w:pPr>
      <w:r>
        <w:rPr>
          <w:b/>
          <w:bCs/>
        </w:rPr>
        <w:t>1.10.6</w:t>
      </w:r>
      <w:r w:rsidR="004402A6" w:rsidRPr="0058627D">
        <w:rPr>
          <w:b/>
          <w:bCs/>
          <w:rtl/>
        </w:rPr>
        <w:t xml:space="preserve"> </w:t>
      </w:r>
      <w:r w:rsidR="004402A6" w:rsidRPr="0058627D">
        <w:rPr>
          <w:b/>
          <w:bCs/>
        </w:rPr>
        <w:t>Receiving Assistance During and After Aggression</w:t>
      </w:r>
    </w:p>
    <w:p w:rsidR="004402A6" w:rsidRPr="0058627D" w:rsidRDefault="004402A6" w:rsidP="004402A6">
      <w:pPr>
        <w:bidi w:val="0"/>
        <w:jc w:val="mediumKashida"/>
        <w:rPr>
          <w:rtl/>
        </w:rPr>
      </w:pPr>
      <w:r w:rsidRPr="0058627D">
        <w:t>56.6% of households in the Gaza Strip reported having received assistance during the aggression while74.7% said they received assistance after the aggression.</w:t>
      </w:r>
    </w:p>
    <w:p w:rsidR="004402A6" w:rsidRDefault="004402A6" w:rsidP="004402A6">
      <w:pPr>
        <w:jc w:val="center"/>
        <w:rPr>
          <w:b/>
          <w:bCs/>
          <w:lang w:eastAsia="en-US"/>
        </w:rPr>
      </w:pPr>
    </w:p>
    <w:p w:rsidR="00F66FB0" w:rsidRDefault="00F66FB0" w:rsidP="004402A6">
      <w:pPr>
        <w:jc w:val="center"/>
        <w:rPr>
          <w:b/>
          <w:bCs/>
          <w:lang w:eastAsia="en-US"/>
        </w:rPr>
      </w:pPr>
    </w:p>
    <w:p w:rsidR="00F66FB0" w:rsidRDefault="00F66FB0" w:rsidP="004402A6">
      <w:pPr>
        <w:jc w:val="center"/>
        <w:rPr>
          <w:b/>
          <w:bCs/>
          <w:lang w:eastAsia="en-US"/>
        </w:rPr>
      </w:pPr>
    </w:p>
    <w:p w:rsidR="00F66FB0" w:rsidRDefault="00F66FB0" w:rsidP="004402A6">
      <w:pPr>
        <w:jc w:val="center"/>
        <w:rPr>
          <w:b/>
          <w:bCs/>
          <w:lang w:eastAsia="en-US"/>
        </w:rPr>
      </w:pPr>
    </w:p>
    <w:p w:rsidR="00F66FB0" w:rsidRDefault="00F66FB0" w:rsidP="004402A6">
      <w:pPr>
        <w:jc w:val="center"/>
        <w:rPr>
          <w:b/>
          <w:bCs/>
          <w:lang w:eastAsia="en-US"/>
        </w:rPr>
      </w:pPr>
    </w:p>
    <w:p w:rsidR="00F66FB0" w:rsidRDefault="00F66FB0" w:rsidP="004402A6">
      <w:pPr>
        <w:jc w:val="center"/>
        <w:rPr>
          <w:b/>
          <w:bCs/>
          <w:lang w:eastAsia="en-US"/>
        </w:rPr>
      </w:pPr>
    </w:p>
    <w:p w:rsidR="00073EA8" w:rsidRDefault="00073EA8" w:rsidP="004402A6">
      <w:pPr>
        <w:jc w:val="center"/>
        <w:rPr>
          <w:b/>
          <w:bCs/>
          <w:lang w:eastAsia="en-US"/>
        </w:rPr>
      </w:pPr>
    </w:p>
    <w:p w:rsidR="00073EA8" w:rsidRDefault="00073EA8" w:rsidP="004402A6">
      <w:pPr>
        <w:jc w:val="center"/>
        <w:rPr>
          <w:b/>
          <w:bCs/>
          <w:lang w:eastAsia="en-US"/>
        </w:rPr>
      </w:pPr>
    </w:p>
    <w:p w:rsidR="00073EA8" w:rsidRPr="0058627D" w:rsidRDefault="00073EA8" w:rsidP="004402A6">
      <w:pPr>
        <w:jc w:val="center"/>
        <w:rPr>
          <w:b/>
          <w:bCs/>
          <w:rtl/>
          <w:lang w:eastAsia="en-US"/>
        </w:rPr>
      </w:pPr>
    </w:p>
    <w:p w:rsidR="004402A6" w:rsidRDefault="004402A6" w:rsidP="004402A6">
      <w:pPr>
        <w:jc w:val="center"/>
        <w:rPr>
          <w:b/>
          <w:bCs/>
          <w:sz w:val="22"/>
          <w:szCs w:val="22"/>
          <w:lang w:eastAsia="en-US"/>
        </w:rPr>
      </w:pPr>
      <w:r w:rsidRPr="0058627D">
        <w:rPr>
          <w:b/>
          <w:bCs/>
          <w:sz w:val="22"/>
          <w:szCs w:val="22"/>
          <w:lang w:eastAsia="en-US"/>
        </w:rPr>
        <w:lastRenderedPageBreak/>
        <w:t>Percentage of Households Who Received Assistance by Period of Reception of Assistance</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E870F4" w:rsidRPr="005E4CFB" w:rsidTr="00F66FB0">
        <w:trPr>
          <w:trHeight w:val="3007"/>
        </w:trPr>
        <w:tc>
          <w:tcPr>
            <w:tcW w:w="9289" w:type="dxa"/>
          </w:tcPr>
          <w:p w:rsidR="00E870F4" w:rsidRDefault="00E870F4" w:rsidP="005E4CFB">
            <w:pPr>
              <w:jc w:val="center"/>
              <w:rPr>
                <w:b/>
                <w:bCs/>
                <w:noProof/>
                <w:lang w:eastAsia="en-GB"/>
              </w:rPr>
            </w:pPr>
          </w:p>
          <w:p w:rsidR="00F66FB0" w:rsidRPr="00F66FB0" w:rsidRDefault="00F66FB0" w:rsidP="005E4CFB">
            <w:pPr>
              <w:jc w:val="center"/>
              <w:rPr>
                <w:b/>
                <w:bCs/>
                <w:sz w:val="22"/>
                <w:szCs w:val="22"/>
                <w:rtl/>
                <w:lang w:eastAsia="en-US"/>
              </w:rPr>
            </w:pPr>
            <w:r w:rsidRPr="00F66FB0">
              <w:rPr>
                <w:b/>
                <w:bCs/>
                <w:noProof/>
                <w:rtl/>
                <w:lang w:eastAsia="en-GB"/>
              </w:rPr>
              <w:drawing>
                <wp:inline distT="0" distB="0" distL="0" distR="0">
                  <wp:extent cx="5572125" cy="1666875"/>
                  <wp:effectExtent l="0" t="0" r="0" b="0"/>
                  <wp:docPr id="77" name="Objec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4402A6" w:rsidRPr="0058627D" w:rsidRDefault="00651868" w:rsidP="0035277D">
      <w:pPr>
        <w:bidi w:val="0"/>
        <w:jc w:val="mediumKashida"/>
      </w:pPr>
      <w:r>
        <w:rPr>
          <w:b/>
          <w:bCs/>
        </w:rPr>
        <w:t>1.10.7</w:t>
      </w:r>
      <w:r w:rsidR="00F60113">
        <w:rPr>
          <w:b/>
          <w:bCs/>
        </w:rPr>
        <w:t xml:space="preserve"> </w:t>
      </w:r>
      <w:r w:rsidR="004402A6" w:rsidRPr="0058627D">
        <w:rPr>
          <w:b/>
          <w:bCs/>
        </w:rPr>
        <w:t>Type of Assistance</w:t>
      </w:r>
      <w:proofErr w:type="spellStart"/>
      <w:r w:rsidR="004402A6" w:rsidRPr="0058627D">
        <w:rPr>
          <w:rtl/>
        </w:rPr>
        <w:t>.</w:t>
      </w:r>
      <w:proofErr w:type="spellEnd"/>
      <w:r w:rsidR="004402A6" w:rsidRPr="0058627D">
        <w:rPr>
          <w:rtl/>
        </w:rPr>
        <w:t xml:space="preserve">  </w:t>
      </w:r>
    </w:p>
    <w:p w:rsidR="004402A6" w:rsidRPr="0058627D" w:rsidRDefault="004402A6" w:rsidP="004402A6">
      <w:pPr>
        <w:bidi w:val="0"/>
        <w:jc w:val="lowKashida"/>
        <w:rPr>
          <w:rtl/>
        </w:rPr>
      </w:pPr>
      <w:r w:rsidRPr="0058627D">
        <w:t xml:space="preserve">Food assistance (school nutrition, food ratio, food) was the assistance most received by </w:t>
      </w:r>
      <w:proofErr w:type="spellStart"/>
      <w:r w:rsidRPr="0058627D">
        <w:t>Gazan</w:t>
      </w:r>
      <w:proofErr w:type="spellEnd"/>
      <w:r w:rsidRPr="0058627D">
        <w:t xml:space="preserve"> households (62.5%) during the aggression, compared to 82.3% of households who received assistance after the aggression. The second of assistance was housing (shelters, housing rents, caravans), received by 13.3% of households, compared to 22.7% of households who received assistance after the aggression. Cash assistance was received by 9% of households during the aggression and by 33.3% after the aggression.</w:t>
      </w:r>
    </w:p>
    <w:p w:rsidR="004402A6" w:rsidRPr="0058627D" w:rsidRDefault="004402A6" w:rsidP="004402A6">
      <w:pPr>
        <w:jc w:val="lowKashida"/>
        <w:rPr>
          <w:sz w:val="18"/>
          <w:szCs w:val="18"/>
          <w:rtl/>
        </w:rPr>
      </w:pPr>
    </w:p>
    <w:p w:rsidR="004402A6" w:rsidRPr="0058627D" w:rsidRDefault="00651868" w:rsidP="004402A6">
      <w:pPr>
        <w:bidi w:val="0"/>
        <w:jc w:val="mediumKashida"/>
        <w:rPr>
          <w:b/>
          <w:bCs/>
        </w:rPr>
      </w:pPr>
      <w:r>
        <w:rPr>
          <w:b/>
          <w:bCs/>
        </w:rPr>
        <w:t xml:space="preserve">1.10.8 </w:t>
      </w:r>
      <w:r w:rsidR="004402A6" w:rsidRPr="0058627D">
        <w:rPr>
          <w:b/>
          <w:bCs/>
        </w:rPr>
        <w:t>Source of Assistance</w:t>
      </w:r>
    </w:p>
    <w:p w:rsidR="004402A6" w:rsidRDefault="004402A6" w:rsidP="004402A6">
      <w:pPr>
        <w:bidi w:val="0"/>
        <w:jc w:val="lowKashida"/>
        <w:rPr>
          <w:b/>
          <w:bCs/>
          <w:sz w:val="18"/>
          <w:szCs w:val="18"/>
        </w:rPr>
      </w:pPr>
      <w:r w:rsidRPr="0058627D">
        <w:t>UNRWA was the main source of assistance received by 35.5% of households during the aggression of 2014 and by 60.3% of households after the aggression. The second source was charitable/ religious institutions provided assistance 13.7% of households during the aggression and 11.8% after the aggression. Third came international agencies/ developmental institutions that provided assistance received by 11.5% of households during the aggression, compared to 21.2% of households after the aggression. The Ministry of Social Affairs provided assistance to 8.3% of households during the aggression and to 26.2% of households after the aggression.</w:t>
      </w:r>
    </w:p>
    <w:p w:rsidR="00651868" w:rsidRPr="0058627D" w:rsidRDefault="00651868" w:rsidP="00651868">
      <w:pPr>
        <w:bidi w:val="0"/>
        <w:jc w:val="lowKashida"/>
        <w:rPr>
          <w:b/>
          <w:bCs/>
          <w:sz w:val="18"/>
          <w:szCs w:val="18"/>
          <w:rtl/>
        </w:rPr>
      </w:pPr>
    </w:p>
    <w:p w:rsidR="004402A6" w:rsidRPr="0058627D" w:rsidRDefault="00651868" w:rsidP="004402A6">
      <w:pPr>
        <w:bidi w:val="0"/>
        <w:jc w:val="mediumKashida"/>
        <w:rPr>
          <w:b/>
          <w:bCs/>
          <w:rtl/>
        </w:rPr>
      </w:pPr>
      <w:r>
        <w:rPr>
          <w:b/>
          <w:bCs/>
        </w:rPr>
        <w:t xml:space="preserve">1.10.9 </w:t>
      </w:r>
      <w:r w:rsidR="004402A6" w:rsidRPr="0058627D">
        <w:rPr>
          <w:b/>
          <w:bCs/>
        </w:rPr>
        <w:t>Loans</w:t>
      </w:r>
    </w:p>
    <w:p w:rsidR="004402A6" w:rsidRPr="0058627D" w:rsidRDefault="004402A6" w:rsidP="004402A6">
      <w:pPr>
        <w:bidi w:val="0"/>
        <w:jc w:val="mediumKashida"/>
        <w:rPr>
          <w:rtl/>
        </w:rPr>
      </w:pPr>
      <w:r w:rsidRPr="0058627D">
        <w:t>Findings showed that half of the households (54%) of the Gaza Strip obtained loans or credit during the 2014 aggression while the percentage of households that received loans or credit in the past 12 months reached 52%. It should be noted that 99% of these loans were spent on living and food. On another note, the percentage of households who bought their food needs on credit during the aggression reached 58%.</w:t>
      </w:r>
    </w:p>
    <w:p w:rsidR="004402A6" w:rsidRPr="0058627D" w:rsidRDefault="004402A6" w:rsidP="004402A6">
      <w:pPr>
        <w:jc w:val="mediumKashida"/>
        <w:rPr>
          <w:b/>
          <w:bCs/>
          <w:sz w:val="18"/>
          <w:szCs w:val="18"/>
          <w:rtl/>
        </w:rPr>
      </w:pPr>
    </w:p>
    <w:p w:rsidR="004402A6" w:rsidRPr="0058627D" w:rsidRDefault="00651868" w:rsidP="00873305">
      <w:pPr>
        <w:bidi w:val="0"/>
        <w:jc w:val="mediumKashida"/>
        <w:rPr>
          <w:b/>
          <w:bCs/>
          <w:rtl/>
        </w:rPr>
      </w:pPr>
      <w:r>
        <w:rPr>
          <w:b/>
          <w:bCs/>
        </w:rPr>
        <w:t xml:space="preserve">1.10.10 </w:t>
      </w:r>
      <w:r w:rsidR="004402A6" w:rsidRPr="0058627D">
        <w:rPr>
          <w:b/>
          <w:bCs/>
        </w:rPr>
        <w:t>Exposure to Trauma</w:t>
      </w:r>
    </w:p>
    <w:p w:rsidR="004402A6" w:rsidRPr="0058627D" w:rsidRDefault="004402A6" w:rsidP="004402A6">
      <w:pPr>
        <w:bidi w:val="0"/>
        <w:jc w:val="lowKashida"/>
        <w:rPr>
          <w:rtl/>
        </w:rPr>
      </w:pPr>
      <w:r w:rsidRPr="0058627D">
        <w:t>Findings of the Survey showed that 73% of households in the Gaza Strip, or a member thereof, endured shortage of water in the second half o 2014 while 46% of households in the Gaza Strip suffered the inability to pay medical bills. 36% of households in the Gaza Strip suffered shortage of health services and medicine. 22% of households endured loss of property.</w:t>
      </w:r>
    </w:p>
    <w:p w:rsidR="004402A6" w:rsidRDefault="004402A6" w:rsidP="004402A6">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Default="00F66FB0" w:rsidP="00F66FB0">
      <w:pPr>
        <w:pStyle w:val="xl69"/>
        <w:bidi/>
        <w:spacing w:before="0" w:beforeAutospacing="0" w:after="0" w:afterAutospacing="0"/>
        <w:textAlignment w:val="auto"/>
        <w:rPr>
          <w:rFonts w:cs="Times New Roman" w:hint="default"/>
          <w:lang w:eastAsia="ar-SA"/>
        </w:rPr>
      </w:pPr>
    </w:p>
    <w:p w:rsidR="00F66FB0" w:rsidRPr="0058627D" w:rsidRDefault="00F66FB0" w:rsidP="00F66FB0">
      <w:pPr>
        <w:pStyle w:val="xl69"/>
        <w:bidi/>
        <w:spacing w:before="0" w:beforeAutospacing="0" w:after="0" w:afterAutospacing="0"/>
        <w:textAlignment w:val="auto"/>
        <w:rPr>
          <w:rFonts w:cs="Times New Roman" w:hint="default"/>
          <w:lang w:eastAsia="ar-SA"/>
        </w:rPr>
      </w:pPr>
    </w:p>
    <w:p w:rsidR="00946E04" w:rsidRDefault="004402A6" w:rsidP="00946E04">
      <w:pPr>
        <w:pStyle w:val="xl69"/>
        <w:bidi/>
        <w:spacing w:before="0" w:beforeAutospacing="0" w:after="0" w:afterAutospacing="0"/>
        <w:textAlignment w:val="auto"/>
        <w:rPr>
          <w:rFonts w:cs="Times New Roman" w:hint="default"/>
          <w:sz w:val="24"/>
          <w:szCs w:val="24"/>
          <w:lang w:eastAsia="ar-SA"/>
        </w:rPr>
      </w:pPr>
      <w:r w:rsidRPr="00873305">
        <w:rPr>
          <w:rFonts w:cs="Times New Roman" w:hint="default"/>
          <w:sz w:val="24"/>
          <w:szCs w:val="24"/>
          <w:lang w:eastAsia="ar-SA"/>
        </w:rPr>
        <w:lastRenderedPageBreak/>
        <w:t xml:space="preserve">Percentage Distribution of Households with Members Who Endured Trauma in the </w:t>
      </w:r>
    </w:p>
    <w:p w:rsidR="004402A6" w:rsidRDefault="004402A6" w:rsidP="00946E04">
      <w:pPr>
        <w:pStyle w:val="xl69"/>
        <w:bidi/>
        <w:spacing w:before="0" w:beforeAutospacing="0" w:after="0" w:afterAutospacing="0"/>
        <w:textAlignment w:val="auto"/>
        <w:rPr>
          <w:rFonts w:cs="Times New Roman" w:hint="default"/>
          <w:sz w:val="24"/>
          <w:szCs w:val="24"/>
          <w:lang w:eastAsia="ar-SA"/>
        </w:rPr>
      </w:pPr>
      <w:r w:rsidRPr="00873305">
        <w:rPr>
          <w:rFonts w:cs="Times New Roman" w:hint="default"/>
          <w:sz w:val="24"/>
          <w:szCs w:val="24"/>
          <w:lang w:eastAsia="ar-SA"/>
        </w:rPr>
        <w:t>Second Half of 2014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946E04" w:rsidTr="00F66FB0">
        <w:trPr>
          <w:trHeight w:val="4117"/>
        </w:trPr>
        <w:tc>
          <w:tcPr>
            <w:tcW w:w="9289" w:type="dxa"/>
          </w:tcPr>
          <w:p w:rsidR="00946E04" w:rsidRDefault="00946E04" w:rsidP="005E4CFB">
            <w:pPr>
              <w:pStyle w:val="xl69"/>
              <w:bidi/>
              <w:spacing w:before="0" w:beforeAutospacing="0" w:after="0" w:afterAutospacing="0"/>
              <w:textAlignment w:val="auto"/>
              <w:rPr>
                <w:rFonts w:cs="Times New Roman" w:hint="default"/>
                <w:noProof/>
                <w:sz w:val="24"/>
                <w:szCs w:val="24"/>
                <w:lang w:val="en-GB" w:eastAsia="en-GB"/>
              </w:rPr>
            </w:pPr>
          </w:p>
          <w:p w:rsidR="00F66FB0" w:rsidRPr="005E4CFB" w:rsidRDefault="00F66FB0" w:rsidP="00F66FB0">
            <w:pPr>
              <w:pStyle w:val="xl69"/>
              <w:bidi/>
              <w:spacing w:before="0" w:beforeAutospacing="0" w:after="0" w:afterAutospacing="0"/>
              <w:textAlignment w:val="auto"/>
              <w:rPr>
                <w:rFonts w:cs="Times New Roman" w:hint="default"/>
                <w:sz w:val="24"/>
                <w:szCs w:val="24"/>
                <w:rtl/>
                <w:lang w:eastAsia="ar-SA"/>
              </w:rPr>
            </w:pPr>
            <w:r w:rsidRPr="00F66FB0">
              <w:rPr>
                <w:rFonts w:cs="Times New Roman"/>
                <w:noProof/>
                <w:sz w:val="24"/>
                <w:szCs w:val="24"/>
                <w:rtl/>
                <w:lang w:val="en-GB" w:eastAsia="en-GB"/>
              </w:rPr>
              <w:drawing>
                <wp:inline distT="0" distB="0" distL="0" distR="0">
                  <wp:extent cx="5572125" cy="2352675"/>
                  <wp:effectExtent l="0" t="0" r="0" b="0"/>
                  <wp:docPr id="78" name="Objec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946E04" w:rsidRDefault="00946E04" w:rsidP="00946E04">
      <w:pPr>
        <w:pStyle w:val="xl69"/>
        <w:bidi/>
        <w:spacing w:before="0" w:beforeAutospacing="0" w:after="0" w:afterAutospacing="0"/>
        <w:textAlignment w:val="auto"/>
        <w:rPr>
          <w:rFonts w:cs="Times New Roman" w:hint="default"/>
          <w:sz w:val="24"/>
          <w:szCs w:val="24"/>
          <w:lang w:eastAsia="ar-SA"/>
        </w:rPr>
      </w:pPr>
    </w:p>
    <w:p w:rsidR="004402A6" w:rsidRPr="0058627D" w:rsidRDefault="00651868" w:rsidP="00651868">
      <w:pPr>
        <w:bidi w:val="0"/>
        <w:jc w:val="mediumKashida"/>
      </w:pPr>
      <w:r>
        <w:rPr>
          <w:b/>
          <w:bCs/>
          <w:color w:val="000000"/>
        </w:rPr>
        <w:t>1.10.11</w:t>
      </w:r>
      <w:r w:rsidR="004402A6" w:rsidRPr="0058627D">
        <w:rPr>
          <w:b/>
          <w:bCs/>
          <w:color w:val="000000"/>
          <w:rtl/>
        </w:rPr>
        <w:t xml:space="preserve"> </w:t>
      </w:r>
      <w:r w:rsidR="004402A6" w:rsidRPr="0058627D">
        <w:rPr>
          <w:b/>
          <w:bCs/>
          <w:color w:val="000000"/>
        </w:rPr>
        <w:t>Level of Income</w:t>
      </w:r>
      <w:proofErr w:type="spellStart"/>
      <w:r w:rsidR="004402A6" w:rsidRPr="0058627D">
        <w:rPr>
          <w:rtl/>
        </w:rPr>
        <w:t>.</w:t>
      </w:r>
      <w:proofErr w:type="spellEnd"/>
    </w:p>
    <w:p w:rsidR="004402A6" w:rsidRPr="0058627D" w:rsidRDefault="004402A6" w:rsidP="0035277D">
      <w:pPr>
        <w:bidi w:val="0"/>
        <w:jc w:val="both"/>
        <w:rPr>
          <w:rtl/>
        </w:rPr>
      </w:pPr>
      <w:r w:rsidRPr="0058627D">
        <w:t>Findings showed that almost half of households (</w:t>
      </w:r>
      <w:r w:rsidR="0035277D">
        <w:t>52.7</w:t>
      </w:r>
      <w:r w:rsidRPr="0058627D">
        <w:t>%) endured reduction in their income during the aggression, compared to 45% who could sustain their revenue during the aggression compared to what it was before the aggression.</w:t>
      </w:r>
    </w:p>
    <w:p w:rsidR="004402A6" w:rsidRPr="0058627D" w:rsidRDefault="004402A6" w:rsidP="004402A6">
      <w:pPr>
        <w:jc w:val="center"/>
        <w:rPr>
          <w:b/>
          <w:bCs/>
          <w:color w:val="000000"/>
          <w:sz w:val="22"/>
          <w:szCs w:val="22"/>
          <w:lang w:eastAsia="en-US"/>
        </w:rPr>
      </w:pPr>
    </w:p>
    <w:p w:rsidR="004402A6" w:rsidRDefault="004402A6" w:rsidP="004402A6">
      <w:pPr>
        <w:jc w:val="center"/>
        <w:rPr>
          <w:b/>
          <w:bCs/>
          <w:color w:val="000000"/>
          <w:sz w:val="22"/>
          <w:szCs w:val="22"/>
          <w:lang w:eastAsia="en-US"/>
        </w:rPr>
      </w:pPr>
      <w:r w:rsidRPr="0058627D">
        <w:rPr>
          <w:b/>
          <w:bCs/>
          <w:color w:val="000000"/>
          <w:sz w:val="22"/>
          <w:szCs w:val="22"/>
          <w:lang w:eastAsia="en-US"/>
        </w:rPr>
        <w:t>Percentage Distribution of Households according to Income During the Aggression, Compared to Income Before the Aggression</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2"/>
      </w:tblGrid>
      <w:tr w:rsidR="00E077CE" w:rsidRPr="005E4CFB" w:rsidTr="00F66FB0">
        <w:trPr>
          <w:trHeight w:val="3369"/>
        </w:trPr>
        <w:tc>
          <w:tcPr>
            <w:tcW w:w="9072" w:type="dxa"/>
          </w:tcPr>
          <w:p w:rsidR="00E077CE" w:rsidRDefault="00E077CE" w:rsidP="00A363F1">
            <w:pPr>
              <w:jc w:val="center"/>
              <w:rPr>
                <w:rFonts w:ascii="Arial" w:hAnsi="Arial"/>
                <w:noProof/>
                <w:sz w:val="10"/>
                <w:szCs w:val="10"/>
                <w:lang w:val="en-GB" w:eastAsia="en-GB"/>
              </w:rPr>
            </w:pPr>
          </w:p>
          <w:p w:rsidR="00F66FB0" w:rsidRPr="005E4CFB" w:rsidRDefault="00F66FB0" w:rsidP="00A363F1">
            <w:pPr>
              <w:jc w:val="center"/>
              <w:rPr>
                <w:b/>
                <w:bCs/>
                <w:color w:val="000000"/>
                <w:sz w:val="22"/>
                <w:szCs w:val="22"/>
                <w:rtl/>
                <w:lang w:eastAsia="en-US"/>
              </w:rPr>
            </w:pPr>
            <w:r w:rsidRPr="00F66FB0">
              <w:rPr>
                <w:rFonts w:ascii="Arial" w:hAnsi="Arial"/>
                <w:noProof/>
                <w:sz w:val="10"/>
                <w:szCs w:val="10"/>
                <w:rtl/>
                <w:lang w:val="en-GB" w:eastAsia="en-GB"/>
              </w:rPr>
              <w:drawing>
                <wp:inline distT="0" distB="0" distL="0" distR="0">
                  <wp:extent cx="4495800" cy="1914525"/>
                  <wp:effectExtent l="0" t="0" r="0" b="0"/>
                  <wp:docPr id="79" name="Object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873305" w:rsidRPr="004473AD" w:rsidRDefault="00873305" w:rsidP="00873305">
      <w:pPr>
        <w:pStyle w:val="xl69"/>
        <w:bidi/>
        <w:spacing w:before="0" w:beforeAutospacing="0" w:after="0" w:afterAutospacing="0"/>
        <w:textAlignment w:val="auto"/>
        <w:rPr>
          <w:rFonts w:ascii="Arial" w:hAnsi="Arial" w:hint="default"/>
          <w:sz w:val="10"/>
          <w:szCs w:val="10"/>
          <w:rtl/>
        </w:rPr>
      </w:pPr>
    </w:p>
    <w:p w:rsidR="004402A6" w:rsidRPr="0058627D" w:rsidRDefault="00651868" w:rsidP="00873305">
      <w:pPr>
        <w:bidi w:val="0"/>
        <w:jc w:val="mediumKashida"/>
        <w:rPr>
          <w:b/>
          <w:bCs/>
        </w:rPr>
      </w:pPr>
      <w:r>
        <w:rPr>
          <w:b/>
          <w:bCs/>
        </w:rPr>
        <w:t>1.10.12</w:t>
      </w:r>
      <w:r w:rsidR="00873305">
        <w:rPr>
          <w:b/>
          <w:bCs/>
        </w:rPr>
        <w:t xml:space="preserve"> </w:t>
      </w:r>
      <w:r w:rsidR="004402A6" w:rsidRPr="0058627D">
        <w:rPr>
          <w:b/>
          <w:bCs/>
        </w:rPr>
        <w:t>Households’ Steadfastness</w:t>
      </w:r>
    </w:p>
    <w:p w:rsidR="00651868" w:rsidRDefault="004402A6" w:rsidP="00651868">
      <w:pPr>
        <w:bidi w:val="0"/>
        <w:jc w:val="both"/>
      </w:pPr>
      <w:r w:rsidRPr="0058627D">
        <w:t>In terms of financial resilience, households who reported being able to sustain their financial steadfastness represented around one-third of households (32.9%); they reported they could maintain their financial steadfastness regardless of duration. Households with serious financial condition who could not sustain their living reached 15.2% while the remaining households reported variant financial resilience periods.</w:t>
      </w:r>
    </w:p>
    <w:p w:rsidR="00651868" w:rsidRDefault="00651868" w:rsidP="00651868">
      <w:pPr>
        <w:bidi w:val="0"/>
        <w:jc w:val="both"/>
      </w:pPr>
    </w:p>
    <w:p w:rsidR="00F66FB0" w:rsidRDefault="00F66FB0" w:rsidP="00F66FB0">
      <w:pPr>
        <w:bidi w:val="0"/>
        <w:jc w:val="both"/>
      </w:pPr>
    </w:p>
    <w:p w:rsidR="00F66FB0" w:rsidRDefault="00F66FB0" w:rsidP="00F66FB0">
      <w:pPr>
        <w:bidi w:val="0"/>
        <w:jc w:val="both"/>
      </w:pPr>
    </w:p>
    <w:p w:rsidR="00F66FB0" w:rsidRDefault="00F66FB0" w:rsidP="00F66FB0">
      <w:pPr>
        <w:bidi w:val="0"/>
        <w:jc w:val="both"/>
      </w:pPr>
    </w:p>
    <w:p w:rsidR="00F66FB0" w:rsidRDefault="00F66FB0" w:rsidP="00F66FB0">
      <w:pPr>
        <w:bidi w:val="0"/>
        <w:jc w:val="both"/>
      </w:pPr>
    </w:p>
    <w:p w:rsidR="00F66FB0" w:rsidRDefault="00F66FB0" w:rsidP="00F66FB0">
      <w:pPr>
        <w:bidi w:val="0"/>
        <w:jc w:val="both"/>
      </w:pPr>
    </w:p>
    <w:p w:rsidR="00F66FB0" w:rsidRDefault="00F66FB0" w:rsidP="00F66FB0">
      <w:pPr>
        <w:bidi w:val="0"/>
        <w:jc w:val="both"/>
      </w:pPr>
    </w:p>
    <w:p w:rsidR="00E077CE" w:rsidRDefault="004402A6" w:rsidP="004402A6">
      <w:pPr>
        <w:pStyle w:val="xl69"/>
        <w:bidi/>
        <w:spacing w:before="0" w:beforeAutospacing="0" w:after="0" w:afterAutospacing="0"/>
        <w:textAlignment w:val="auto"/>
        <w:rPr>
          <w:rFonts w:cs="Times New Roman" w:hint="default"/>
          <w:lang w:eastAsia="ar-SA"/>
        </w:rPr>
      </w:pPr>
      <w:r w:rsidRPr="0058627D">
        <w:rPr>
          <w:rFonts w:cs="Times New Roman" w:hint="default"/>
          <w:lang w:eastAsia="ar-SA"/>
        </w:rPr>
        <w:lastRenderedPageBreak/>
        <w:t xml:space="preserve">Percentage Distribution of Households according to the Time of their Financial Resilience in the </w:t>
      </w:r>
    </w:p>
    <w:p w:rsidR="004402A6" w:rsidRDefault="004402A6" w:rsidP="00E077CE">
      <w:pPr>
        <w:pStyle w:val="xl69"/>
        <w:bidi/>
        <w:spacing w:before="0" w:beforeAutospacing="0" w:after="0" w:afterAutospacing="0"/>
        <w:textAlignment w:val="auto"/>
        <w:rPr>
          <w:rFonts w:cs="Times New Roman" w:hint="default"/>
          <w:lang w:eastAsia="ar-SA"/>
        </w:rPr>
      </w:pPr>
      <w:r w:rsidRPr="0058627D">
        <w:rPr>
          <w:rFonts w:cs="Times New Roman" w:hint="default"/>
          <w:lang w:eastAsia="ar-SA"/>
        </w:rPr>
        <w:t>Future</w:t>
      </w:r>
    </w:p>
    <w:tbl>
      <w:tblPr>
        <w:bidiVisual/>
        <w:tblW w:w="0" w:type="auto"/>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2"/>
      </w:tblGrid>
      <w:tr w:rsidR="00E077CE" w:rsidTr="00C71850">
        <w:trPr>
          <w:trHeight w:val="3323"/>
        </w:trPr>
        <w:tc>
          <w:tcPr>
            <w:tcW w:w="9072" w:type="dxa"/>
          </w:tcPr>
          <w:p w:rsidR="00E077CE" w:rsidRDefault="00E077CE" w:rsidP="005E4CFB">
            <w:pPr>
              <w:pStyle w:val="xl69"/>
              <w:bidi/>
              <w:spacing w:before="0" w:beforeAutospacing="0" w:after="0" w:afterAutospacing="0"/>
              <w:textAlignment w:val="auto"/>
              <w:rPr>
                <w:rFonts w:cs="Times New Roman" w:hint="default"/>
                <w:noProof/>
                <w:lang w:val="en-GB" w:eastAsia="en-GB"/>
              </w:rPr>
            </w:pPr>
          </w:p>
          <w:p w:rsidR="00F66FB0" w:rsidRPr="005E4CFB" w:rsidRDefault="00F66FB0" w:rsidP="00F66FB0">
            <w:pPr>
              <w:pStyle w:val="xl69"/>
              <w:bidi/>
              <w:spacing w:before="0" w:beforeAutospacing="0" w:after="0" w:afterAutospacing="0"/>
              <w:textAlignment w:val="auto"/>
              <w:rPr>
                <w:rFonts w:cs="Times New Roman" w:hint="default"/>
                <w:rtl/>
                <w:lang w:eastAsia="ar-SA"/>
              </w:rPr>
            </w:pPr>
            <w:r w:rsidRPr="00F66FB0">
              <w:rPr>
                <w:rFonts w:cs="Times New Roman"/>
                <w:noProof/>
                <w:rtl/>
                <w:lang w:val="en-GB" w:eastAsia="en-GB"/>
              </w:rPr>
              <w:drawing>
                <wp:inline distT="0" distB="0" distL="0" distR="0">
                  <wp:extent cx="5467350" cy="1800225"/>
                  <wp:effectExtent l="0" t="0" r="0" b="0"/>
                  <wp:docPr id="80" name="Object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E077CE" w:rsidRDefault="00E077CE" w:rsidP="00E077CE">
      <w:pPr>
        <w:pStyle w:val="xl69"/>
        <w:bidi/>
        <w:spacing w:before="0" w:beforeAutospacing="0" w:after="0" w:afterAutospacing="0"/>
        <w:textAlignment w:val="auto"/>
        <w:rPr>
          <w:rFonts w:cs="Times New Roman" w:hint="default"/>
          <w:lang w:eastAsia="ar-SA"/>
        </w:rPr>
      </w:pPr>
    </w:p>
    <w:p w:rsidR="004402A6" w:rsidRPr="0058627D" w:rsidRDefault="00651868" w:rsidP="004402A6">
      <w:pPr>
        <w:bidi w:val="0"/>
        <w:rPr>
          <w:sz w:val="22"/>
          <w:szCs w:val="22"/>
          <w:rtl/>
        </w:rPr>
      </w:pPr>
      <w:r>
        <w:rPr>
          <w:b/>
          <w:bCs/>
        </w:rPr>
        <w:t xml:space="preserve">1.10.13 </w:t>
      </w:r>
      <w:r w:rsidR="004402A6" w:rsidRPr="0058627D">
        <w:rPr>
          <w:b/>
          <w:bCs/>
        </w:rPr>
        <w:t>Thinking of Immigration</w:t>
      </w:r>
    </w:p>
    <w:p w:rsidR="004402A6" w:rsidRPr="0058627D" w:rsidRDefault="004402A6" w:rsidP="004402A6">
      <w:pPr>
        <w:bidi w:val="0"/>
        <w:jc w:val="both"/>
        <w:rPr>
          <w:rtl/>
        </w:rPr>
      </w:pPr>
      <w:r w:rsidRPr="0058627D">
        <w:t>Findings of the Survey showed that 29.3% are now thinking of immigrating compared to 23.9% who thought the same since the Aggression of 2009 till the Aggression of 2014.</w:t>
      </w:r>
    </w:p>
    <w:p w:rsidR="004402A6" w:rsidRDefault="004402A6" w:rsidP="004402A6">
      <w:pPr>
        <w:tabs>
          <w:tab w:val="left" w:pos="5891"/>
        </w:tabs>
        <w:jc w:val="center"/>
        <w:rPr>
          <w:b/>
          <w:bCs/>
          <w:sz w:val="22"/>
          <w:szCs w:val="22"/>
          <w:lang w:eastAsia="en-US"/>
        </w:rPr>
      </w:pPr>
    </w:p>
    <w:p w:rsidR="004402A6" w:rsidRDefault="004402A6" w:rsidP="004402A6">
      <w:pPr>
        <w:tabs>
          <w:tab w:val="left" w:pos="5891"/>
        </w:tabs>
        <w:jc w:val="center"/>
        <w:rPr>
          <w:b/>
          <w:bCs/>
          <w:sz w:val="22"/>
          <w:szCs w:val="22"/>
          <w:lang w:eastAsia="en-US"/>
        </w:rPr>
      </w:pPr>
      <w:r w:rsidRPr="0058627D">
        <w:rPr>
          <w:b/>
          <w:bCs/>
          <w:sz w:val="22"/>
          <w:szCs w:val="22"/>
          <w:lang w:eastAsia="en-US"/>
        </w:rPr>
        <w:t xml:space="preserve">Percentage of Households that Thought of Immigration Entirely or that Some Members Thought of Immigration by Period and Governorate.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89"/>
      </w:tblGrid>
      <w:tr w:rsidR="00650146" w:rsidRPr="005E4CFB" w:rsidTr="00F66FB0">
        <w:trPr>
          <w:trHeight w:val="4218"/>
        </w:trPr>
        <w:tc>
          <w:tcPr>
            <w:tcW w:w="9289" w:type="dxa"/>
          </w:tcPr>
          <w:p w:rsidR="00650146" w:rsidRDefault="00650146" w:rsidP="005E4CFB">
            <w:pPr>
              <w:tabs>
                <w:tab w:val="left" w:pos="5891"/>
              </w:tabs>
              <w:jc w:val="center"/>
              <w:rPr>
                <w:noProof/>
                <w:lang w:val="en-GB" w:eastAsia="en-GB"/>
              </w:rPr>
            </w:pPr>
          </w:p>
          <w:p w:rsidR="00F66FB0" w:rsidRPr="005E4CFB" w:rsidRDefault="00F66FB0" w:rsidP="005E4CFB">
            <w:pPr>
              <w:tabs>
                <w:tab w:val="left" w:pos="5891"/>
              </w:tabs>
              <w:jc w:val="center"/>
              <w:rPr>
                <w:b/>
                <w:bCs/>
                <w:sz w:val="22"/>
                <w:szCs w:val="22"/>
                <w:rtl/>
                <w:lang w:eastAsia="en-US"/>
              </w:rPr>
            </w:pPr>
            <w:r w:rsidRPr="00F66FB0">
              <w:rPr>
                <w:noProof/>
                <w:rtl/>
                <w:lang w:val="en-GB" w:eastAsia="en-GB"/>
              </w:rPr>
              <w:drawing>
                <wp:inline distT="0" distB="0" distL="0" distR="0">
                  <wp:extent cx="5524500" cy="2400300"/>
                  <wp:effectExtent l="0" t="0" r="0" b="0"/>
                  <wp:docPr id="81" name="Object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650146" w:rsidRPr="0058627D" w:rsidRDefault="00650146" w:rsidP="004402A6">
      <w:pPr>
        <w:tabs>
          <w:tab w:val="left" w:pos="5891"/>
        </w:tabs>
        <w:jc w:val="center"/>
        <w:rPr>
          <w:b/>
          <w:bCs/>
          <w:sz w:val="22"/>
          <w:szCs w:val="22"/>
          <w:rtl/>
          <w:lang w:eastAsia="en-US"/>
        </w:rPr>
      </w:pPr>
    </w:p>
    <w:p w:rsidR="004402A6" w:rsidRPr="0058627D" w:rsidRDefault="004402A6" w:rsidP="009D5D52">
      <w:pPr>
        <w:ind w:firstLine="566"/>
        <w:jc w:val="center"/>
        <w:rPr>
          <w:rtl/>
        </w:rPr>
      </w:pPr>
    </w:p>
    <w:p w:rsidR="004402A6" w:rsidRPr="0058627D" w:rsidRDefault="004402A6" w:rsidP="004402A6">
      <w:pPr>
        <w:ind w:firstLine="566"/>
        <w:rPr>
          <w:rtl/>
        </w:rPr>
      </w:pPr>
    </w:p>
    <w:p w:rsidR="004402A6" w:rsidRPr="0058627D" w:rsidRDefault="00645786" w:rsidP="004402A6">
      <w:pPr>
        <w:bidi w:val="0"/>
      </w:pPr>
      <w:bookmarkStart w:id="8" w:name="_Toc93808840"/>
      <w:bookmarkStart w:id="9" w:name="_Toc93809605"/>
      <w:bookmarkStart w:id="10" w:name="_Toc94327375"/>
      <w:bookmarkStart w:id="11" w:name="_Toc108752598"/>
      <w:r>
        <w:br w:type="page"/>
      </w:r>
      <w:r w:rsidR="004402A6" w:rsidRPr="0058627D">
        <w:rPr>
          <w:rtl/>
        </w:rPr>
        <w:lastRenderedPageBreak/>
        <w:br w:type="page"/>
      </w:r>
    </w:p>
    <w:p w:rsidR="004402A6" w:rsidRPr="00651868" w:rsidRDefault="004402A6" w:rsidP="00533C2F">
      <w:pPr>
        <w:bidi w:val="0"/>
        <w:jc w:val="center"/>
      </w:pPr>
      <w:r w:rsidRPr="00651868">
        <w:lastRenderedPageBreak/>
        <w:t xml:space="preserve">Chapter </w:t>
      </w:r>
      <w:r w:rsidR="00533C2F">
        <w:t>Two</w:t>
      </w:r>
    </w:p>
    <w:p w:rsidR="004402A6" w:rsidRPr="00651868" w:rsidRDefault="004402A6" w:rsidP="004402A6">
      <w:pPr>
        <w:pStyle w:val="Heading5"/>
        <w:tabs>
          <w:tab w:val="left" w:pos="4033"/>
          <w:tab w:val="left" w:pos="4111"/>
        </w:tabs>
        <w:rPr>
          <w:rFonts w:ascii="Times New Roman" w:hAnsi="Times New Roman" w:cs="Times New Roman"/>
          <w:i w:val="0"/>
          <w:iCs w:val="0"/>
          <w:sz w:val="24"/>
          <w:szCs w:val="24"/>
        </w:rPr>
      </w:pPr>
    </w:p>
    <w:p w:rsidR="004402A6" w:rsidRPr="00651868" w:rsidRDefault="004402A6" w:rsidP="004402A6">
      <w:pPr>
        <w:pStyle w:val="Heading5"/>
        <w:tabs>
          <w:tab w:val="left" w:pos="4033"/>
          <w:tab w:val="left" w:pos="4111"/>
        </w:tabs>
        <w:rPr>
          <w:rFonts w:ascii="Times New Roman" w:hAnsi="Times New Roman" w:cs="Times New Roman"/>
          <w:i w:val="0"/>
          <w:iCs w:val="0"/>
          <w:sz w:val="28"/>
          <w:szCs w:val="28"/>
          <w:rtl/>
        </w:rPr>
      </w:pPr>
      <w:r w:rsidRPr="00651868">
        <w:rPr>
          <w:rFonts w:ascii="Times New Roman" w:hAnsi="Times New Roman" w:cs="Times New Roman"/>
          <w:i w:val="0"/>
          <w:iCs w:val="0"/>
          <w:sz w:val="28"/>
          <w:szCs w:val="28"/>
        </w:rPr>
        <w:t>Methodology and Quality of Data</w:t>
      </w:r>
    </w:p>
    <w:p w:rsidR="004402A6" w:rsidRPr="0058627D" w:rsidRDefault="004402A6" w:rsidP="004402A6">
      <w:pPr>
        <w:rPr>
          <w:b/>
          <w:bCs/>
          <w:sz w:val="22"/>
          <w:szCs w:val="22"/>
          <w:rtl/>
          <w:lang w:eastAsia="en-US"/>
        </w:rPr>
      </w:pPr>
    </w:p>
    <w:p w:rsidR="004402A6" w:rsidRPr="0058627D" w:rsidRDefault="004402A6" w:rsidP="004402A6">
      <w:pPr>
        <w:bidi w:val="0"/>
        <w:ind w:left="-1"/>
        <w:jc w:val="lowKashida"/>
        <w:rPr>
          <w:rtl/>
          <w:lang w:eastAsia="en-US"/>
        </w:rPr>
      </w:pPr>
      <w:r w:rsidRPr="0058627D">
        <w:rPr>
          <w:lang w:eastAsia="en-US"/>
        </w:rPr>
        <w:t>This Chapter presents the methodology and quality control procedures of the Survey on the Impact of the Israeli Aggression on the Gaza Strip 2014 and the Socioeconomic Conditions of Palestinian households in Palestine. The survey was implemented in the period from March 2015 to June 2015. The methodology comprised basic surveying tools and methods to collect, process and analyze date in addition to procedures to audit data and ensure accuracy and quality.</w:t>
      </w:r>
    </w:p>
    <w:p w:rsidR="004402A6" w:rsidRPr="0058627D" w:rsidRDefault="004402A6" w:rsidP="004402A6">
      <w:pPr>
        <w:ind w:left="-1"/>
        <w:jc w:val="lowKashida"/>
        <w:rPr>
          <w:sz w:val="20"/>
          <w:szCs w:val="20"/>
          <w:rtl/>
          <w:lang w:eastAsia="en-US"/>
        </w:rPr>
      </w:pPr>
    </w:p>
    <w:p w:rsidR="004402A6" w:rsidRPr="0058627D" w:rsidRDefault="0083024B" w:rsidP="004402A6">
      <w:pPr>
        <w:bidi w:val="0"/>
        <w:ind w:left="-1"/>
        <w:jc w:val="lowKashida"/>
        <w:rPr>
          <w:rtl/>
          <w:lang w:eastAsia="en-US"/>
        </w:rPr>
      </w:pPr>
      <w:r>
        <w:rPr>
          <w:b/>
          <w:bCs/>
          <w:lang w:eastAsia="en-US"/>
        </w:rPr>
        <w:t>2.1</w:t>
      </w:r>
      <w:r w:rsidR="004402A6" w:rsidRPr="0058627D">
        <w:rPr>
          <w:b/>
          <w:bCs/>
          <w:rtl/>
          <w:lang w:eastAsia="en-US"/>
        </w:rPr>
        <w:t xml:space="preserve"> </w:t>
      </w:r>
      <w:r w:rsidR="004402A6" w:rsidRPr="0058627D">
        <w:rPr>
          <w:b/>
          <w:bCs/>
          <w:lang w:eastAsia="en-US"/>
        </w:rPr>
        <w:t>Survey Questionnaire</w:t>
      </w:r>
    </w:p>
    <w:p w:rsidR="004402A6" w:rsidRPr="0058627D" w:rsidRDefault="004402A6" w:rsidP="004402A6">
      <w:pPr>
        <w:bidi w:val="0"/>
        <w:ind w:left="-1"/>
        <w:jc w:val="lowKashida"/>
        <w:rPr>
          <w:rtl/>
        </w:rPr>
      </w:pPr>
      <w:r w:rsidRPr="0058627D">
        <w:t>The questionnaire is the key tool for collection of data. It must be conforming to the technical terms of reference of field work to allow for data processing and analysis. The questionnaire comprised the following parts:</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1- Background Information.</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2- Quality control</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3- Questions related to data of households’ members and social data.</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4- Housing Data</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5- Coping Strategies Information</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6- Expenditure and Consumption</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7- Food Variation and Facing Food Shortage</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8- Revenue-related Questions</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9- Agriculture and Animal Wealth</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10- Freedom of Movement</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11- Immigration Related Questions</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12- Martyrs- related Questions</w:t>
      </w:r>
    </w:p>
    <w:p w:rsidR="004402A6" w:rsidRPr="0058627D" w:rsidRDefault="004402A6" w:rsidP="004402A6">
      <w:pPr>
        <w:pStyle w:val="ListParagraph"/>
        <w:numPr>
          <w:ilvl w:val="0"/>
          <w:numId w:val="8"/>
        </w:numPr>
        <w:overflowPunct w:val="0"/>
        <w:autoSpaceDE w:val="0"/>
        <w:autoSpaceDN w:val="0"/>
        <w:bidi w:val="0"/>
        <w:adjustRightInd w:val="0"/>
        <w:ind w:right="361"/>
        <w:jc w:val="both"/>
      </w:pPr>
      <w:r w:rsidRPr="0058627D">
        <w:t>13- Hosting-related Questions</w:t>
      </w:r>
    </w:p>
    <w:p w:rsidR="004402A6" w:rsidRPr="0058627D" w:rsidRDefault="004402A6" w:rsidP="004402A6">
      <w:pPr>
        <w:pStyle w:val="ListParagraph"/>
        <w:numPr>
          <w:ilvl w:val="0"/>
          <w:numId w:val="8"/>
        </w:numPr>
        <w:overflowPunct w:val="0"/>
        <w:autoSpaceDE w:val="0"/>
        <w:autoSpaceDN w:val="0"/>
        <w:bidi w:val="0"/>
        <w:adjustRightInd w:val="0"/>
        <w:ind w:right="361"/>
        <w:jc w:val="both"/>
        <w:rPr>
          <w:rtl/>
        </w:rPr>
      </w:pPr>
      <w:r w:rsidRPr="0058627D">
        <w:t>In addition to a questionnaire for individuals 18 and above: Questions on life suffering and life quality.</w:t>
      </w:r>
    </w:p>
    <w:p w:rsidR="004402A6" w:rsidRPr="0058627D" w:rsidRDefault="004402A6" w:rsidP="004402A6">
      <w:pPr>
        <w:tabs>
          <w:tab w:val="left" w:pos="566"/>
        </w:tabs>
        <w:ind w:left="-1"/>
        <w:jc w:val="lowKashida"/>
        <w:rPr>
          <w:sz w:val="20"/>
          <w:szCs w:val="20"/>
          <w:rtl/>
          <w:lang w:eastAsia="en-US"/>
        </w:rPr>
      </w:pPr>
    </w:p>
    <w:p w:rsidR="004402A6" w:rsidRPr="0058627D" w:rsidRDefault="004402A6" w:rsidP="008512B1">
      <w:pPr>
        <w:tabs>
          <w:tab w:val="left" w:pos="566"/>
        </w:tabs>
        <w:bidi w:val="0"/>
        <w:ind w:left="-1"/>
        <w:jc w:val="lowKashida"/>
        <w:rPr>
          <w:rtl/>
          <w:lang w:eastAsia="en-US"/>
        </w:rPr>
      </w:pPr>
      <w:r w:rsidRPr="0058627D">
        <w:rPr>
          <w:b/>
          <w:bCs/>
          <w:rtl/>
          <w:lang w:eastAsia="en-US"/>
        </w:rPr>
        <w:t>2.2</w:t>
      </w:r>
      <w:r w:rsidR="008512B1">
        <w:rPr>
          <w:b/>
          <w:bCs/>
          <w:lang w:eastAsia="en-US"/>
        </w:rPr>
        <w:t xml:space="preserve"> Sampling Frame</w:t>
      </w:r>
      <w:r w:rsidRPr="0058627D">
        <w:rPr>
          <w:b/>
          <w:bCs/>
          <w:rtl/>
          <w:lang w:eastAsia="en-US"/>
        </w:rPr>
        <w:t xml:space="preserve"> </w:t>
      </w:r>
    </w:p>
    <w:p w:rsidR="004402A6" w:rsidRPr="0058627D" w:rsidRDefault="004402A6" w:rsidP="004402A6">
      <w:pPr>
        <w:bidi w:val="0"/>
        <w:ind w:left="-1"/>
        <w:jc w:val="lowKashida"/>
        <w:rPr>
          <w:rtl/>
        </w:rPr>
      </w:pPr>
      <w:r w:rsidRPr="0058627D">
        <w:t>T</w:t>
      </w:r>
      <w:r w:rsidRPr="0058627D">
        <w:rPr>
          <w:lang w:eastAsia="en-US"/>
        </w:rPr>
        <w:t>he Survey Sample is a three-phase random, stratified cluster sample of households residing in Palestine.</w:t>
      </w:r>
    </w:p>
    <w:p w:rsidR="004402A6" w:rsidRPr="0058627D" w:rsidRDefault="004402A6" w:rsidP="004402A6">
      <w:pPr>
        <w:ind w:left="-1"/>
        <w:jc w:val="lowKashida"/>
        <w:rPr>
          <w:rtl/>
        </w:rPr>
      </w:pPr>
    </w:p>
    <w:p w:rsidR="004402A6" w:rsidRPr="0058627D" w:rsidRDefault="0083024B" w:rsidP="004402A6">
      <w:pPr>
        <w:bidi w:val="0"/>
        <w:ind w:left="-1"/>
        <w:jc w:val="lowKashida"/>
        <w:rPr>
          <w:b/>
          <w:bCs/>
          <w:rtl/>
        </w:rPr>
      </w:pPr>
      <w:r>
        <w:rPr>
          <w:b/>
          <w:bCs/>
        </w:rPr>
        <w:t xml:space="preserve">2.2.1 </w:t>
      </w:r>
      <w:r w:rsidR="004402A6" w:rsidRPr="0058627D">
        <w:rPr>
          <w:b/>
          <w:bCs/>
        </w:rPr>
        <w:t>Target Population</w:t>
      </w:r>
    </w:p>
    <w:p w:rsidR="004402A6" w:rsidRPr="0058627D" w:rsidRDefault="004402A6" w:rsidP="004402A6">
      <w:pPr>
        <w:bidi w:val="0"/>
        <w:jc w:val="lowKashida"/>
      </w:pPr>
      <w:r w:rsidRPr="0058627D">
        <w:t>The target populated includes all Palestinian households and individuals with regular residency in Palestine during the survey period (2014). Focus was given to individuals aged 18 years and above to complete an annex to the questionnaire, designed for this age group.</w:t>
      </w:r>
    </w:p>
    <w:p w:rsidR="004402A6" w:rsidRPr="0058627D" w:rsidRDefault="004402A6" w:rsidP="004402A6">
      <w:pPr>
        <w:bidi w:val="0"/>
        <w:jc w:val="lowKashida"/>
        <w:rPr>
          <w:rtl/>
        </w:rPr>
      </w:pPr>
    </w:p>
    <w:p w:rsidR="004402A6" w:rsidRPr="0058627D" w:rsidRDefault="0083024B" w:rsidP="004402A6">
      <w:pPr>
        <w:bidi w:val="0"/>
        <w:jc w:val="lowKashida"/>
        <w:rPr>
          <w:b/>
          <w:bCs/>
          <w:rtl/>
        </w:rPr>
      </w:pPr>
      <w:r>
        <w:rPr>
          <w:b/>
          <w:bCs/>
        </w:rPr>
        <w:t xml:space="preserve">2.2.2 </w:t>
      </w:r>
      <w:r w:rsidR="004402A6" w:rsidRPr="0058627D">
        <w:rPr>
          <w:b/>
          <w:bCs/>
        </w:rPr>
        <w:t>Sampling Framework</w:t>
      </w:r>
    </w:p>
    <w:p w:rsidR="004402A6" w:rsidRPr="0058627D" w:rsidRDefault="004402A6" w:rsidP="004402A6">
      <w:pPr>
        <w:pStyle w:val="BodyText"/>
        <w:bidi w:val="0"/>
        <w:rPr>
          <w:rFonts w:cs="Times New Roman"/>
          <w:sz w:val="24"/>
          <w:szCs w:val="24"/>
        </w:rPr>
      </w:pPr>
      <w:r w:rsidRPr="0058627D">
        <w:rPr>
          <w:rFonts w:cs="Times New Roman"/>
          <w:sz w:val="24"/>
          <w:szCs w:val="24"/>
        </w:rPr>
        <w:t>In previous survey cycles, sampling was based on 2007 census, which includes a list of enumeration areas. An enumeration area is a geographic region with buildings and housing units averaging 124 housing units. In the survey design, they are considered as Primary Sampling Units (PSUs).</w:t>
      </w:r>
    </w:p>
    <w:p w:rsidR="004402A6" w:rsidRPr="0058627D" w:rsidRDefault="004402A6" w:rsidP="004402A6">
      <w:pPr>
        <w:pStyle w:val="BodyText"/>
        <w:rPr>
          <w:rFonts w:cs="Times New Roman"/>
          <w:sz w:val="24"/>
          <w:szCs w:val="24"/>
          <w:rtl/>
        </w:rPr>
      </w:pPr>
    </w:p>
    <w:p w:rsidR="004402A6" w:rsidRPr="0058627D" w:rsidRDefault="004402A6" w:rsidP="004402A6">
      <w:pPr>
        <w:pStyle w:val="BodyText"/>
        <w:bidi w:val="0"/>
        <w:rPr>
          <w:rFonts w:cs="Times New Roman"/>
          <w:sz w:val="24"/>
          <w:szCs w:val="24"/>
        </w:rPr>
      </w:pPr>
      <w:r w:rsidRPr="0058627D">
        <w:rPr>
          <w:rFonts w:cs="Times New Roman"/>
          <w:sz w:val="24"/>
          <w:szCs w:val="24"/>
        </w:rPr>
        <w:t>For this cycle, the sample will draw on the same framework as the previous cycle to confirm the same previous cycle with addition of a number of enumeration areas to the overall framework to enhance the representation of some zones.</w:t>
      </w:r>
    </w:p>
    <w:p w:rsidR="0009103D" w:rsidRDefault="0009103D" w:rsidP="004402A6">
      <w:pPr>
        <w:pStyle w:val="BodyText"/>
        <w:bidi w:val="0"/>
        <w:rPr>
          <w:rFonts w:cs="Times New Roman"/>
          <w:sz w:val="24"/>
          <w:szCs w:val="24"/>
        </w:rPr>
      </w:pPr>
    </w:p>
    <w:p w:rsidR="004402A6" w:rsidRPr="0058627D" w:rsidRDefault="004402A6" w:rsidP="0009103D">
      <w:pPr>
        <w:pStyle w:val="BodyText"/>
        <w:bidi w:val="0"/>
        <w:rPr>
          <w:rFonts w:cs="Times New Roman"/>
          <w:sz w:val="24"/>
          <w:szCs w:val="24"/>
          <w:rtl/>
        </w:rPr>
      </w:pPr>
      <w:r w:rsidRPr="0058627D">
        <w:rPr>
          <w:rFonts w:cs="Times New Roman"/>
          <w:sz w:val="24"/>
          <w:szCs w:val="24"/>
        </w:rPr>
        <w:lastRenderedPageBreak/>
        <w:t xml:space="preserve">Information from international agencies and PCBS Gaza Strip district offices were used for the extent of damage to the enumeration areas in the Gaza Strip. This information served as auxiliary data to assess the level of </w:t>
      </w:r>
      <w:r w:rsidR="00D60422" w:rsidRPr="0058627D">
        <w:rPr>
          <w:rFonts w:cs="Times New Roman"/>
          <w:sz w:val="24"/>
          <w:szCs w:val="24"/>
        </w:rPr>
        <w:t>represent ability</w:t>
      </w:r>
      <w:r w:rsidRPr="0058627D">
        <w:rPr>
          <w:rFonts w:cs="Times New Roman"/>
          <w:sz w:val="24"/>
          <w:szCs w:val="24"/>
        </w:rPr>
        <w:t xml:space="preserve"> of the zones affected by the aggression on the Gaza Strip in 2014, </w:t>
      </w:r>
    </w:p>
    <w:p w:rsidR="004402A6" w:rsidRPr="0058627D" w:rsidRDefault="004402A6" w:rsidP="004402A6">
      <w:pPr>
        <w:pStyle w:val="BodyText"/>
        <w:rPr>
          <w:rFonts w:cs="Times New Roman"/>
          <w:sz w:val="24"/>
          <w:szCs w:val="24"/>
          <w:rtl/>
        </w:rPr>
      </w:pPr>
    </w:p>
    <w:p w:rsidR="004402A6" w:rsidRPr="0058627D" w:rsidRDefault="00D60422" w:rsidP="004402A6">
      <w:pPr>
        <w:bidi w:val="0"/>
        <w:ind w:left="-1"/>
        <w:jc w:val="lowKashida"/>
        <w:rPr>
          <w:b/>
          <w:bCs/>
          <w:rtl/>
        </w:rPr>
      </w:pPr>
      <w:r>
        <w:rPr>
          <w:b/>
          <w:bCs/>
        </w:rPr>
        <w:t xml:space="preserve">2.2.3 </w:t>
      </w:r>
      <w:r w:rsidR="004402A6" w:rsidRPr="0058627D">
        <w:rPr>
          <w:b/>
          <w:bCs/>
        </w:rPr>
        <w:t>Sample Size</w:t>
      </w:r>
    </w:p>
    <w:p w:rsidR="004402A6" w:rsidRPr="0058627D" w:rsidRDefault="004402A6" w:rsidP="004402A6">
      <w:pPr>
        <w:bidi w:val="0"/>
        <w:jc w:val="lowKashida"/>
      </w:pPr>
      <w:r w:rsidRPr="0058627D">
        <w:t>The survey sample comprised 9025 households and included 8244 responses divided as follows:</w:t>
      </w:r>
    </w:p>
    <w:p w:rsidR="004402A6" w:rsidRPr="0058627D" w:rsidRDefault="004402A6" w:rsidP="004402A6">
      <w:pPr>
        <w:numPr>
          <w:ilvl w:val="0"/>
          <w:numId w:val="19"/>
        </w:numPr>
        <w:bidi w:val="0"/>
        <w:jc w:val="lowKashida"/>
      </w:pPr>
      <w:r w:rsidRPr="0058627D">
        <w:t>confirmation of survey sample for the socioeconomic conditions survey 2013, being 7503 households from previous cycle (household-panel), implemented in the field in January and February 2014.</w:t>
      </w:r>
    </w:p>
    <w:p w:rsidR="004402A6" w:rsidRPr="0058627D" w:rsidRDefault="004402A6" w:rsidP="004402A6">
      <w:pPr>
        <w:numPr>
          <w:ilvl w:val="0"/>
          <w:numId w:val="19"/>
        </w:numPr>
        <w:bidi w:val="0"/>
        <w:jc w:val="lowKashida"/>
      </w:pPr>
      <w:r w:rsidRPr="0058627D">
        <w:t>Additional sample of 500 households in the Gaza Strip and 150 households in the West Bank to enhance the sample representation and response.</w:t>
      </w:r>
    </w:p>
    <w:p w:rsidR="004402A6" w:rsidRPr="0058627D" w:rsidRDefault="004402A6" w:rsidP="004402A6">
      <w:pPr>
        <w:numPr>
          <w:ilvl w:val="0"/>
          <w:numId w:val="19"/>
        </w:numPr>
        <w:bidi w:val="0"/>
        <w:jc w:val="lowKashida"/>
      </w:pPr>
      <w:r w:rsidRPr="0058627D">
        <w:t>Additional sample of 89 households in Jerusalem to compensate for non-response.</w:t>
      </w:r>
    </w:p>
    <w:p w:rsidR="004402A6" w:rsidRPr="0058627D" w:rsidRDefault="004402A6" w:rsidP="004402A6">
      <w:pPr>
        <w:numPr>
          <w:ilvl w:val="0"/>
          <w:numId w:val="19"/>
        </w:numPr>
        <w:bidi w:val="0"/>
        <w:jc w:val="lowKashida"/>
      </w:pPr>
      <w:r w:rsidRPr="0058627D">
        <w:t>A new sample of households including individuals separated from their households (783 households)</w:t>
      </w:r>
    </w:p>
    <w:p w:rsidR="004402A6" w:rsidRPr="0058627D" w:rsidRDefault="004402A6" w:rsidP="004402A6">
      <w:pPr>
        <w:bidi w:val="0"/>
        <w:ind w:left="720"/>
        <w:jc w:val="lowKashida"/>
        <w:rPr>
          <w:rtl/>
        </w:rPr>
      </w:pPr>
    </w:p>
    <w:p w:rsidR="004402A6" w:rsidRPr="0058627D" w:rsidRDefault="00D60422" w:rsidP="004402A6">
      <w:pPr>
        <w:bidi w:val="0"/>
        <w:ind w:left="-1"/>
        <w:jc w:val="lowKashida"/>
        <w:rPr>
          <w:rtl/>
        </w:rPr>
      </w:pPr>
      <w:r>
        <w:rPr>
          <w:b/>
          <w:bCs/>
        </w:rPr>
        <w:t xml:space="preserve">2.2.4 </w:t>
      </w:r>
      <w:r w:rsidR="004402A6" w:rsidRPr="0058627D">
        <w:rPr>
          <w:b/>
          <w:bCs/>
        </w:rPr>
        <w:t>Sample Design</w:t>
      </w:r>
    </w:p>
    <w:p w:rsidR="004402A6" w:rsidRPr="0058627D" w:rsidRDefault="004402A6" w:rsidP="004402A6">
      <w:pPr>
        <w:bidi w:val="0"/>
        <w:jc w:val="lowKashida"/>
        <w:rPr>
          <w:rtl/>
          <w:lang w:eastAsia="en-US"/>
        </w:rPr>
      </w:pPr>
      <w:r w:rsidRPr="0058627D">
        <w:rPr>
          <w:lang w:eastAsia="en-US"/>
        </w:rPr>
        <w:t>Three-phase random stratified cluster sample:</w:t>
      </w:r>
    </w:p>
    <w:p w:rsidR="004402A6" w:rsidRPr="0058627D" w:rsidRDefault="004402A6" w:rsidP="004402A6">
      <w:pPr>
        <w:bidi w:val="0"/>
        <w:jc w:val="lowKashida"/>
        <w:rPr>
          <w:b/>
          <w:bCs/>
          <w:lang w:eastAsia="en-US"/>
        </w:rPr>
      </w:pPr>
    </w:p>
    <w:p w:rsidR="004402A6" w:rsidRPr="0058627D" w:rsidRDefault="004402A6" w:rsidP="0009103D">
      <w:pPr>
        <w:bidi w:val="0"/>
        <w:jc w:val="lowKashida"/>
        <w:rPr>
          <w:rtl/>
          <w:lang w:eastAsia="en-US"/>
        </w:rPr>
      </w:pPr>
      <w:r w:rsidRPr="0058627D">
        <w:rPr>
          <w:b/>
          <w:bCs/>
          <w:lang w:eastAsia="en-US"/>
        </w:rPr>
        <w:t>Phase I</w:t>
      </w:r>
      <w:r w:rsidRPr="0058627D">
        <w:rPr>
          <w:lang w:eastAsia="en-US"/>
        </w:rPr>
        <w:t>. Selection of enumeration areas represented in the previous cycle of the survey on the socioeconomic conditions 2013 including 300 enumeration areas (</w:t>
      </w:r>
      <w:r w:rsidR="002746E2">
        <w:rPr>
          <w:lang w:eastAsia="en-US"/>
        </w:rPr>
        <w:t>systematic</w:t>
      </w:r>
      <w:r w:rsidRPr="0058627D">
        <w:rPr>
          <w:lang w:eastAsia="en-US"/>
        </w:rPr>
        <w:t xml:space="preserve"> random sample was selected). 26 simple random enumeration areas were added (20 in the Gaza Strip and 6 in the West Bank). The total number of enumeration areas in the first phase of sampling reached 326.</w:t>
      </w:r>
    </w:p>
    <w:p w:rsidR="004402A6" w:rsidRPr="0058627D" w:rsidRDefault="004402A6" w:rsidP="004402A6">
      <w:pPr>
        <w:jc w:val="lowKashida"/>
        <w:rPr>
          <w:b/>
          <w:bCs/>
          <w:rtl/>
        </w:rPr>
      </w:pPr>
    </w:p>
    <w:p w:rsidR="004402A6" w:rsidRPr="0058627D" w:rsidRDefault="004402A6" w:rsidP="004402A6">
      <w:pPr>
        <w:bidi w:val="0"/>
        <w:jc w:val="lowKashida"/>
      </w:pPr>
      <w:r w:rsidRPr="0058627D">
        <w:rPr>
          <w:b/>
          <w:bCs/>
        </w:rPr>
        <w:t>Phase II.</w:t>
      </w:r>
      <w:r w:rsidRPr="0058627D">
        <w:t xml:space="preserve"> Visit the same households from previous cycle of survey on socioeconomic conditions 2013, being 25 households in each enumeration area. (households who changed their place of residence or registered address will be tracked in the existing database to search for the updated data registered in questionnaire. A simple random sample will be reached to include 25 households in enumeration areas outside the 2013 socioeconomic conditions survey sample (additional sample). Individuals separated from their families from the previous cycle will be tracked if they formed new families, except cases of divorce and separation between spouses.</w:t>
      </w:r>
    </w:p>
    <w:p w:rsidR="004402A6" w:rsidRPr="0058627D" w:rsidRDefault="004402A6" w:rsidP="004402A6">
      <w:pPr>
        <w:rPr>
          <w:b/>
          <w:bCs/>
          <w:rtl/>
        </w:rPr>
      </w:pPr>
    </w:p>
    <w:p w:rsidR="004402A6" w:rsidRPr="0058627D" w:rsidRDefault="004402A6" w:rsidP="004402A6">
      <w:pPr>
        <w:bidi w:val="0"/>
      </w:pPr>
      <w:r w:rsidRPr="0058627D">
        <w:rPr>
          <w:b/>
          <w:bCs/>
        </w:rPr>
        <w:t xml:space="preserve">Phase III. </w:t>
      </w:r>
      <w:r w:rsidRPr="0058627D">
        <w:t xml:space="preserve">A male and female member of every household in the sample were selected for Phase III among members aged 18 years and above, using </w:t>
      </w:r>
      <w:proofErr w:type="spellStart"/>
      <w:r w:rsidRPr="0058627D">
        <w:t>Kash</w:t>
      </w:r>
      <w:proofErr w:type="spellEnd"/>
      <w:r w:rsidRPr="0058627D">
        <w:t xml:space="preserve"> (multivariate) tables to fill in the questionnaire for household members aged 18 years and above.</w:t>
      </w:r>
    </w:p>
    <w:p w:rsidR="004402A6" w:rsidRPr="0058627D" w:rsidRDefault="00D60422" w:rsidP="004402A6">
      <w:pPr>
        <w:bidi w:val="0"/>
        <w:ind w:left="-1"/>
        <w:jc w:val="lowKashida"/>
        <w:rPr>
          <w:b/>
          <w:bCs/>
          <w:rtl/>
        </w:rPr>
      </w:pPr>
      <w:r>
        <w:rPr>
          <w:b/>
          <w:bCs/>
        </w:rPr>
        <w:t>2.2.5</w:t>
      </w:r>
      <w:r w:rsidR="004402A6" w:rsidRPr="0058627D">
        <w:rPr>
          <w:b/>
          <w:bCs/>
          <w:rtl/>
        </w:rPr>
        <w:t xml:space="preserve"> </w:t>
      </w:r>
      <w:r w:rsidR="004402A6" w:rsidRPr="0058627D">
        <w:rPr>
          <w:b/>
          <w:bCs/>
        </w:rPr>
        <w:t xml:space="preserve"> Sample Strata:</w:t>
      </w:r>
    </w:p>
    <w:p w:rsidR="004402A6" w:rsidRPr="0058627D" w:rsidRDefault="004402A6" w:rsidP="004402A6">
      <w:pPr>
        <w:bidi w:val="0"/>
        <w:rPr>
          <w:rtl/>
        </w:rPr>
      </w:pPr>
      <w:r w:rsidRPr="0058627D">
        <w:t>The population was divided into the following strata:</w:t>
      </w:r>
    </w:p>
    <w:p w:rsidR="004402A6" w:rsidRPr="0058627D" w:rsidRDefault="004402A6" w:rsidP="004402A6">
      <w:pPr>
        <w:numPr>
          <w:ilvl w:val="0"/>
          <w:numId w:val="4"/>
        </w:numPr>
        <w:bidi w:val="0"/>
        <w:ind w:right="360"/>
      </w:pPr>
      <w:r w:rsidRPr="0058627D">
        <w:t>Governorate (16 including Jerusalem J1)</w:t>
      </w:r>
    </w:p>
    <w:p w:rsidR="004402A6" w:rsidRPr="0058627D" w:rsidRDefault="004402A6" w:rsidP="004402A6">
      <w:pPr>
        <w:numPr>
          <w:ilvl w:val="0"/>
          <w:numId w:val="4"/>
        </w:numPr>
        <w:bidi w:val="0"/>
        <w:ind w:right="360"/>
      </w:pPr>
      <w:r w:rsidRPr="0058627D">
        <w:t>Type of community (urban, rural, camp)</w:t>
      </w:r>
    </w:p>
    <w:p w:rsidR="004402A6" w:rsidRPr="0058627D" w:rsidRDefault="004402A6" w:rsidP="004402A6">
      <w:pPr>
        <w:jc w:val="lowKashida"/>
        <w:rPr>
          <w:rtl/>
        </w:rPr>
      </w:pPr>
    </w:p>
    <w:p w:rsidR="004402A6" w:rsidRPr="0058627D" w:rsidRDefault="00D60422" w:rsidP="008512B1">
      <w:pPr>
        <w:bidi w:val="0"/>
        <w:jc w:val="lowKashida"/>
        <w:rPr>
          <w:b/>
          <w:bCs/>
          <w:rtl/>
        </w:rPr>
      </w:pPr>
      <w:r>
        <w:rPr>
          <w:b/>
          <w:bCs/>
        </w:rPr>
        <w:t>2.3</w:t>
      </w:r>
      <w:r w:rsidR="004402A6" w:rsidRPr="0058627D">
        <w:rPr>
          <w:b/>
          <w:bCs/>
          <w:rtl/>
        </w:rPr>
        <w:t xml:space="preserve"> </w:t>
      </w:r>
      <w:r w:rsidR="004402A6" w:rsidRPr="0058627D">
        <w:rPr>
          <w:b/>
          <w:bCs/>
        </w:rPr>
        <w:t>Weight</w:t>
      </w:r>
      <w:r w:rsidR="008512B1">
        <w:rPr>
          <w:b/>
          <w:bCs/>
        </w:rPr>
        <w:t>ing</w:t>
      </w:r>
      <w:r w:rsidR="004402A6" w:rsidRPr="0058627D">
        <w:rPr>
          <w:b/>
          <w:bCs/>
          <w:rtl/>
        </w:rPr>
        <w:t xml:space="preserve"> </w:t>
      </w:r>
    </w:p>
    <w:p w:rsidR="004402A6" w:rsidRPr="0058627D" w:rsidRDefault="004402A6" w:rsidP="0063511D">
      <w:pPr>
        <w:bidi w:val="0"/>
        <w:ind w:firstLine="1"/>
        <w:jc w:val="both"/>
      </w:pPr>
      <w:r w:rsidRPr="0058627D">
        <w:t xml:space="preserve">Statistical unit weight (sampling Unit) is the multiplicative inverse of the probability of selection of every enumeration area (probability Proportional to Size (PPS) Sample). In the second phase, the weight of household for every enumeration area is calculated. Then we find the result of multiplication of the weight form the first phase and the weight in the second phase to obtain the weight of the first household. We then adjust the weights based on sample attrition and adjust the weights based on the household estimates for mid-2015. The </w:t>
      </w:r>
      <w:r w:rsidRPr="0058627D">
        <w:lastRenderedPageBreak/>
        <w:t>adjustment unit is the strata (governorate, type of community). We then achieve the final household weight.</w:t>
      </w:r>
    </w:p>
    <w:p w:rsidR="004402A6" w:rsidRPr="0058627D" w:rsidRDefault="004402A6" w:rsidP="004402A6">
      <w:pPr>
        <w:ind w:left="142" w:hanging="141"/>
        <w:jc w:val="both"/>
        <w:rPr>
          <w:sz w:val="16"/>
          <w:szCs w:val="16"/>
          <w:rtl/>
        </w:rPr>
      </w:pPr>
    </w:p>
    <w:p w:rsidR="004402A6" w:rsidRPr="0058627D" w:rsidRDefault="004402A6" w:rsidP="0063511D">
      <w:pPr>
        <w:bidi w:val="0"/>
        <w:jc w:val="both"/>
        <w:rPr>
          <w:rtl/>
        </w:rPr>
      </w:pPr>
      <w:r w:rsidRPr="0058627D">
        <w:t>Weights of households’ members’ portfolio are calculated by giving every member the final weight of his/her household, which is the primary individual/member weight. Primary Individual/Members’ Weight is then adjusted according to area, gender and five-year age groups (17 groups) representing the age of individuals/ members mid-June 2015. This enabled us obtain the individual/member’s final weight in his/her category. The weights are then merged in the individuals’/members’ portfolio for individuals aged 18 and above.</w:t>
      </w:r>
    </w:p>
    <w:p w:rsidR="004402A6" w:rsidRPr="0058627D" w:rsidRDefault="004402A6" w:rsidP="004402A6">
      <w:pPr>
        <w:jc w:val="both"/>
        <w:outlineLvl w:val="0"/>
        <w:rPr>
          <w:rtl/>
        </w:rPr>
      </w:pPr>
    </w:p>
    <w:p w:rsidR="004402A6" w:rsidRPr="0058627D" w:rsidRDefault="00D60422" w:rsidP="004402A6">
      <w:pPr>
        <w:bidi w:val="0"/>
        <w:jc w:val="lowKashida"/>
        <w:rPr>
          <w:b/>
          <w:bCs/>
          <w:rtl/>
        </w:rPr>
      </w:pPr>
      <w:r>
        <w:rPr>
          <w:b/>
          <w:bCs/>
        </w:rPr>
        <w:t xml:space="preserve">2.4 </w:t>
      </w:r>
      <w:r w:rsidR="004402A6" w:rsidRPr="0058627D">
        <w:rPr>
          <w:b/>
          <w:bCs/>
        </w:rPr>
        <w:t>Field Operations</w:t>
      </w:r>
    </w:p>
    <w:p w:rsidR="004402A6" w:rsidRPr="00873305" w:rsidRDefault="004402A6" w:rsidP="004402A6">
      <w:pPr>
        <w:pStyle w:val="BodyText3"/>
        <w:bidi w:val="0"/>
        <w:rPr>
          <w:sz w:val="24"/>
          <w:szCs w:val="24"/>
          <w:rtl/>
        </w:rPr>
      </w:pPr>
      <w:r w:rsidRPr="00873305">
        <w:rPr>
          <w:sz w:val="24"/>
          <w:szCs w:val="24"/>
        </w:rPr>
        <w:t>Field operations are the actual survey work conducted to gather the data required from primary sources. Careful attention must be paid to details in this stage to provide all technical and administrative needs including recruitment and training, provision of material needs for the best performance possible of work.</w:t>
      </w:r>
    </w:p>
    <w:p w:rsidR="004402A6" w:rsidRPr="0058627D" w:rsidRDefault="004402A6" w:rsidP="004402A6">
      <w:pPr>
        <w:rPr>
          <w:b/>
          <w:bCs/>
          <w:sz w:val="22"/>
          <w:szCs w:val="22"/>
          <w:rtl/>
        </w:rPr>
      </w:pPr>
    </w:p>
    <w:p w:rsidR="004402A6" w:rsidRPr="0058627D" w:rsidRDefault="00D60422" w:rsidP="004402A6">
      <w:pPr>
        <w:bidi w:val="0"/>
        <w:jc w:val="lowKashida"/>
        <w:rPr>
          <w:b/>
          <w:bCs/>
          <w:rtl/>
        </w:rPr>
      </w:pPr>
      <w:r>
        <w:rPr>
          <w:b/>
          <w:bCs/>
        </w:rPr>
        <w:t>2.4.1</w:t>
      </w:r>
      <w:r w:rsidR="004402A6" w:rsidRPr="0058627D">
        <w:rPr>
          <w:b/>
          <w:bCs/>
          <w:rtl/>
        </w:rPr>
        <w:t xml:space="preserve"> </w:t>
      </w:r>
      <w:r w:rsidR="00EE7282">
        <w:rPr>
          <w:b/>
          <w:bCs/>
        </w:rPr>
        <w:t xml:space="preserve"> Training</w:t>
      </w:r>
    </w:p>
    <w:p w:rsidR="004402A6" w:rsidRPr="0058627D" w:rsidRDefault="004402A6" w:rsidP="004402A6">
      <w:pPr>
        <w:bidi w:val="0"/>
        <w:ind w:left="-1"/>
        <w:jc w:val="lowKashida"/>
        <w:rPr>
          <w:rtl/>
        </w:rPr>
      </w:pPr>
      <w:r w:rsidRPr="0058627D">
        <w:t>Field researchers were trained to perform different field operations prior to survey implementation. The training included data collection, field work literature review and sessions of questions and answers as well as literature review of interviews.</w:t>
      </w:r>
    </w:p>
    <w:p w:rsidR="004402A6" w:rsidRPr="0058627D" w:rsidRDefault="004402A6" w:rsidP="004402A6">
      <w:pPr>
        <w:ind w:left="-1"/>
        <w:jc w:val="lowKashida"/>
        <w:rPr>
          <w:sz w:val="16"/>
          <w:szCs w:val="16"/>
          <w:rtl/>
        </w:rPr>
      </w:pPr>
    </w:p>
    <w:p w:rsidR="004402A6" w:rsidRPr="0058627D" w:rsidRDefault="004402A6" w:rsidP="004402A6">
      <w:pPr>
        <w:bidi w:val="0"/>
        <w:jc w:val="lowKashida"/>
      </w:pPr>
      <w:r w:rsidRPr="0058627D">
        <w:t>The training program included the following key issues:</w:t>
      </w:r>
    </w:p>
    <w:p w:rsidR="004402A6" w:rsidRPr="0058627D" w:rsidRDefault="004402A6" w:rsidP="004402A6">
      <w:pPr>
        <w:numPr>
          <w:ilvl w:val="0"/>
          <w:numId w:val="20"/>
        </w:numPr>
        <w:bidi w:val="0"/>
        <w:jc w:val="lowKashida"/>
      </w:pPr>
      <w:r w:rsidRPr="0058627D">
        <w:t>Presentation of survey meaning and goals;</w:t>
      </w:r>
    </w:p>
    <w:p w:rsidR="004402A6" w:rsidRPr="0058627D" w:rsidRDefault="004402A6" w:rsidP="004402A6">
      <w:pPr>
        <w:numPr>
          <w:ilvl w:val="0"/>
          <w:numId w:val="20"/>
        </w:numPr>
        <w:bidi w:val="0"/>
        <w:jc w:val="lowKashida"/>
      </w:pPr>
      <w:r w:rsidRPr="0058627D">
        <w:t>Definition of terms used in the questionnaire;</w:t>
      </w:r>
    </w:p>
    <w:p w:rsidR="004402A6" w:rsidRPr="0058627D" w:rsidRDefault="004402A6" w:rsidP="004402A6">
      <w:pPr>
        <w:numPr>
          <w:ilvl w:val="0"/>
          <w:numId w:val="20"/>
        </w:numPr>
        <w:bidi w:val="0"/>
        <w:jc w:val="lowKashida"/>
        <w:rPr>
          <w:rtl/>
        </w:rPr>
      </w:pPr>
      <w:r w:rsidRPr="0058627D">
        <w:t>Questionnaire filling mechanism.</w:t>
      </w:r>
    </w:p>
    <w:p w:rsidR="004402A6" w:rsidRPr="0058627D" w:rsidRDefault="004402A6" w:rsidP="004402A6">
      <w:pPr>
        <w:jc w:val="lowKashida"/>
        <w:rPr>
          <w:b/>
          <w:bCs/>
          <w:rtl/>
        </w:rPr>
      </w:pPr>
    </w:p>
    <w:p w:rsidR="004402A6" w:rsidRPr="0058627D" w:rsidRDefault="00D60422" w:rsidP="004402A6">
      <w:pPr>
        <w:bidi w:val="0"/>
        <w:jc w:val="lowKashida"/>
        <w:rPr>
          <w:b/>
          <w:bCs/>
        </w:rPr>
      </w:pPr>
      <w:r>
        <w:rPr>
          <w:b/>
          <w:bCs/>
        </w:rPr>
        <w:t xml:space="preserve">2.4.2 </w:t>
      </w:r>
      <w:r w:rsidR="004402A6" w:rsidRPr="0058627D">
        <w:rPr>
          <w:b/>
          <w:bCs/>
        </w:rPr>
        <w:t>Time Reference</w:t>
      </w:r>
    </w:p>
    <w:p w:rsidR="004402A6" w:rsidRPr="0058627D" w:rsidRDefault="004402A6" w:rsidP="004402A6">
      <w:pPr>
        <w:bidi w:val="0"/>
        <w:jc w:val="lowKashida"/>
        <w:rPr>
          <w:rtl/>
        </w:rPr>
      </w:pPr>
      <w:r w:rsidRPr="0058627D">
        <w:t>The time reference varied with the nature of question; some questions had for instance a week time reference while others addressed last month. Some questions had a time reference of one year and six months.</w:t>
      </w:r>
    </w:p>
    <w:p w:rsidR="004402A6" w:rsidRPr="0058627D" w:rsidRDefault="004402A6" w:rsidP="004402A6">
      <w:pPr>
        <w:ind w:left="-1"/>
        <w:jc w:val="lowKashida"/>
        <w:rPr>
          <w:rtl/>
        </w:rPr>
      </w:pPr>
    </w:p>
    <w:p w:rsidR="004402A6" w:rsidRPr="0058627D" w:rsidRDefault="002C34DD" w:rsidP="002C34DD">
      <w:pPr>
        <w:bidi w:val="0"/>
        <w:jc w:val="lowKashida"/>
        <w:rPr>
          <w:b/>
          <w:bCs/>
          <w:rtl/>
        </w:rPr>
      </w:pPr>
      <w:r>
        <w:rPr>
          <w:b/>
          <w:bCs/>
        </w:rPr>
        <w:t xml:space="preserve">2.4.3 </w:t>
      </w:r>
      <w:r w:rsidR="00EE7282">
        <w:rPr>
          <w:b/>
          <w:bCs/>
        </w:rPr>
        <w:t>Field Operations</w:t>
      </w:r>
    </w:p>
    <w:p w:rsidR="004402A6" w:rsidRPr="0058627D" w:rsidRDefault="004402A6" w:rsidP="004402A6">
      <w:pPr>
        <w:bidi w:val="0"/>
        <w:jc w:val="lowKashida"/>
        <w:rPr>
          <w:rtl/>
        </w:rPr>
      </w:pPr>
      <w:r w:rsidRPr="0058627D">
        <w:t>Training on the survey began on Saturday 21 March 2015 and ended on 26 March 2015. The total number of trainees in the West Bank was 77 and in the Gaza Strip 52. Some trainees withdrew during the training and were replaced by other participants. The final number of trainees was 73 of originally 77 in the West Bank and 50 of 52 in the Gaza Strip.</w:t>
      </w:r>
    </w:p>
    <w:p w:rsidR="004402A6" w:rsidRPr="0058627D" w:rsidRDefault="004402A6" w:rsidP="004402A6">
      <w:pPr>
        <w:pStyle w:val="BodyText"/>
        <w:rPr>
          <w:rFonts w:cs="Times New Roman"/>
          <w:szCs w:val="24"/>
        </w:rPr>
      </w:pPr>
    </w:p>
    <w:p w:rsidR="004402A6" w:rsidRPr="0058627D" w:rsidRDefault="004402A6" w:rsidP="004402A6">
      <w:pPr>
        <w:pStyle w:val="BodyText"/>
        <w:bidi w:val="0"/>
        <w:jc w:val="center"/>
        <w:rPr>
          <w:rFonts w:cs="Times New Roman"/>
          <w:b/>
          <w:bCs/>
          <w:szCs w:val="24"/>
          <w:rtl/>
        </w:rPr>
      </w:pPr>
      <w:r w:rsidRPr="0058627D">
        <w:rPr>
          <w:rFonts w:cs="Times New Roman"/>
          <w:b/>
          <w:bCs/>
          <w:szCs w:val="24"/>
        </w:rPr>
        <w:t>The final number of workers on the survey (117) divided as follows: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6"/>
        <w:gridCol w:w="3801"/>
      </w:tblGrid>
      <w:tr w:rsidR="004402A6" w:rsidRPr="0058627D" w:rsidTr="00EE7282">
        <w:tc>
          <w:tcPr>
            <w:tcW w:w="4846" w:type="dxa"/>
            <w:shd w:val="clear" w:color="auto" w:fill="auto"/>
          </w:tcPr>
          <w:p w:rsidR="004402A6" w:rsidRPr="0058627D" w:rsidRDefault="004402A6" w:rsidP="00EE7282">
            <w:pPr>
              <w:bidi w:val="0"/>
              <w:jc w:val="center"/>
              <w:rPr>
                <w:b/>
                <w:bCs/>
                <w:lang w:eastAsia="en-US"/>
              </w:rPr>
            </w:pPr>
            <w:r w:rsidRPr="0058627D">
              <w:rPr>
                <w:b/>
                <w:bCs/>
                <w:lang w:eastAsia="en-US"/>
              </w:rPr>
              <w:t>Title</w:t>
            </w:r>
          </w:p>
        </w:tc>
        <w:tc>
          <w:tcPr>
            <w:tcW w:w="3801" w:type="dxa"/>
            <w:shd w:val="clear" w:color="auto" w:fill="auto"/>
          </w:tcPr>
          <w:p w:rsidR="004402A6" w:rsidRPr="0058627D" w:rsidRDefault="004402A6" w:rsidP="00EE7282">
            <w:pPr>
              <w:bidi w:val="0"/>
              <w:jc w:val="center"/>
              <w:rPr>
                <w:b/>
                <w:bCs/>
                <w:lang w:eastAsia="en-US"/>
              </w:rPr>
            </w:pPr>
            <w:r w:rsidRPr="0058627D">
              <w:rPr>
                <w:b/>
                <w:bCs/>
                <w:lang w:eastAsia="en-US"/>
              </w:rPr>
              <w:t>Number</w:t>
            </w:r>
          </w:p>
        </w:tc>
      </w:tr>
      <w:tr w:rsidR="004402A6" w:rsidRPr="0058627D" w:rsidTr="00EE7282">
        <w:tc>
          <w:tcPr>
            <w:tcW w:w="4846" w:type="dxa"/>
            <w:shd w:val="clear" w:color="auto" w:fill="auto"/>
          </w:tcPr>
          <w:p w:rsidR="004402A6" w:rsidRPr="0058627D" w:rsidRDefault="004402A6" w:rsidP="00434A42">
            <w:pPr>
              <w:bidi w:val="0"/>
              <w:jc w:val="lowKashida"/>
              <w:rPr>
                <w:lang w:eastAsia="en-US"/>
              </w:rPr>
            </w:pPr>
            <w:r w:rsidRPr="0058627D">
              <w:rPr>
                <w:lang w:eastAsia="en-US"/>
              </w:rPr>
              <w:t>Field supervisor</w:t>
            </w:r>
          </w:p>
        </w:tc>
        <w:tc>
          <w:tcPr>
            <w:tcW w:w="3801" w:type="dxa"/>
            <w:shd w:val="clear" w:color="auto" w:fill="auto"/>
          </w:tcPr>
          <w:p w:rsidR="004402A6" w:rsidRPr="0058627D" w:rsidRDefault="004402A6" w:rsidP="00434A42">
            <w:pPr>
              <w:bidi w:val="0"/>
              <w:jc w:val="lowKashida"/>
              <w:rPr>
                <w:lang w:eastAsia="en-US"/>
              </w:rPr>
            </w:pPr>
            <w:r w:rsidRPr="0058627D">
              <w:rPr>
                <w:lang w:eastAsia="en-US"/>
              </w:rPr>
              <w:t>22</w:t>
            </w:r>
          </w:p>
        </w:tc>
      </w:tr>
      <w:tr w:rsidR="004402A6" w:rsidRPr="0058627D" w:rsidTr="00EE7282">
        <w:tc>
          <w:tcPr>
            <w:tcW w:w="4846" w:type="dxa"/>
            <w:shd w:val="clear" w:color="auto" w:fill="auto"/>
          </w:tcPr>
          <w:p w:rsidR="004402A6" w:rsidRPr="0058627D" w:rsidRDefault="004402A6" w:rsidP="00434A42">
            <w:pPr>
              <w:bidi w:val="0"/>
              <w:jc w:val="lowKashida"/>
              <w:rPr>
                <w:lang w:eastAsia="en-US"/>
              </w:rPr>
            </w:pPr>
            <w:r w:rsidRPr="0058627D">
              <w:rPr>
                <w:lang w:eastAsia="en-US"/>
              </w:rPr>
              <w:t>Field researcher</w:t>
            </w:r>
          </w:p>
        </w:tc>
        <w:tc>
          <w:tcPr>
            <w:tcW w:w="3801" w:type="dxa"/>
            <w:shd w:val="clear" w:color="auto" w:fill="auto"/>
          </w:tcPr>
          <w:p w:rsidR="004402A6" w:rsidRPr="0058627D" w:rsidRDefault="004402A6" w:rsidP="00434A42">
            <w:pPr>
              <w:bidi w:val="0"/>
              <w:jc w:val="lowKashida"/>
              <w:rPr>
                <w:lang w:eastAsia="en-US"/>
              </w:rPr>
            </w:pPr>
            <w:r w:rsidRPr="0058627D">
              <w:rPr>
                <w:lang w:eastAsia="en-US"/>
              </w:rPr>
              <w:t>95</w:t>
            </w:r>
          </w:p>
        </w:tc>
      </w:tr>
    </w:tbl>
    <w:p w:rsidR="004402A6" w:rsidRPr="0058627D" w:rsidRDefault="004402A6" w:rsidP="004402A6">
      <w:pPr>
        <w:bidi w:val="0"/>
        <w:jc w:val="lowKashida"/>
        <w:rPr>
          <w:b/>
          <w:bCs/>
          <w:rtl/>
          <w:lang w:eastAsia="en-US"/>
        </w:rPr>
      </w:pPr>
    </w:p>
    <w:p w:rsidR="004402A6" w:rsidRPr="0058627D" w:rsidRDefault="004402A6" w:rsidP="004402A6">
      <w:pPr>
        <w:bidi w:val="0"/>
        <w:jc w:val="lowKashida"/>
        <w:rPr>
          <w:b/>
          <w:bCs/>
          <w:rtl/>
          <w:lang w:eastAsia="en-US"/>
        </w:rPr>
      </w:pPr>
      <w:r w:rsidRPr="0058627D">
        <w:rPr>
          <w:b/>
          <w:bCs/>
          <w:lang w:eastAsia="en-US"/>
        </w:rPr>
        <w:t>Selection of Team:</w:t>
      </w:r>
    </w:p>
    <w:p w:rsidR="004402A6" w:rsidRPr="0058627D" w:rsidRDefault="004402A6" w:rsidP="004402A6">
      <w:pPr>
        <w:bidi w:val="0"/>
        <w:jc w:val="lowKashida"/>
        <w:rPr>
          <w:rtl/>
          <w:lang w:eastAsia="en-US"/>
        </w:rPr>
      </w:pPr>
      <w:r w:rsidRPr="0058627D">
        <w:rPr>
          <w:lang w:eastAsia="en-US"/>
        </w:rPr>
        <w:t>The field team was structured to concord to the size of sample and data collection mechanism. Data was collected in the governorates of the West Bank and the Gaza Strip using Tablets. In Jerusalem (J1), data was collected on paper. Team members’ qualifications included BA and intermediate diploma in all field of specializations, provided that 70% of them be from former researchers and 30% new ones. All field team members were females.</w:t>
      </w:r>
    </w:p>
    <w:p w:rsidR="004402A6" w:rsidRDefault="004402A6" w:rsidP="004402A6">
      <w:pPr>
        <w:jc w:val="lowKashida"/>
        <w:rPr>
          <w:b/>
          <w:bCs/>
          <w:rtl/>
          <w:lang w:eastAsia="en-US"/>
        </w:rPr>
      </w:pPr>
    </w:p>
    <w:p w:rsidR="002C34DD" w:rsidRDefault="002C34DD" w:rsidP="004402A6">
      <w:pPr>
        <w:jc w:val="lowKashida"/>
        <w:rPr>
          <w:b/>
          <w:bCs/>
          <w:lang w:eastAsia="en-US"/>
        </w:rPr>
      </w:pPr>
    </w:p>
    <w:p w:rsidR="005D3197" w:rsidRPr="0058627D" w:rsidRDefault="005D3197" w:rsidP="004402A6">
      <w:pPr>
        <w:jc w:val="lowKashida"/>
        <w:rPr>
          <w:b/>
          <w:bCs/>
          <w:rtl/>
          <w:lang w:eastAsia="en-US"/>
        </w:rPr>
      </w:pPr>
    </w:p>
    <w:p w:rsidR="004402A6" w:rsidRPr="0058627D" w:rsidRDefault="004402A6" w:rsidP="004402A6">
      <w:pPr>
        <w:bidi w:val="0"/>
        <w:jc w:val="lowKashida"/>
        <w:rPr>
          <w:b/>
          <w:bCs/>
          <w:rtl/>
          <w:lang w:eastAsia="en-US"/>
        </w:rPr>
      </w:pPr>
      <w:r w:rsidRPr="0058627D">
        <w:rPr>
          <w:b/>
          <w:bCs/>
          <w:lang w:eastAsia="en-US"/>
        </w:rPr>
        <w:lastRenderedPageBreak/>
        <w:t>Pre-testing:</w:t>
      </w:r>
    </w:p>
    <w:p w:rsidR="004402A6" w:rsidRPr="0058627D" w:rsidRDefault="004402A6" w:rsidP="00873305">
      <w:pPr>
        <w:bidi w:val="0"/>
        <w:jc w:val="both"/>
        <w:rPr>
          <w:rtl/>
          <w:lang w:eastAsia="en-US"/>
        </w:rPr>
      </w:pPr>
      <w:r w:rsidRPr="0058627D">
        <w:rPr>
          <w:lang w:eastAsia="en-US"/>
        </w:rPr>
        <w:t>The pretesting was conducted in the Gaza Strip on 1 March 2015, distributed over three communities (</w:t>
      </w:r>
      <w:proofErr w:type="spellStart"/>
      <w:r w:rsidRPr="0058627D">
        <w:rPr>
          <w:lang w:eastAsia="en-US"/>
        </w:rPr>
        <w:t>Beit</w:t>
      </w:r>
      <w:proofErr w:type="spellEnd"/>
      <w:r w:rsidRPr="0058627D">
        <w:rPr>
          <w:lang w:eastAsia="en-US"/>
        </w:rPr>
        <w:t xml:space="preserve"> </w:t>
      </w:r>
      <w:proofErr w:type="spellStart"/>
      <w:r w:rsidRPr="0058627D">
        <w:rPr>
          <w:lang w:eastAsia="en-US"/>
        </w:rPr>
        <w:t>Hanoun</w:t>
      </w:r>
      <w:proofErr w:type="spellEnd"/>
      <w:r w:rsidRPr="0058627D">
        <w:rPr>
          <w:lang w:eastAsia="en-US"/>
        </w:rPr>
        <w:t xml:space="preserve"> with 37 enumeration areas, where 9 questionnaires were filled; Gaza City community with 300 enumeration areas, where 8 questionnaires were filled; and </w:t>
      </w:r>
      <w:proofErr w:type="spellStart"/>
      <w:r w:rsidRPr="0058627D">
        <w:rPr>
          <w:lang w:eastAsia="en-US"/>
        </w:rPr>
        <w:t>Abassan</w:t>
      </w:r>
      <w:proofErr w:type="spellEnd"/>
      <w:r w:rsidRPr="0058627D">
        <w:rPr>
          <w:lang w:eastAsia="en-US"/>
        </w:rPr>
        <w:t xml:space="preserve"> </w:t>
      </w:r>
      <w:proofErr w:type="spellStart"/>
      <w:r w:rsidRPr="0058627D">
        <w:rPr>
          <w:lang w:eastAsia="en-US"/>
        </w:rPr>
        <w:t>Alkabeera</w:t>
      </w:r>
      <w:proofErr w:type="spellEnd"/>
      <w:r w:rsidRPr="0058627D">
        <w:rPr>
          <w:lang w:eastAsia="en-US"/>
        </w:rPr>
        <w:t xml:space="preserve"> with 8 enumeration zones, where 8 questionnaires were filled. The number of researchers in the pretesting were 7. The pretesting took two days during which data was collected using tablets.</w:t>
      </w:r>
    </w:p>
    <w:p w:rsidR="004402A6" w:rsidRPr="0058627D" w:rsidRDefault="004402A6" w:rsidP="004402A6">
      <w:pPr>
        <w:jc w:val="lowKashida"/>
        <w:rPr>
          <w:b/>
          <w:bCs/>
          <w:rtl/>
          <w:lang w:eastAsia="en-US"/>
        </w:rPr>
      </w:pPr>
    </w:p>
    <w:p w:rsidR="004402A6" w:rsidRPr="0058627D" w:rsidRDefault="004402A6" w:rsidP="004402A6">
      <w:pPr>
        <w:bidi w:val="0"/>
        <w:jc w:val="lowKashida"/>
        <w:rPr>
          <w:b/>
          <w:bCs/>
          <w:lang w:eastAsia="en-US"/>
        </w:rPr>
      </w:pPr>
      <w:r w:rsidRPr="0058627D">
        <w:rPr>
          <w:b/>
          <w:bCs/>
          <w:lang w:eastAsia="en-US"/>
        </w:rPr>
        <w:t>Data Collection Period:</w:t>
      </w:r>
    </w:p>
    <w:p w:rsidR="004402A6" w:rsidRPr="0058627D" w:rsidRDefault="004402A6" w:rsidP="00873305">
      <w:pPr>
        <w:bidi w:val="0"/>
        <w:jc w:val="both"/>
        <w:rPr>
          <w:rtl/>
          <w:lang w:eastAsia="en-US"/>
        </w:rPr>
      </w:pPr>
      <w:r w:rsidRPr="0058627D">
        <w:rPr>
          <w:lang w:eastAsia="en-US"/>
        </w:rPr>
        <w:t>Data collection began on Monday 30 March 2015 in the Gaza Strip and on 4 April 2015 West Bank Governorates. It was completed in the West Bank, except Jerusalem J1, on 26 May 2015, completing 42 workdays. Work in the Gaza Strip Governorates was completed on 24 May 2015, completing 44 workdays. It was completed in Jerusalem (J1) on 7 June 2015, counting 51 workdays. Data entry of Jerusalem questionnaires on tablets was completed by Ramallah team on 10 June 2015.</w:t>
      </w:r>
    </w:p>
    <w:p w:rsidR="004402A6" w:rsidRPr="0058627D" w:rsidRDefault="004402A6" w:rsidP="00873305">
      <w:pPr>
        <w:bidi w:val="0"/>
        <w:jc w:val="both"/>
        <w:rPr>
          <w:lang w:eastAsia="en-US"/>
        </w:rPr>
      </w:pPr>
    </w:p>
    <w:p w:rsidR="004402A6" w:rsidRPr="0058627D" w:rsidRDefault="004402A6" w:rsidP="00873305">
      <w:pPr>
        <w:bidi w:val="0"/>
        <w:jc w:val="both"/>
        <w:rPr>
          <w:lang w:eastAsia="en-US"/>
        </w:rPr>
      </w:pPr>
      <w:r w:rsidRPr="0058627D">
        <w:rPr>
          <w:lang w:eastAsia="en-US"/>
        </w:rPr>
        <w:t>Based on recommendations of the technical committee to employ all trainees from the training period, including the reserve members who fulfill the terms of recruitment of PCBS provided that they obtain an assessment of 70 and above. All trainees, except for one, were appointed in the Gaza Strip and another one in the Wet Bank because they did not fulfill the terms of recruitment. The team of the West Bank was 72 members including 60 researchers and 12 supervisors. On the second day, a researcher quit leaving the final number at 59 researchers. The Gaza Strip team comprised 49 members, including 39 researchers and 10 supervisors.</w:t>
      </w:r>
    </w:p>
    <w:p w:rsidR="004402A6" w:rsidRPr="0058627D" w:rsidRDefault="004402A6" w:rsidP="00873305">
      <w:pPr>
        <w:jc w:val="both"/>
        <w:rPr>
          <w:rtl/>
          <w:lang w:eastAsia="en-US"/>
        </w:rPr>
      </w:pPr>
    </w:p>
    <w:p w:rsidR="004402A6" w:rsidRPr="0058627D" w:rsidRDefault="004402A6" w:rsidP="00873305">
      <w:pPr>
        <w:bidi w:val="0"/>
        <w:jc w:val="both"/>
        <w:rPr>
          <w:lang w:eastAsia="en-US"/>
        </w:rPr>
      </w:pPr>
      <w:r w:rsidRPr="0058627D">
        <w:rPr>
          <w:lang w:eastAsia="en-US"/>
        </w:rPr>
        <w:t>To complete the sample, data was collected in four phases:</w:t>
      </w:r>
    </w:p>
    <w:p w:rsidR="004402A6" w:rsidRPr="0058627D" w:rsidRDefault="004402A6" w:rsidP="00873305">
      <w:pPr>
        <w:numPr>
          <w:ilvl w:val="0"/>
          <w:numId w:val="21"/>
        </w:numPr>
        <w:bidi w:val="0"/>
        <w:jc w:val="both"/>
        <w:rPr>
          <w:lang w:eastAsia="en-US"/>
        </w:rPr>
      </w:pPr>
      <w:r w:rsidRPr="0058627D">
        <w:rPr>
          <w:lang w:eastAsia="en-US"/>
        </w:rPr>
        <w:t>Completing the households’ questionnaire for the original sample (last year’s sample)</w:t>
      </w:r>
    </w:p>
    <w:p w:rsidR="004402A6" w:rsidRPr="0058627D" w:rsidRDefault="004402A6" w:rsidP="00873305">
      <w:pPr>
        <w:numPr>
          <w:ilvl w:val="0"/>
          <w:numId w:val="21"/>
        </w:numPr>
        <w:bidi w:val="0"/>
        <w:jc w:val="both"/>
        <w:rPr>
          <w:lang w:eastAsia="en-US"/>
        </w:rPr>
      </w:pPr>
      <w:r w:rsidRPr="0058627D">
        <w:rPr>
          <w:lang w:eastAsia="en-US"/>
        </w:rPr>
        <w:t>Completing the questionnaire for the additional sample visited for the first time.</w:t>
      </w:r>
    </w:p>
    <w:p w:rsidR="004402A6" w:rsidRPr="0058627D" w:rsidRDefault="004402A6" w:rsidP="00873305">
      <w:pPr>
        <w:numPr>
          <w:ilvl w:val="0"/>
          <w:numId w:val="21"/>
        </w:numPr>
        <w:bidi w:val="0"/>
        <w:jc w:val="both"/>
        <w:rPr>
          <w:lang w:eastAsia="en-US"/>
        </w:rPr>
      </w:pPr>
      <w:r w:rsidRPr="0058627D">
        <w:rPr>
          <w:lang w:eastAsia="en-US"/>
        </w:rPr>
        <w:t xml:space="preserve">Completing the questionnaire for the households that moved; they were tracked to their new residence wither inside or outside the enumeration area or outside the community. Some households were tracked in other governorates. </w:t>
      </w:r>
    </w:p>
    <w:p w:rsidR="004402A6" w:rsidRPr="0058627D" w:rsidRDefault="004402A6" w:rsidP="00873305">
      <w:pPr>
        <w:numPr>
          <w:ilvl w:val="0"/>
          <w:numId w:val="21"/>
        </w:numPr>
        <w:bidi w:val="0"/>
        <w:jc w:val="both"/>
        <w:rPr>
          <w:lang w:eastAsia="en-US"/>
        </w:rPr>
      </w:pPr>
      <w:r w:rsidRPr="0058627D">
        <w:rPr>
          <w:lang w:eastAsia="en-US"/>
        </w:rPr>
        <w:t>Completing the questionnaire of individuals and households separated from the original sample and tracking them whether in the same enumeration area or outside such area or within the same community or governorate or in another community or governorate.</w:t>
      </w:r>
    </w:p>
    <w:p w:rsidR="004402A6" w:rsidRPr="0058627D" w:rsidRDefault="004402A6" w:rsidP="00873305">
      <w:pPr>
        <w:bidi w:val="0"/>
        <w:jc w:val="both"/>
        <w:rPr>
          <w:lang w:eastAsia="en-US"/>
        </w:rPr>
      </w:pPr>
      <w:r w:rsidRPr="0058627D">
        <w:rPr>
          <w:lang w:eastAsia="en-US"/>
        </w:rPr>
        <w:t xml:space="preserve">During data collection phase, field visits included some governorates by survey management team and members of the technical committee. </w:t>
      </w:r>
    </w:p>
    <w:p w:rsidR="004402A6" w:rsidRPr="0058627D" w:rsidRDefault="004402A6" w:rsidP="004402A6">
      <w:pPr>
        <w:bidi w:val="0"/>
        <w:jc w:val="highKashida"/>
        <w:rPr>
          <w:rtl/>
          <w:lang w:eastAsia="en-US"/>
        </w:rPr>
      </w:pPr>
    </w:p>
    <w:p w:rsidR="004402A6" w:rsidRPr="0058627D" w:rsidRDefault="004402A6" w:rsidP="004402A6">
      <w:pPr>
        <w:bidi w:val="0"/>
        <w:jc w:val="lowKashida"/>
        <w:rPr>
          <w:b/>
          <w:bCs/>
          <w:rtl/>
          <w:lang w:eastAsia="en-US"/>
        </w:rPr>
      </w:pPr>
      <w:r w:rsidRPr="0058627D">
        <w:rPr>
          <w:b/>
          <w:bCs/>
          <w:lang w:eastAsia="en-US"/>
        </w:rPr>
        <w:t>Progress Rate:</w:t>
      </w:r>
    </w:p>
    <w:p w:rsidR="004402A6" w:rsidRPr="0058627D" w:rsidRDefault="004402A6" w:rsidP="00873305">
      <w:pPr>
        <w:bidi w:val="0"/>
        <w:jc w:val="both"/>
        <w:rPr>
          <w:rtl/>
          <w:lang w:eastAsia="en-US"/>
        </w:rPr>
      </w:pPr>
      <w:r w:rsidRPr="0058627D">
        <w:rPr>
          <w:lang w:eastAsia="en-US"/>
        </w:rPr>
        <w:t>Progress rates in the governorates of the West Bank were 2.5 to 3 questionnaire per researcher. In the Gaza Strip, it was 2 – 2.2 questionnaire per researcher because the Gaza questionnaire included questions on the impact of the aggression on the Gaza Strip in a special survey annex that was not added to the socioeconomic survey questionnaire in the West Bank.</w:t>
      </w:r>
    </w:p>
    <w:p w:rsidR="004402A6" w:rsidRPr="0058627D" w:rsidRDefault="004402A6" w:rsidP="004402A6">
      <w:pPr>
        <w:jc w:val="lowKashida"/>
        <w:rPr>
          <w:b/>
          <w:bCs/>
          <w:rtl/>
          <w:lang w:eastAsia="en-US"/>
        </w:rPr>
      </w:pPr>
    </w:p>
    <w:p w:rsidR="004402A6" w:rsidRPr="0058627D" w:rsidRDefault="004402A6" w:rsidP="004402A6">
      <w:pPr>
        <w:bidi w:val="0"/>
        <w:jc w:val="lowKashida"/>
        <w:rPr>
          <w:b/>
          <w:bCs/>
          <w:rtl/>
          <w:lang w:eastAsia="en-US"/>
        </w:rPr>
      </w:pPr>
      <w:r w:rsidRPr="0058627D">
        <w:rPr>
          <w:b/>
          <w:bCs/>
          <w:lang w:eastAsia="en-US"/>
        </w:rPr>
        <w:t>Field difficulties and problems:</w:t>
      </w:r>
    </w:p>
    <w:p w:rsidR="004402A6" w:rsidRPr="0058627D" w:rsidRDefault="004402A6" w:rsidP="00873305">
      <w:pPr>
        <w:numPr>
          <w:ilvl w:val="0"/>
          <w:numId w:val="12"/>
        </w:numPr>
        <w:bidi w:val="0"/>
        <w:jc w:val="both"/>
        <w:rPr>
          <w:lang w:eastAsia="en-US"/>
        </w:rPr>
      </w:pPr>
      <w:r w:rsidRPr="0058627D">
        <w:rPr>
          <w:lang w:eastAsia="en-US"/>
        </w:rPr>
        <w:t>Some maps of enumerations areas did not contain numbers, which made it difficult to reach the number of not-numbered buildings.</w:t>
      </w:r>
    </w:p>
    <w:p w:rsidR="004402A6" w:rsidRPr="0058627D" w:rsidRDefault="004402A6" w:rsidP="00873305">
      <w:pPr>
        <w:numPr>
          <w:ilvl w:val="0"/>
          <w:numId w:val="12"/>
        </w:numPr>
        <w:bidi w:val="0"/>
        <w:jc w:val="both"/>
        <w:rPr>
          <w:lang w:eastAsia="en-US"/>
        </w:rPr>
      </w:pPr>
      <w:r w:rsidRPr="0058627D">
        <w:rPr>
          <w:lang w:eastAsia="en-US"/>
        </w:rPr>
        <w:t>Some enumeration areas maps of the additional sample were not conform to reality.</w:t>
      </w:r>
    </w:p>
    <w:p w:rsidR="004402A6" w:rsidRPr="0058627D" w:rsidRDefault="004402A6" w:rsidP="00873305">
      <w:pPr>
        <w:numPr>
          <w:ilvl w:val="0"/>
          <w:numId w:val="12"/>
        </w:numPr>
        <w:bidi w:val="0"/>
        <w:jc w:val="both"/>
        <w:rPr>
          <w:lang w:eastAsia="en-US"/>
        </w:rPr>
      </w:pPr>
      <w:r w:rsidRPr="0058627D">
        <w:rPr>
          <w:lang w:eastAsia="en-US"/>
        </w:rPr>
        <w:lastRenderedPageBreak/>
        <w:t>Some families affected by the last aggression on the Gaza Strip because of damage to their residences moved to a different enumeration area. They had to be tracked to their new place of residence, which was difficult since the addresses were not clear and some phone numbers of head or members of the household were either incorrect or out of service.</w:t>
      </w:r>
    </w:p>
    <w:p w:rsidR="004402A6" w:rsidRPr="0058627D" w:rsidRDefault="004402A6" w:rsidP="00873305">
      <w:pPr>
        <w:pStyle w:val="ListParagraph"/>
        <w:numPr>
          <w:ilvl w:val="0"/>
          <w:numId w:val="12"/>
        </w:numPr>
        <w:bidi w:val="0"/>
        <w:contextualSpacing/>
        <w:jc w:val="both"/>
      </w:pPr>
      <w:r w:rsidRPr="0058627D">
        <w:t>Some households who moved to different areas were surprised and shocked that they were tracked into their new area of residence, especially households whose places of residency were shelled. This required a lot of effort to calm them down.</w:t>
      </w:r>
    </w:p>
    <w:p w:rsidR="004402A6" w:rsidRPr="0058627D" w:rsidRDefault="004402A6" w:rsidP="00873305">
      <w:pPr>
        <w:pStyle w:val="ListParagraph"/>
        <w:numPr>
          <w:ilvl w:val="0"/>
          <w:numId w:val="12"/>
        </w:numPr>
        <w:bidi w:val="0"/>
        <w:contextualSpacing/>
        <w:jc w:val="both"/>
      </w:pPr>
      <w:r w:rsidRPr="0058627D">
        <w:t xml:space="preserve">A number of households (entirely or partly) were killed. This made it difficult to deal with the families in such harsh psychological conditions. </w:t>
      </w:r>
    </w:p>
    <w:p w:rsidR="004402A6" w:rsidRPr="0058627D" w:rsidRDefault="004402A6" w:rsidP="00873305">
      <w:pPr>
        <w:pStyle w:val="ListParagraph"/>
        <w:numPr>
          <w:ilvl w:val="0"/>
          <w:numId w:val="12"/>
        </w:numPr>
        <w:bidi w:val="0"/>
        <w:contextualSpacing/>
        <w:jc w:val="both"/>
      </w:pPr>
      <w:r w:rsidRPr="0058627D">
        <w:t>In the original sample, there were cases for which no information was available and it was difficult to interview them. Private phone numbers or informants were contact to access them and some still remained inaccessible.</w:t>
      </w:r>
    </w:p>
    <w:p w:rsidR="004402A6" w:rsidRPr="0058627D" w:rsidRDefault="004402A6" w:rsidP="00873305">
      <w:pPr>
        <w:numPr>
          <w:ilvl w:val="0"/>
          <w:numId w:val="12"/>
        </w:numPr>
        <w:bidi w:val="0"/>
        <w:jc w:val="both"/>
        <w:rPr>
          <w:lang w:eastAsia="en-US"/>
        </w:rPr>
      </w:pPr>
      <w:r w:rsidRPr="0058627D">
        <w:t>Some households complained of the length of the questionnaire and that it needed a lot of time to be completed.</w:t>
      </w:r>
    </w:p>
    <w:p w:rsidR="004402A6" w:rsidRPr="0058627D" w:rsidRDefault="004402A6" w:rsidP="00873305">
      <w:pPr>
        <w:numPr>
          <w:ilvl w:val="0"/>
          <w:numId w:val="12"/>
        </w:numPr>
        <w:bidi w:val="0"/>
        <w:jc w:val="both"/>
        <w:rPr>
          <w:lang w:eastAsia="en-US"/>
        </w:rPr>
      </w:pPr>
      <w:r w:rsidRPr="0058627D">
        <w:t>Some households complained about the type of questions, which they considered private family matters like assistance, spending and income.</w:t>
      </w:r>
    </w:p>
    <w:p w:rsidR="004402A6" w:rsidRPr="0058627D" w:rsidRDefault="004402A6" w:rsidP="00873305">
      <w:pPr>
        <w:numPr>
          <w:ilvl w:val="0"/>
          <w:numId w:val="12"/>
        </w:numPr>
        <w:bidi w:val="0"/>
        <w:jc w:val="both"/>
        <w:rPr>
          <w:lang w:eastAsia="en-US"/>
        </w:rPr>
      </w:pPr>
      <w:r w:rsidRPr="0058627D">
        <w:t>Some households have employed members and required several visits to complete the whole questionnaire or scheduling visits on Saturdays or after work hours.</w:t>
      </w:r>
    </w:p>
    <w:p w:rsidR="004402A6" w:rsidRPr="0058627D" w:rsidRDefault="004402A6" w:rsidP="00873305">
      <w:pPr>
        <w:pStyle w:val="ListParagraph"/>
        <w:numPr>
          <w:ilvl w:val="0"/>
          <w:numId w:val="12"/>
        </w:numPr>
        <w:bidi w:val="0"/>
        <w:contextualSpacing/>
        <w:jc w:val="both"/>
      </w:pPr>
      <w:r w:rsidRPr="0058627D">
        <w:t>It was difficult to meet the member randomly selected to complete the individuals’ questionnaire, especially male members. This required coordinating visits tailored to their conditions.</w:t>
      </w:r>
    </w:p>
    <w:p w:rsidR="004402A6" w:rsidRPr="0058627D" w:rsidRDefault="004402A6" w:rsidP="00873305">
      <w:pPr>
        <w:pStyle w:val="ListParagraph"/>
        <w:numPr>
          <w:ilvl w:val="0"/>
          <w:numId w:val="12"/>
        </w:numPr>
        <w:bidi w:val="0"/>
        <w:contextualSpacing/>
        <w:jc w:val="both"/>
      </w:pPr>
      <w:r w:rsidRPr="0058627D">
        <w:t>For follow up of members separated from their households, many problems emerged. Some of such members, mainly females who married and moved to new families or areas, refused to cooperate with researchers because of certain reservations. Their original households refused to give their numbers or addresses to the researcher.</w:t>
      </w:r>
    </w:p>
    <w:p w:rsidR="004402A6" w:rsidRPr="0058627D" w:rsidRDefault="004402A6" w:rsidP="00873305">
      <w:pPr>
        <w:pStyle w:val="ListParagraph"/>
        <w:numPr>
          <w:ilvl w:val="0"/>
          <w:numId w:val="12"/>
        </w:numPr>
        <w:bidi w:val="0"/>
        <w:contextualSpacing/>
        <w:jc w:val="both"/>
      </w:pPr>
      <w:r w:rsidRPr="0058627D">
        <w:t>Buildings and housing units numbers to access families were not clear since the enumeration areas for this survey are the same used in 2007 and not the ones updated for later surveys.</w:t>
      </w:r>
    </w:p>
    <w:p w:rsidR="004402A6" w:rsidRPr="0058627D" w:rsidRDefault="004402A6" w:rsidP="00873305">
      <w:pPr>
        <w:pStyle w:val="ListParagraph"/>
        <w:numPr>
          <w:ilvl w:val="0"/>
          <w:numId w:val="12"/>
        </w:numPr>
        <w:bidi w:val="0"/>
        <w:contextualSpacing/>
        <w:jc w:val="both"/>
      </w:pPr>
      <w:r w:rsidRPr="0058627D">
        <w:t>During the training for use of tablets, some researchers had technical difficulties and fear for using this device for the first time. They were not familiar with smart devices, but after training this became easy for them.</w:t>
      </w:r>
    </w:p>
    <w:p w:rsidR="004402A6" w:rsidRPr="0058627D" w:rsidRDefault="004402A6" w:rsidP="00873305">
      <w:pPr>
        <w:pStyle w:val="ListParagraph"/>
        <w:numPr>
          <w:ilvl w:val="0"/>
          <w:numId w:val="12"/>
        </w:numPr>
        <w:bidi w:val="0"/>
        <w:contextualSpacing/>
        <w:jc w:val="both"/>
      </w:pPr>
      <w:r w:rsidRPr="0058627D">
        <w:t>The program was not complete or fully conform to the parts of the questionnaires and moves. This required upgrading the software several times.</w:t>
      </w:r>
    </w:p>
    <w:p w:rsidR="004402A6" w:rsidRPr="0058627D" w:rsidRDefault="004402A6" w:rsidP="00873305">
      <w:pPr>
        <w:pStyle w:val="ListParagraph"/>
        <w:numPr>
          <w:ilvl w:val="0"/>
          <w:numId w:val="12"/>
        </w:numPr>
        <w:bidi w:val="0"/>
        <w:contextualSpacing/>
        <w:jc w:val="both"/>
      </w:pPr>
      <w:r w:rsidRPr="0058627D">
        <w:t xml:space="preserve">During data transmission from tablets, the transmission result was not visible to researchers. </w:t>
      </w:r>
    </w:p>
    <w:p w:rsidR="004402A6" w:rsidRPr="0058627D" w:rsidRDefault="004402A6" w:rsidP="00873305">
      <w:pPr>
        <w:pStyle w:val="ListParagraph"/>
        <w:numPr>
          <w:ilvl w:val="0"/>
          <w:numId w:val="12"/>
        </w:numPr>
        <w:bidi w:val="0"/>
        <w:contextualSpacing/>
        <w:jc w:val="both"/>
      </w:pPr>
      <w:r w:rsidRPr="0058627D">
        <w:t>During questionnaire filling in case of member separated from original household but with a family (spouse and children), every individual appears on a questionnaire of his/her own that needs to be filled. This affected the progress rate.</w:t>
      </w:r>
    </w:p>
    <w:p w:rsidR="004402A6" w:rsidRPr="0058627D" w:rsidRDefault="004402A6" w:rsidP="00873305">
      <w:pPr>
        <w:pStyle w:val="ListParagraph"/>
        <w:numPr>
          <w:ilvl w:val="0"/>
          <w:numId w:val="12"/>
        </w:numPr>
        <w:bidi w:val="0"/>
        <w:contextualSpacing/>
        <w:jc w:val="both"/>
      </w:pPr>
      <w:r w:rsidRPr="0058627D">
        <w:t>During questionnaire filling, the software encountered transmission difficulties that obliged the researcher to exit the software and shut down the device and reboot it.</w:t>
      </w:r>
    </w:p>
    <w:p w:rsidR="004402A6" w:rsidRPr="0058627D" w:rsidRDefault="004402A6" w:rsidP="00873305">
      <w:pPr>
        <w:pStyle w:val="ListParagraph"/>
        <w:numPr>
          <w:ilvl w:val="0"/>
          <w:numId w:val="12"/>
        </w:numPr>
        <w:bidi w:val="0"/>
        <w:contextualSpacing/>
        <w:jc w:val="both"/>
      </w:pPr>
      <w:r w:rsidRPr="0058627D">
        <w:t>Lack of flexibility in case of errors that need adjustment and in case of first repetition. There is not possibility to wipe out individuals for instance if registered by mistake.</w:t>
      </w:r>
    </w:p>
    <w:p w:rsidR="004402A6" w:rsidRPr="0058627D" w:rsidRDefault="004402A6" w:rsidP="00873305">
      <w:pPr>
        <w:pStyle w:val="ListParagraph"/>
        <w:numPr>
          <w:ilvl w:val="0"/>
          <w:numId w:val="12"/>
        </w:numPr>
        <w:bidi w:val="0"/>
        <w:contextualSpacing/>
        <w:jc w:val="both"/>
      </w:pPr>
      <w:r w:rsidRPr="0058627D">
        <w:t>In the beginning of work, the software parts were not conform to the questionnaire, especially as regards education, immigration and trauma. But after software adjustment, it became much easier.</w:t>
      </w:r>
    </w:p>
    <w:p w:rsidR="004402A6" w:rsidRPr="0058627D" w:rsidRDefault="004402A6" w:rsidP="00873305">
      <w:pPr>
        <w:pStyle w:val="ListParagraph"/>
        <w:numPr>
          <w:ilvl w:val="0"/>
          <w:numId w:val="12"/>
        </w:numPr>
        <w:bidi w:val="0"/>
        <w:contextualSpacing/>
        <w:jc w:val="both"/>
      </w:pPr>
      <w:r w:rsidRPr="0058627D">
        <w:t>The researcher’s comment icon was not activated but when it was activated, it became easier for researchers to note down their remarks on the household and data collection process.</w:t>
      </w:r>
    </w:p>
    <w:p w:rsidR="004402A6" w:rsidRPr="0058627D" w:rsidRDefault="004402A6" w:rsidP="008512B1">
      <w:pPr>
        <w:numPr>
          <w:ilvl w:val="0"/>
          <w:numId w:val="12"/>
        </w:numPr>
        <w:bidi w:val="0"/>
        <w:jc w:val="both"/>
        <w:rPr>
          <w:lang w:eastAsia="en-US"/>
        </w:rPr>
      </w:pPr>
      <w:r w:rsidRPr="0058627D">
        <w:rPr>
          <w:lang w:eastAsia="en-US"/>
        </w:rPr>
        <w:lastRenderedPageBreak/>
        <w:t xml:space="preserve">SIM supported tablets were used in the governorates of Jericho, </w:t>
      </w:r>
      <w:proofErr w:type="spellStart"/>
      <w:r w:rsidRPr="0058627D">
        <w:rPr>
          <w:lang w:eastAsia="en-US"/>
        </w:rPr>
        <w:t>Salfit</w:t>
      </w:r>
      <w:proofErr w:type="spellEnd"/>
      <w:r w:rsidRPr="0058627D">
        <w:rPr>
          <w:lang w:eastAsia="en-US"/>
        </w:rPr>
        <w:t xml:space="preserve"> and </w:t>
      </w:r>
      <w:r w:rsidR="008512B1">
        <w:rPr>
          <w:lang w:eastAsia="en-US"/>
        </w:rPr>
        <w:t>Tubas</w:t>
      </w:r>
      <w:r w:rsidRPr="0058627D">
        <w:rPr>
          <w:lang w:eastAsia="en-US"/>
        </w:rPr>
        <w:t xml:space="preserve"> because there are no district offices in these governorates and the tablets went out of order a lot during the survey.</w:t>
      </w:r>
    </w:p>
    <w:p w:rsidR="004402A6" w:rsidRPr="0058627D" w:rsidRDefault="004402A6" w:rsidP="00873305">
      <w:pPr>
        <w:jc w:val="both"/>
        <w:rPr>
          <w:lang w:eastAsia="en-US"/>
        </w:rPr>
      </w:pPr>
    </w:p>
    <w:p w:rsidR="004402A6" w:rsidRPr="0058627D" w:rsidRDefault="002C34DD" w:rsidP="008512B1">
      <w:pPr>
        <w:bidi w:val="0"/>
        <w:ind w:hanging="1"/>
        <w:jc w:val="both"/>
        <w:rPr>
          <w:rtl/>
        </w:rPr>
      </w:pPr>
      <w:r>
        <w:rPr>
          <w:rFonts w:hint="cs"/>
          <w:b/>
          <w:bCs/>
          <w:rtl/>
        </w:rPr>
        <w:t>2.5</w:t>
      </w:r>
      <w:r w:rsidR="008512B1">
        <w:rPr>
          <w:b/>
          <w:bCs/>
        </w:rPr>
        <w:t xml:space="preserve"> </w:t>
      </w:r>
      <w:r w:rsidR="004402A6" w:rsidRPr="0058627D">
        <w:rPr>
          <w:b/>
          <w:bCs/>
        </w:rPr>
        <w:t>Response Rates</w:t>
      </w:r>
    </w:p>
    <w:p w:rsidR="004402A6" w:rsidRPr="0058627D" w:rsidRDefault="004402A6" w:rsidP="00873305">
      <w:pPr>
        <w:bidi w:val="0"/>
        <w:jc w:val="both"/>
        <w:rPr>
          <w:sz w:val="22"/>
          <w:szCs w:val="22"/>
          <w:rtl/>
          <w:lang w:eastAsia="en-US"/>
        </w:rPr>
      </w:pPr>
      <w:r w:rsidRPr="0058627D">
        <w:t>(9025) representative households were chosen. Number of completed households reached (8244) including (5095) in the West Bank and (3149) in the Gaza Strip. Weights were adjusted with the design strata to compensate for the rate of refusal and non-response.</w:t>
      </w:r>
    </w:p>
    <w:p w:rsidR="004402A6" w:rsidRPr="0058627D" w:rsidRDefault="004402A6" w:rsidP="00873305">
      <w:pPr>
        <w:jc w:val="both"/>
        <w:rPr>
          <w:sz w:val="22"/>
          <w:szCs w:val="22"/>
          <w:rtl/>
          <w:lang w:eastAsia="en-US"/>
        </w:rPr>
      </w:pPr>
    </w:p>
    <w:p w:rsidR="004402A6" w:rsidRPr="0058627D" w:rsidRDefault="004402A6" w:rsidP="00CB016E">
      <w:pPr>
        <w:jc w:val="center"/>
        <w:rPr>
          <w:b/>
          <w:bCs/>
          <w:sz w:val="22"/>
          <w:szCs w:val="22"/>
          <w:rtl/>
          <w:lang w:eastAsia="en-US"/>
        </w:rPr>
      </w:pPr>
      <w:r w:rsidRPr="0058627D">
        <w:rPr>
          <w:b/>
          <w:bCs/>
          <w:sz w:val="22"/>
          <w:szCs w:val="22"/>
          <w:lang w:eastAsia="en-US"/>
        </w:rPr>
        <w:t>Household Responses</w:t>
      </w:r>
      <w:r w:rsidR="0009103D">
        <w:rPr>
          <w:b/>
          <w:bCs/>
          <w:sz w:val="22"/>
          <w:szCs w:val="22"/>
          <w:lang w:eastAsia="en-US"/>
        </w:rPr>
        <w:t xml:space="preserve"> and non Responses</w:t>
      </w:r>
    </w:p>
    <w:tbl>
      <w:tblPr>
        <w:tblW w:w="0" w:type="auto"/>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69"/>
        <w:gridCol w:w="2901"/>
      </w:tblGrid>
      <w:tr w:rsidR="004402A6" w:rsidRPr="0058627D" w:rsidTr="00EE7282">
        <w:trPr>
          <w:jc w:val="center"/>
        </w:trPr>
        <w:tc>
          <w:tcPr>
            <w:tcW w:w="5169" w:type="dxa"/>
            <w:shd w:val="clear" w:color="auto" w:fill="auto"/>
          </w:tcPr>
          <w:p w:rsidR="004402A6" w:rsidRPr="0058627D" w:rsidRDefault="0009103D" w:rsidP="00EE7282">
            <w:pPr>
              <w:pStyle w:val="BlockText"/>
              <w:bidi w:val="0"/>
              <w:ind w:left="0" w:right="0"/>
              <w:jc w:val="center"/>
              <w:rPr>
                <w:rFonts w:cs="Times New Roman"/>
              </w:rPr>
            </w:pPr>
            <w:r>
              <w:rPr>
                <w:rFonts w:cs="Times New Roman"/>
              </w:rPr>
              <w:t>Interview Result</w:t>
            </w:r>
          </w:p>
        </w:tc>
        <w:tc>
          <w:tcPr>
            <w:tcW w:w="2901" w:type="dxa"/>
            <w:shd w:val="clear" w:color="auto" w:fill="auto"/>
          </w:tcPr>
          <w:p w:rsidR="004402A6" w:rsidRPr="0058627D" w:rsidRDefault="004402A6" w:rsidP="00EE7282">
            <w:pPr>
              <w:pStyle w:val="BlockText"/>
              <w:bidi w:val="0"/>
              <w:ind w:left="0" w:right="0"/>
              <w:jc w:val="center"/>
              <w:rPr>
                <w:rFonts w:cs="Times New Roman"/>
              </w:rPr>
            </w:pPr>
            <w:r w:rsidRPr="0058627D">
              <w:rPr>
                <w:rFonts w:cs="Times New Roman"/>
              </w:rPr>
              <w:t>Number of Cases</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Completed households</w:t>
            </w:r>
          </w:p>
        </w:tc>
        <w:tc>
          <w:tcPr>
            <w:tcW w:w="2901" w:type="dxa"/>
            <w:shd w:val="clear" w:color="auto" w:fill="auto"/>
            <w:vAlign w:val="center"/>
          </w:tcPr>
          <w:p w:rsidR="004402A6" w:rsidRPr="00EE7282" w:rsidRDefault="004402A6" w:rsidP="00EE7282">
            <w:pPr>
              <w:bidi w:val="0"/>
              <w:jc w:val="both"/>
            </w:pPr>
            <w:r w:rsidRPr="00EE7282">
              <w:t>8225</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Partially completed</w:t>
            </w:r>
          </w:p>
        </w:tc>
        <w:tc>
          <w:tcPr>
            <w:tcW w:w="2901" w:type="dxa"/>
            <w:shd w:val="clear" w:color="auto" w:fill="auto"/>
            <w:vAlign w:val="center"/>
          </w:tcPr>
          <w:p w:rsidR="004402A6" w:rsidRPr="00EE7282" w:rsidRDefault="004402A6" w:rsidP="00EE7282">
            <w:pPr>
              <w:bidi w:val="0"/>
              <w:jc w:val="both"/>
            </w:pPr>
            <w:r w:rsidRPr="00EE7282">
              <w:t>19</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Households traveling</w:t>
            </w:r>
          </w:p>
        </w:tc>
        <w:tc>
          <w:tcPr>
            <w:tcW w:w="2901" w:type="dxa"/>
            <w:shd w:val="clear" w:color="auto" w:fill="auto"/>
            <w:vAlign w:val="center"/>
          </w:tcPr>
          <w:p w:rsidR="004402A6" w:rsidRPr="00EE7282" w:rsidRDefault="004402A6" w:rsidP="00EE7282">
            <w:pPr>
              <w:bidi w:val="0"/>
              <w:jc w:val="both"/>
            </w:pPr>
            <w:r w:rsidRPr="00EE7282">
              <w:t>52</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Nobody home</w:t>
            </w:r>
          </w:p>
        </w:tc>
        <w:tc>
          <w:tcPr>
            <w:tcW w:w="2901" w:type="dxa"/>
            <w:shd w:val="clear" w:color="auto" w:fill="auto"/>
            <w:vAlign w:val="center"/>
          </w:tcPr>
          <w:p w:rsidR="004402A6" w:rsidRPr="00EE7282" w:rsidRDefault="004402A6" w:rsidP="00EE7282">
            <w:pPr>
              <w:bidi w:val="0"/>
              <w:jc w:val="both"/>
            </w:pPr>
            <w:r w:rsidRPr="00EE7282">
              <w:t>131</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Refused to cooperate</w:t>
            </w:r>
          </w:p>
        </w:tc>
        <w:tc>
          <w:tcPr>
            <w:tcW w:w="2901" w:type="dxa"/>
            <w:shd w:val="clear" w:color="auto" w:fill="auto"/>
            <w:vAlign w:val="center"/>
          </w:tcPr>
          <w:p w:rsidR="004402A6" w:rsidRPr="00EE7282" w:rsidRDefault="004402A6" w:rsidP="00EE7282">
            <w:pPr>
              <w:bidi w:val="0"/>
              <w:jc w:val="both"/>
            </w:pPr>
            <w:r w:rsidRPr="00EE7282">
              <w:t>335</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Un-inhabited unit</w:t>
            </w:r>
          </w:p>
        </w:tc>
        <w:tc>
          <w:tcPr>
            <w:tcW w:w="2901" w:type="dxa"/>
            <w:shd w:val="clear" w:color="auto" w:fill="auto"/>
            <w:vAlign w:val="center"/>
          </w:tcPr>
          <w:p w:rsidR="004402A6" w:rsidRPr="00EE7282" w:rsidRDefault="004402A6" w:rsidP="00EE7282">
            <w:pPr>
              <w:bidi w:val="0"/>
              <w:jc w:val="both"/>
            </w:pPr>
            <w:r w:rsidRPr="00EE7282">
              <w:t>38</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Non-existent unit</w:t>
            </w:r>
          </w:p>
        </w:tc>
        <w:tc>
          <w:tcPr>
            <w:tcW w:w="2901" w:type="dxa"/>
            <w:shd w:val="clear" w:color="auto" w:fill="auto"/>
            <w:vAlign w:val="center"/>
          </w:tcPr>
          <w:p w:rsidR="004402A6" w:rsidRPr="00EE7282" w:rsidRDefault="004402A6" w:rsidP="00EE7282">
            <w:pPr>
              <w:bidi w:val="0"/>
              <w:jc w:val="both"/>
            </w:pPr>
            <w:r w:rsidRPr="00EE7282">
              <w:t>117</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No data available</w:t>
            </w:r>
          </w:p>
        </w:tc>
        <w:tc>
          <w:tcPr>
            <w:tcW w:w="2901" w:type="dxa"/>
            <w:shd w:val="clear" w:color="auto" w:fill="auto"/>
            <w:vAlign w:val="center"/>
          </w:tcPr>
          <w:p w:rsidR="004402A6" w:rsidRPr="00EE7282" w:rsidRDefault="004402A6" w:rsidP="00EE7282">
            <w:pPr>
              <w:bidi w:val="0"/>
              <w:jc w:val="both"/>
            </w:pPr>
            <w:r w:rsidRPr="00EE7282">
              <w:t>3</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Other</w:t>
            </w:r>
          </w:p>
        </w:tc>
        <w:tc>
          <w:tcPr>
            <w:tcW w:w="2901" w:type="dxa"/>
            <w:shd w:val="clear" w:color="auto" w:fill="auto"/>
            <w:vAlign w:val="center"/>
          </w:tcPr>
          <w:p w:rsidR="004402A6" w:rsidRPr="00EE7282" w:rsidRDefault="004402A6" w:rsidP="00EE7282">
            <w:pPr>
              <w:bidi w:val="0"/>
              <w:jc w:val="both"/>
            </w:pPr>
            <w:r w:rsidRPr="00EE7282">
              <w:t>100</w:t>
            </w:r>
          </w:p>
        </w:tc>
      </w:tr>
      <w:tr w:rsidR="004402A6" w:rsidRPr="0058627D" w:rsidTr="00EE7282">
        <w:trPr>
          <w:jc w:val="center"/>
        </w:trPr>
        <w:tc>
          <w:tcPr>
            <w:tcW w:w="5169" w:type="dxa"/>
            <w:shd w:val="clear" w:color="auto" w:fill="auto"/>
          </w:tcPr>
          <w:p w:rsidR="004402A6" w:rsidRPr="0058627D" w:rsidRDefault="004402A6" w:rsidP="00873305">
            <w:pPr>
              <w:pStyle w:val="BlockText"/>
              <w:bidi w:val="0"/>
              <w:ind w:left="0" w:right="0"/>
              <w:rPr>
                <w:rFonts w:cs="Times New Roman"/>
                <w:b w:val="0"/>
                <w:bCs w:val="0"/>
              </w:rPr>
            </w:pPr>
            <w:r w:rsidRPr="0058627D">
              <w:rPr>
                <w:rFonts w:cs="Times New Roman"/>
                <w:b w:val="0"/>
                <w:bCs w:val="0"/>
              </w:rPr>
              <w:t>Household inaccessible</w:t>
            </w:r>
          </w:p>
        </w:tc>
        <w:tc>
          <w:tcPr>
            <w:tcW w:w="2901" w:type="dxa"/>
            <w:shd w:val="clear" w:color="auto" w:fill="auto"/>
            <w:vAlign w:val="center"/>
          </w:tcPr>
          <w:p w:rsidR="004402A6" w:rsidRPr="00EE7282" w:rsidRDefault="004402A6" w:rsidP="00EE7282">
            <w:pPr>
              <w:bidi w:val="0"/>
              <w:jc w:val="both"/>
            </w:pPr>
            <w:r w:rsidRPr="00EE7282">
              <w:t>5</w:t>
            </w:r>
          </w:p>
        </w:tc>
      </w:tr>
      <w:tr w:rsidR="004402A6" w:rsidRPr="0058627D" w:rsidTr="00EE7282">
        <w:trPr>
          <w:jc w:val="center"/>
        </w:trPr>
        <w:tc>
          <w:tcPr>
            <w:tcW w:w="5169" w:type="dxa"/>
            <w:shd w:val="clear" w:color="auto" w:fill="auto"/>
          </w:tcPr>
          <w:p w:rsidR="004402A6" w:rsidRPr="00EE7282" w:rsidRDefault="004402A6" w:rsidP="00873305">
            <w:pPr>
              <w:pStyle w:val="BlockText"/>
              <w:bidi w:val="0"/>
              <w:ind w:left="0" w:right="0"/>
              <w:rPr>
                <w:rFonts w:cs="Times New Roman"/>
              </w:rPr>
            </w:pPr>
            <w:r w:rsidRPr="00EE7282">
              <w:rPr>
                <w:rFonts w:cs="Times New Roman"/>
              </w:rPr>
              <w:t>Total (total size of sample)</w:t>
            </w:r>
          </w:p>
        </w:tc>
        <w:tc>
          <w:tcPr>
            <w:tcW w:w="2901" w:type="dxa"/>
            <w:shd w:val="clear" w:color="auto" w:fill="auto"/>
            <w:vAlign w:val="center"/>
          </w:tcPr>
          <w:p w:rsidR="004402A6" w:rsidRPr="00EE7282" w:rsidRDefault="004402A6" w:rsidP="00EE7282">
            <w:pPr>
              <w:bidi w:val="0"/>
              <w:jc w:val="both"/>
              <w:rPr>
                <w:b/>
                <w:bCs/>
              </w:rPr>
            </w:pPr>
            <w:r w:rsidRPr="00EE7282">
              <w:rPr>
                <w:b/>
                <w:bCs/>
              </w:rPr>
              <w:t>9025</w:t>
            </w:r>
          </w:p>
        </w:tc>
      </w:tr>
    </w:tbl>
    <w:p w:rsidR="004402A6" w:rsidRPr="0058627D" w:rsidRDefault="004402A6" w:rsidP="00873305">
      <w:pPr>
        <w:pStyle w:val="BlockText"/>
        <w:bidi w:val="0"/>
        <w:ind w:left="0" w:right="0"/>
        <w:rPr>
          <w:rFonts w:cs="Times New Roman"/>
          <w:rtl/>
        </w:rPr>
      </w:pPr>
    </w:p>
    <w:p w:rsidR="004402A6" w:rsidRPr="0058627D" w:rsidRDefault="004402A6" w:rsidP="00873305">
      <w:pPr>
        <w:pStyle w:val="BlockText"/>
        <w:bidi w:val="0"/>
        <w:ind w:left="0" w:right="0"/>
        <w:rPr>
          <w:rFonts w:cs="Times New Roman"/>
          <w:i/>
          <w:iCs/>
          <w:rtl/>
        </w:rPr>
      </w:pPr>
      <w:r w:rsidRPr="0058627D">
        <w:rPr>
          <w:rFonts w:cs="Times New Roman"/>
        </w:rPr>
        <w:t>Response and Non-Response Rates:</w:t>
      </w:r>
    </w:p>
    <w:p w:rsidR="004402A6" w:rsidRPr="0058627D" w:rsidRDefault="004402A6" w:rsidP="00873305">
      <w:pPr>
        <w:bidi w:val="0"/>
        <w:ind w:hanging="1"/>
        <w:jc w:val="both"/>
      </w:pPr>
      <w:r w:rsidRPr="0058627D">
        <w:t xml:space="preserve">Increased inclusion error rate = </w:t>
      </w:r>
      <w:r w:rsidRPr="0058627D">
        <w:rPr>
          <w:u w:val="single"/>
        </w:rPr>
        <w:t>Total cases of increased inclusion</w:t>
      </w:r>
      <w:r w:rsidRPr="0058627D">
        <w:t xml:space="preserve"> X 100%</w:t>
      </w:r>
    </w:p>
    <w:p w:rsidR="004402A6" w:rsidRPr="0058627D" w:rsidRDefault="004402A6" w:rsidP="00873305">
      <w:pPr>
        <w:bidi w:val="0"/>
        <w:ind w:hanging="1"/>
        <w:jc w:val="both"/>
      </w:pPr>
      <w:r w:rsidRPr="0058627D">
        <w:tab/>
      </w:r>
      <w:r w:rsidRPr="0058627D">
        <w:tab/>
      </w:r>
      <w:r w:rsidRPr="0058627D">
        <w:tab/>
      </w:r>
      <w:r w:rsidRPr="0058627D">
        <w:tab/>
      </w:r>
      <w:r w:rsidRPr="0058627D">
        <w:tab/>
        <w:t xml:space="preserve">       Number of cases in original sample</w:t>
      </w:r>
    </w:p>
    <w:p w:rsidR="004402A6" w:rsidRPr="0058627D" w:rsidRDefault="004402A6" w:rsidP="00873305">
      <w:pPr>
        <w:bidi w:val="0"/>
        <w:ind w:hanging="1"/>
        <w:jc w:val="both"/>
      </w:pPr>
    </w:p>
    <w:p w:rsidR="004402A6" w:rsidRPr="0058627D" w:rsidRDefault="004402A6" w:rsidP="00873305">
      <w:pPr>
        <w:bidi w:val="0"/>
        <w:ind w:hanging="1"/>
        <w:jc w:val="both"/>
      </w:pPr>
      <w:r w:rsidRPr="0058627D">
        <w:t>Equals: 1.7%</w:t>
      </w:r>
    </w:p>
    <w:p w:rsidR="004402A6" w:rsidRPr="0058627D" w:rsidRDefault="004402A6" w:rsidP="00873305">
      <w:pPr>
        <w:bidi w:val="0"/>
        <w:ind w:hanging="1"/>
        <w:jc w:val="both"/>
      </w:pPr>
      <w:r w:rsidRPr="0058627D">
        <w:t xml:space="preserve">Non-Response Rate = </w:t>
      </w:r>
      <w:r w:rsidRPr="0058627D">
        <w:rPr>
          <w:u w:val="single"/>
        </w:rPr>
        <w:t>Total number of Non-responses</w:t>
      </w:r>
      <w:r w:rsidRPr="0058627D">
        <w:t xml:space="preserve">  X 100%</w:t>
      </w:r>
    </w:p>
    <w:p w:rsidR="004402A6" w:rsidRPr="0058627D" w:rsidRDefault="004402A6" w:rsidP="00873305">
      <w:pPr>
        <w:bidi w:val="0"/>
        <w:ind w:hanging="1"/>
        <w:jc w:val="both"/>
      </w:pPr>
      <w:r w:rsidRPr="0058627D">
        <w:tab/>
      </w:r>
      <w:r w:rsidRPr="0058627D">
        <w:tab/>
      </w:r>
      <w:r w:rsidRPr="0058627D">
        <w:tab/>
      </w:r>
      <w:r w:rsidRPr="0058627D">
        <w:tab/>
      </w:r>
      <w:r w:rsidRPr="0058627D">
        <w:tab/>
        <w:t>Net sample</w:t>
      </w:r>
    </w:p>
    <w:p w:rsidR="004402A6" w:rsidRPr="0058627D" w:rsidRDefault="004402A6" w:rsidP="00873305">
      <w:pPr>
        <w:bidi w:val="0"/>
        <w:ind w:hanging="1"/>
        <w:jc w:val="both"/>
      </w:pPr>
      <w:r w:rsidRPr="0058627D">
        <w:t>Equals 7.1%</w:t>
      </w:r>
    </w:p>
    <w:p w:rsidR="004402A6" w:rsidRPr="0058627D" w:rsidRDefault="004402A6" w:rsidP="00873305">
      <w:pPr>
        <w:bidi w:val="0"/>
        <w:ind w:hanging="1"/>
        <w:jc w:val="both"/>
      </w:pPr>
    </w:p>
    <w:p w:rsidR="004402A6" w:rsidRPr="0058627D" w:rsidRDefault="004402A6" w:rsidP="00873305">
      <w:pPr>
        <w:bidi w:val="0"/>
        <w:ind w:hanging="1"/>
        <w:jc w:val="both"/>
      </w:pPr>
      <w:r w:rsidRPr="0058627D">
        <w:t>Net sample = original sample – (increased inclusions) = 8871</w:t>
      </w:r>
    </w:p>
    <w:p w:rsidR="004402A6" w:rsidRPr="0058627D" w:rsidRDefault="004402A6" w:rsidP="00873305">
      <w:pPr>
        <w:bidi w:val="0"/>
        <w:ind w:hanging="1"/>
        <w:jc w:val="both"/>
      </w:pPr>
      <w:r w:rsidRPr="0058627D">
        <w:t>Response Rate = 100% - Non-Response Rate</w:t>
      </w:r>
    </w:p>
    <w:p w:rsidR="004402A6" w:rsidRPr="0058627D" w:rsidRDefault="004402A6" w:rsidP="00873305">
      <w:pPr>
        <w:bidi w:val="0"/>
        <w:ind w:hanging="1"/>
        <w:jc w:val="both"/>
        <w:rPr>
          <w:rtl/>
        </w:rPr>
      </w:pPr>
      <w:r w:rsidRPr="0058627D">
        <w:t>Equals: 92.9%</w:t>
      </w:r>
    </w:p>
    <w:p w:rsidR="004402A6" w:rsidRPr="0058627D" w:rsidRDefault="004402A6" w:rsidP="00873305">
      <w:pPr>
        <w:ind w:hanging="1"/>
        <w:jc w:val="both"/>
        <w:rPr>
          <w:b/>
          <w:bCs/>
          <w:rtl/>
        </w:rPr>
      </w:pPr>
    </w:p>
    <w:p w:rsidR="004402A6" w:rsidRPr="0058627D" w:rsidRDefault="004402A6" w:rsidP="0009103D">
      <w:pPr>
        <w:bidi w:val="0"/>
        <w:ind w:hanging="1"/>
        <w:jc w:val="center"/>
        <w:rPr>
          <w:b/>
          <w:bCs/>
        </w:rPr>
      </w:pPr>
      <w:r w:rsidRPr="0058627D">
        <w:rPr>
          <w:b/>
          <w:bCs/>
        </w:rPr>
        <w:t xml:space="preserve">Individuals’ </w:t>
      </w:r>
      <w:r w:rsidR="0009103D" w:rsidRPr="0058627D">
        <w:rPr>
          <w:b/>
          <w:bCs/>
        </w:rPr>
        <w:t>Response and non-response</w:t>
      </w:r>
      <w:r w:rsidRPr="0058627D">
        <w:rPr>
          <w:b/>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40"/>
        <w:gridCol w:w="3420"/>
      </w:tblGrid>
      <w:tr w:rsidR="004402A6" w:rsidRPr="0058627D" w:rsidTr="00CB016E">
        <w:trPr>
          <w:jc w:val="center"/>
        </w:trPr>
        <w:tc>
          <w:tcPr>
            <w:tcW w:w="4140" w:type="dxa"/>
            <w:shd w:val="clear" w:color="auto" w:fill="auto"/>
          </w:tcPr>
          <w:p w:rsidR="004402A6" w:rsidRPr="0058627D" w:rsidRDefault="0009103D" w:rsidP="00CB016E">
            <w:pPr>
              <w:pStyle w:val="BlockText"/>
              <w:bidi w:val="0"/>
              <w:ind w:left="0"/>
              <w:jc w:val="center"/>
              <w:rPr>
                <w:rFonts w:cs="Times New Roman"/>
              </w:rPr>
            </w:pPr>
            <w:r>
              <w:rPr>
                <w:rFonts w:cs="Times New Roman"/>
              </w:rPr>
              <w:t>Interview Result</w:t>
            </w:r>
          </w:p>
        </w:tc>
        <w:tc>
          <w:tcPr>
            <w:tcW w:w="3420" w:type="dxa"/>
            <w:shd w:val="clear" w:color="auto" w:fill="auto"/>
          </w:tcPr>
          <w:p w:rsidR="004402A6" w:rsidRPr="0058627D" w:rsidRDefault="004402A6" w:rsidP="00CB016E">
            <w:pPr>
              <w:pStyle w:val="BlockText"/>
              <w:bidi w:val="0"/>
              <w:ind w:left="0"/>
              <w:jc w:val="center"/>
              <w:rPr>
                <w:rFonts w:cs="Times New Roman"/>
              </w:rPr>
            </w:pPr>
            <w:r w:rsidRPr="0058627D">
              <w:rPr>
                <w:rFonts w:cs="Times New Roman"/>
              </w:rPr>
              <w:t>Number of cases</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Completed</w:t>
            </w:r>
          </w:p>
        </w:tc>
        <w:tc>
          <w:tcPr>
            <w:tcW w:w="342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7888</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Partially completed</w:t>
            </w:r>
          </w:p>
        </w:tc>
        <w:tc>
          <w:tcPr>
            <w:tcW w:w="342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21</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Unable to meet individuals</w:t>
            </w:r>
          </w:p>
        </w:tc>
        <w:tc>
          <w:tcPr>
            <w:tcW w:w="342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235</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Refused</w:t>
            </w:r>
          </w:p>
        </w:tc>
        <w:tc>
          <w:tcPr>
            <w:tcW w:w="342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70</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 xml:space="preserve">Other </w:t>
            </w:r>
          </w:p>
        </w:tc>
        <w:tc>
          <w:tcPr>
            <w:tcW w:w="3420" w:type="dxa"/>
            <w:shd w:val="clear" w:color="auto" w:fill="auto"/>
          </w:tcPr>
          <w:p w:rsidR="004402A6" w:rsidRPr="0058627D" w:rsidRDefault="004402A6" w:rsidP="00873305">
            <w:pPr>
              <w:pStyle w:val="BlockText"/>
              <w:bidi w:val="0"/>
              <w:ind w:left="0"/>
              <w:rPr>
                <w:rFonts w:cs="Times New Roman"/>
                <w:b w:val="0"/>
                <w:bCs w:val="0"/>
              </w:rPr>
            </w:pPr>
            <w:r w:rsidRPr="0058627D">
              <w:rPr>
                <w:rFonts w:cs="Times New Roman"/>
                <w:b w:val="0"/>
                <w:bCs w:val="0"/>
              </w:rPr>
              <w:t>13</w:t>
            </w:r>
          </w:p>
        </w:tc>
      </w:tr>
      <w:tr w:rsidR="004402A6" w:rsidRPr="0058627D" w:rsidTr="00CB016E">
        <w:trPr>
          <w:jc w:val="center"/>
        </w:trPr>
        <w:tc>
          <w:tcPr>
            <w:tcW w:w="4140" w:type="dxa"/>
            <w:shd w:val="clear" w:color="auto" w:fill="auto"/>
          </w:tcPr>
          <w:p w:rsidR="004402A6" w:rsidRPr="0058627D" w:rsidRDefault="004402A6" w:rsidP="00873305">
            <w:pPr>
              <w:pStyle w:val="BlockText"/>
              <w:bidi w:val="0"/>
              <w:ind w:left="0"/>
              <w:rPr>
                <w:rFonts w:cs="Times New Roman"/>
              </w:rPr>
            </w:pPr>
            <w:r w:rsidRPr="0058627D">
              <w:rPr>
                <w:rFonts w:cs="Times New Roman"/>
              </w:rPr>
              <w:t>Total</w:t>
            </w:r>
          </w:p>
        </w:tc>
        <w:tc>
          <w:tcPr>
            <w:tcW w:w="3420" w:type="dxa"/>
            <w:shd w:val="clear" w:color="auto" w:fill="auto"/>
          </w:tcPr>
          <w:p w:rsidR="004402A6" w:rsidRPr="0058627D" w:rsidRDefault="004402A6" w:rsidP="00873305">
            <w:pPr>
              <w:pStyle w:val="BlockText"/>
              <w:bidi w:val="0"/>
              <w:ind w:left="0"/>
              <w:rPr>
                <w:rFonts w:cs="Times New Roman"/>
              </w:rPr>
            </w:pPr>
            <w:r w:rsidRPr="0058627D">
              <w:rPr>
                <w:rFonts w:cs="Times New Roman"/>
              </w:rPr>
              <w:t>8227</w:t>
            </w:r>
          </w:p>
        </w:tc>
      </w:tr>
    </w:tbl>
    <w:p w:rsidR="00CB016E" w:rsidRDefault="00CB016E" w:rsidP="00873305">
      <w:pPr>
        <w:pStyle w:val="BlockText"/>
        <w:ind w:left="0"/>
        <w:rPr>
          <w:rFonts w:cs="Times New Roman"/>
          <w:b w:val="0"/>
          <w:bCs w:val="0"/>
        </w:rPr>
      </w:pPr>
    </w:p>
    <w:p w:rsidR="00CB016E" w:rsidRDefault="00CB016E" w:rsidP="00873305">
      <w:pPr>
        <w:pStyle w:val="BlockText"/>
        <w:ind w:left="0"/>
        <w:rPr>
          <w:rFonts w:cs="Times New Roman"/>
          <w:b w:val="0"/>
          <w:bCs w:val="0"/>
        </w:rPr>
      </w:pPr>
    </w:p>
    <w:p w:rsidR="004402A6" w:rsidRPr="0058627D" w:rsidRDefault="004402A6" w:rsidP="00CB016E">
      <w:pPr>
        <w:pStyle w:val="BlockText"/>
        <w:bidi w:val="0"/>
        <w:ind w:left="0"/>
        <w:jc w:val="left"/>
        <w:rPr>
          <w:rFonts w:cs="Times New Roman"/>
          <w:b w:val="0"/>
          <w:bCs w:val="0"/>
          <w:i/>
          <w:iCs/>
          <w:rtl/>
        </w:rPr>
      </w:pPr>
      <w:r w:rsidRPr="0058627D">
        <w:rPr>
          <w:rFonts w:cs="Times New Roman"/>
          <w:b w:val="0"/>
          <w:bCs w:val="0"/>
        </w:rPr>
        <w:t>Response and non-response formulae:</w:t>
      </w:r>
    </w:p>
    <w:p w:rsidR="004402A6" w:rsidRPr="0058627D" w:rsidRDefault="004402A6" w:rsidP="00873305">
      <w:pPr>
        <w:ind w:hanging="1"/>
        <w:jc w:val="both"/>
        <w:rPr>
          <w:rtl/>
        </w:rPr>
      </w:pPr>
    </w:p>
    <w:p w:rsidR="004402A6" w:rsidRPr="0058627D" w:rsidRDefault="004402A6" w:rsidP="00873305">
      <w:pPr>
        <w:bidi w:val="0"/>
        <w:ind w:hanging="1"/>
        <w:jc w:val="both"/>
      </w:pPr>
      <w:r w:rsidRPr="0058627D">
        <w:t xml:space="preserve">Non-response rate = </w:t>
      </w:r>
      <w:r w:rsidRPr="0058627D">
        <w:rPr>
          <w:u w:val="single"/>
        </w:rPr>
        <w:t>Total non-response cases</w:t>
      </w:r>
      <w:r w:rsidRPr="0058627D">
        <w:t xml:space="preserve"> X 100%</w:t>
      </w:r>
    </w:p>
    <w:p w:rsidR="004402A6" w:rsidRPr="0058627D" w:rsidRDefault="004402A6" w:rsidP="00873305">
      <w:pPr>
        <w:bidi w:val="0"/>
        <w:ind w:hanging="1"/>
        <w:jc w:val="both"/>
      </w:pPr>
      <w:r w:rsidRPr="0058627D">
        <w:tab/>
      </w:r>
      <w:r w:rsidRPr="0058627D">
        <w:tab/>
      </w:r>
      <w:r w:rsidRPr="0058627D">
        <w:tab/>
      </w:r>
      <w:r w:rsidRPr="0058627D">
        <w:tab/>
      </w:r>
      <w:r w:rsidRPr="0058627D">
        <w:tab/>
      </w:r>
      <w:r w:rsidRPr="0058627D">
        <w:tab/>
        <w:t>Sample</w:t>
      </w:r>
    </w:p>
    <w:p w:rsidR="004402A6" w:rsidRPr="0058627D" w:rsidRDefault="004402A6" w:rsidP="00873305">
      <w:pPr>
        <w:bidi w:val="0"/>
        <w:ind w:hanging="1"/>
        <w:jc w:val="both"/>
      </w:pPr>
      <w:r w:rsidRPr="0058627D">
        <w:lastRenderedPageBreak/>
        <w:t xml:space="preserve"> Equals: 3.9%</w:t>
      </w:r>
    </w:p>
    <w:p w:rsidR="004402A6" w:rsidRPr="0058627D" w:rsidRDefault="004402A6" w:rsidP="00873305">
      <w:pPr>
        <w:bidi w:val="0"/>
        <w:ind w:hanging="1"/>
        <w:jc w:val="both"/>
      </w:pPr>
      <w:r w:rsidRPr="0058627D">
        <w:t>Response rate = 100% - non-response rate</w:t>
      </w:r>
    </w:p>
    <w:p w:rsidR="004402A6" w:rsidRPr="0058627D" w:rsidRDefault="004402A6" w:rsidP="00873305">
      <w:pPr>
        <w:bidi w:val="0"/>
        <w:ind w:hanging="1"/>
        <w:jc w:val="both"/>
      </w:pPr>
      <w:r w:rsidRPr="0058627D">
        <w:t>Equals: 96.1%</w:t>
      </w:r>
    </w:p>
    <w:p w:rsidR="004402A6" w:rsidRPr="0058627D" w:rsidRDefault="004402A6" w:rsidP="00873305">
      <w:pPr>
        <w:jc w:val="both"/>
        <w:rPr>
          <w:b/>
          <w:bCs/>
          <w:rtl/>
        </w:rPr>
      </w:pPr>
    </w:p>
    <w:p w:rsidR="004402A6" w:rsidRPr="0058627D" w:rsidRDefault="004402A6" w:rsidP="002C34DD">
      <w:pPr>
        <w:pStyle w:val="ListParagraph"/>
        <w:numPr>
          <w:ilvl w:val="1"/>
          <w:numId w:val="22"/>
        </w:numPr>
        <w:bidi w:val="0"/>
        <w:jc w:val="both"/>
        <w:rPr>
          <w:b/>
          <w:bCs/>
          <w:rtl/>
          <w:lang w:eastAsia="en-US"/>
        </w:rPr>
      </w:pPr>
      <w:r w:rsidRPr="0058627D">
        <w:rPr>
          <w:b/>
          <w:bCs/>
          <w:lang w:eastAsia="en-US"/>
        </w:rPr>
        <w:t>Data Processing</w:t>
      </w:r>
    </w:p>
    <w:p w:rsidR="004402A6" w:rsidRPr="0058627D" w:rsidRDefault="004402A6" w:rsidP="00873305">
      <w:pPr>
        <w:bidi w:val="0"/>
        <w:jc w:val="both"/>
      </w:pPr>
      <w:r w:rsidRPr="0058627D">
        <w:t>Data was computerized and processed using SPSS and ACCESS packages. Data entry was organized in two files that comprise the key parts of the questionnaire. In the design of entry software, consideration was mate to establish relations between data of the questionnaire to control data and locate errors.</w:t>
      </w:r>
    </w:p>
    <w:p w:rsidR="004402A6" w:rsidRPr="0058627D" w:rsidRDefault="004402A6" w:rsidP="00873305">
      <w:pPr>
        <w:jc w:val="both"/>
        <w:rPr>
          <w:rtl/>
        </w:rPr>
      </w:pPr>
    </w:p>
    <w:p w:rsidR="004402A6" w:rsidRPr="0058627D" w:rsidRDefault="004402A6" w:rsidP="00873305">
      <w:pPr>
        <w:overflowPunct w:val="0"/>
        <w:autoSpaceDE w:val="0"/>
        <w:autoSpaceDN w:val="0"/>
        <w:bidi w:val="0"/>
        <w:adjustRightInd w:val="0"/>
        <w:jc w:val="both"/>
        <w:rPr>
          <w:b/>
          <w:bCs/>
          <w:rtl/>
        </w:rPr>
      </w:pPr>
      <w:r w:rsidRPr="0058627D">
        <w:rPr>
          <w:b/>
          <w:bCs/>
        </w:rPr>
        <w:t>Stages of Survey:</w:t>
      </w:r>
    </w:p>
    <w:p w:rsidR="004402A6" w:rsidRPr="0058627D" w:rsidRDefault="004402A6" w:rsidP="00873305">
      <w:pPr>
        <w:overflowPunct w:val="0"/>
        <w:autoSpaceDE w:val="0"/>
        <w:autoSpaceDN w:val="0"/>
        <w:bidi w:val="0"/>
        <w:adjustRightInd w:val="0"/>
        <w:jc w:val="both"/>
        <w:rPr>
          <w:rtl/>
        </w:rPr>
      </w:pPr>
      <w:r w:rsidRPr="0058627D">
        <w:t>Data processing underwent several stages from preparation until completion and preparation of data file. The stages were as follows:</w:t>
      </w:r>
    </w:p>
    <w:p w:rsidR="004402A6" w:rsidRPr="0058627D" w:rsidRDefault="004402A6" w:rsidP="00873305">
      <w:pPr>
        <w:overflowPunct w:val="0"/>
        <w:autoSpaceDE w:val="0"/>
        <w:autoSpaceDN w:val="0"/>
        <w:adjustRightInd w:val="0"/>
        <w:ind w:left="426" w:right="720"/>
        <w:jc w:val="both"/>
      </w:pPr>
      <w:r w:rsidRPr="0058627D">
        <w:rPr>
          <w:rtl/>
        </w:rPr>
        <w:t xml:space="preserve"> </w:t>
      </w: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pPr>
      <w:r w:rsidRPr="0058627D">
        <w:rPr>
          <w:b/>
          <w:bCs/>
        </w:rPr>
        <w:t xml:space="preserve">Programming Phase: </w:t>
      </w:r>
      <w:r w:rsidRPr="0058627D">
        <w:t>Preparation of computer program using Net bond under Android environment. The program was provided with entry basis to ensure high accuracy in data entry.</w:t>
      </w: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rPr>
          <w:rtl/>
        </w:rPr>
      </w:pPr>
      <w:r w:rsidRPr="0058627D">
        <w:rPr>
          <w:b/>
          <w:bCs/>
        </w:rPr>
        <w:t xml:space="preserve">Program uploading on tablets: </w:t>
      </w:r>
      <w:r w:rsidRPr="0058627D">
        <w:t>During this phase, software and apps were uploaded on Tablets and tested before submitting tablets to survey management prior to distribution to researchers. Data Processing Department trained researchers on use of tablets and program.</w:t>
      </w: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rPr>
          <w:rtl/>
        </w:rPr>
      </w:pPr>
      <w:r w:rsidRPr="0058627D">
        <w:rPr>
          <w:b/>
          <w:bCs/>
        </w:rPr>
        <w:t xml:space="preserve">Data Collection Phase: </w:t>
      </w:r>
      <w:r w:rsidRPr="0058627D">
        <w:t>Data was collected using tablets in the period from 1</w:t>
      </w:r>
      <w:r w:rsidRPr="0058627D">
        <w:rPr>
          <w:vertAlign w:val="superscript"/>
        </w:rPr>
        <w:t>st</w:t>
      </w:r>
      <w:r w:rsidRPr="0058627D">
        <w:t xml:space="preserve"> April 2015 to 23</w:t>
      </w:r>
      <w:r w:rsidRPr="0058627D">
        <w:rPr>
          <w:vertAlign w:val="superscript"/>
        </w:rPr>
        <w:t>rd</w:t>
      </w:r>
      <w:r w:rsidRPr="0058627D">
        <w:t xml:space="preserve"> June 2015. Staff were trained to use tablets and related programs.</w:t>
      </w:r>
    </w:p>
    <w:p w:rsidR="004402A6" w:rsidRPr="0058627D" w:rsidRDefault="004402A6" w:rsidP="00873305">
      <w:pPr>
        <w:overflowPunct w:val="0"/>
        <w:autoSpaceDE w:val="0"/>
        <w:autoSpaceDN w:val="0"/>
        <w:adjustRightInd w:val="0"/>
        <w:ind w:left="180"/>
        <w:jc w:val="both"/>
        <w:rPr>
          <w:rtl/>
        </w:rPr>
      </w:pPr>
    </w:p>
    <w:p w:rsidR="004402A6" w:rsidRPr="0058627D" w:rsidRDefault="004402A6" w:rsidP="00873305">
      <w:pPr>
        <w:pStyle w:val="ListParagraph"/>
        <w:jc w:val="both"/>
        <w:rPr>
          <w:b/>
          <w:bCs/>
          <w:rtl/>
        </w:rPr>
      </w:pP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rPr>
          <w:b/>
          <w:bCs/>
          <w:rtl/>
        </w:rPr>
      </w:pPr>
      <w:r w:rsidRPr="0058627D">
        <w:rPr>
          <w:b/>
          <w:bCs/>
        </w:rPr>
        <w:t xml:space="preserve">Data Audit Phase: </w:t>
      </w:r>
      <w:r w:rsidRPr="0058627D">
        <w:t>During this phase, automated audit integrated in the program was used to be applied simultaneously with data collection phase.</w:t>
      </w: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rPr>
          <w:b/>
          <w:bCs/>
          <w:rtl/>
        </w:rPr>
      </w:pPr>
      <w:r w:rsidRPr="0058627D">
        <w:rPr>
          <w:b/>
          <w:bCs/>
        </w:rPr>
        <w:t xml:space="preserve">Data Cleaning Phase: </w:t>
      </w:r>
      <w:r w:rsidRPr="0058627D">
        <w:t xml:space="preserve">Automated cleaning systems were established for all questionnaire questions to ensure concordance of questions with answers and locate the out-of-context or illogical replies. Reports were prepared to provide direct data to manage the survey on daily basis in addition to progress reports per researcher and governorate to allow for follow up on field work in all different phases and correct any data errors until collection of all data in the field. </w:t>
      </w:r>
    </w:p>
    <w:p w:rsidR="004402A6" w:rsidRPr="0058627D" w:rsidRDefault="004402A6" w:rsidP="00873305">
      <w:pPr>
        <w:numPr>
          <w:ilvl w:val="0"/>
          <w:numId w:val="9"/>
        </w:numPr>
        <w:tabs>
          <w:tab w:val="clear" w:pos="720"/>
          <w:tab w:val="num" w:pos="426"/>
        </w:tabs>
        <w:overflowPunct w:val="0"/>
        <w:autoSpaceDE w:val="0"/>
        <w:autoSpaceDN w:val="0"/>
        <w:bidi w:val="0"/>
        <w:adjustRightInd w:val="0"/>
        <w:ind w:left="426" w:right="0" w:hanging="246"/>
        <w:jc w:val="both"/>
        <w:rPr>
          <w:b/>
          <w:bCs/>
        </w:rPr>
      </w:pPr>
      <w:r w:rsidRPr="0058627D">
        <w:rPr>
          <w:b/>
          <w:bCs/>
        </w:rPr>
        <w:t xml:space="preserve">Data Submission Phase: </w:t>
      </w:r>
      <w:r w:rsidRPr="0058627D">
        <w:t>This is the last phase after completion of all previous phases. Survey management is provided with row data for final review and tabulation prior to output of required statistical reports.</w:t>
      </w:r>
    </w:p>
    <w:p w:rsidR="004402A6" w:rsidRPr="0058627D" w:rsidRDefault="004402A6" w:rsidP="00873305">
      <w:pPr>
        <w:pStyle w:val="ListParagraph"/>
        <w:tabs>
          <w:tab w:val="left" w:pos="6360"/>
        </w:tabs>
        <w:jc w:val="both"/>
        <w:rPr>
          <w:rtl/>
        </w:rPr>
      </w:pPr>
      <w:r w:rsidRPr="0058627D">
        <w:tab/>
      </w:r>
    </w:p>
    <w:p w:rsidR="004402A6" w:rsidRPr="0058627D" w:rsidRDefault="004402A6" w:rsidP="00873305">
      <w:pPr>
        <w:overflowPunct w:val="0"/>
        <w:autoSpaceDE w:val="0"/>
        <w:autoSpaceDN w:val="0"/>
        <w:bidi w:val="0"/>
        <w:adjustRightInd w:val="0"/>
        <w:jc w:val="both"/>
        <w:rPr>
          <w:b/>
          <w:bCs/>
          <w:rtl/>
        </w:rPr>
      </w:pPr>
      <w:r w:rsidRPr="0058627D">
        <w:rPr>
          <w:b/>
          <w:bCs/>
        </w:rPr>
        <w:t>Key Remarks:</w:t>
      </w:r>
    </w:p>
    <w:p w:rsidR="004402A6" w:rsidRPr="0058627D" w:rsidRDefault="004402A6" w:rsidP="00873305">
      <w:pPr>
        <w:overflowPunct w:val="0"/>
        <w:autoSpaceDE w:val="0"/>
        <w:autoSpaceDN w:val="0"/>
        <w:adjustRightInd w:val="0"/>
        <w:ind w:left="1"/>
        <w:jc w:val="both"/>
      </w:pPr>
    </w:p>
    <w:p w:rsidR="004402A6" w:rsidRPr="0058627D" w:rsidRDefault="004402A6" w:rsidP="00873305">
      <w:pPr>
        <w:overflowPunct w:val="0"/>
        <w:autoSpaceDE w:val="0"/>
        <w:autoSpaceDN w:val="0"/>
        <w:bidi w:val="0"/>
        <w:adjustRightInd w:val="0"/>
        <w:ind w:left="1"/>
        <w:jc w:val="both"/>
        <w:rPr>
          <w:rtl/>
        </w:rPr>
      </w:pPr>
      <w:r w:rsidRPr="0058627D">
        <w:t>Since it is the first time tablets are used to collect data in PCBS, this equipment saved time and effort and cut short old procedures phases including use of paper questionnaires and auditing. Tablets allowed for simultaneous collection and processing while ensuring high accuracy of data.</w:t>
      </w:r>
    </w:p>
    <w:p w:rsidR="004402A6" w:rsidRPr="0058627D" w:rsidRDefault="004402A6" w:rsidP="00873305">
      <w:pPr>
        <w:overflowPunct w:val="0"/>
        <w:autoSpaceDE w:val="0"/>
        <w:autoSpaceDN w:val="0"/>
        <w:adjustRightInd w:val="0"/>
        <w:ind w:left="1"/>
        <w:jc w:val="both"/>
        <w:rPr>
          <w:rtl/>
        </w:rPr>
      </w:pPr>
    </w:p>
    <w:p w:rsidR="004402A6" w:rsidRPr="0058627D" w:rsidRDefault="004402A6" w:rsidP="00873305">
      <w:pPr>
        <w:overflowPunct w:val="0"/>
        <w:autoSpaceDE w:val="0"/>
        <w:autoSpaceDN w:val="0"/>
        <w:bidi w:val="0"/>
        <w:adjustRightInd w:val="0"/>
        <w:jc w:val="both"/>
        <w:rPr>
          <w:rtl/>
        </w:rPr>
      </w:pPr>
      <w:r w:rsidRPr="0058627D">
        <w:rPr>
          <w:b/>
          <w:bCs/>
        </w:rPr>
        <w:t>Obstacles:</w:t>
      </w:r>
    </w:p>
    <w:p w:rsidR="004402A6" w:rsidRPr="0058627D" w:rsidRDefault="004402A6" w:rsidP="00873305">
      <w:pPr>
        <w:overflowPunct w:val="0"/>
        <w:autoSpaceDE w:val="0"/>
        <w:autoSpaceDN w:val="0"/>
        <w:bidi w:val="0"/>
        <w:adjustRightInd w:val="0"/>
        <w:ind w:left="1"/>
        <w:jc w:val="both"/>
        <w:rPr>
          <w:rtl/>
        </w:rPr>
      </w:pPr>
      <w:r w:rsidRPr="0058627D">
        <w:t xml:space="preserve">It should be noted that the team faced obstacles including low time/number of researcher’s ratio with </w:t>
      </w:r>
      <w:r w:rsidRPr="0063511D">
        <w:t>a few tablets</w:t>
      </w:r>
      <w:r w:rsidRPr="0058627D">
        <w:t xml:space="preserve"> and large sample size. The team had to make double effort since it is the first time that the tablets are used to collect data in the Gaza Strip.</w:t>
      </w:r>
    </w:p>
    <w:p w:rsidR="004402A6" w:rsidRDefault="004402A6" w:rsidP="00873305">
      <w:pPr>
        <w:tabs>
          <w:tab w:val="left" w:pos="1798"/>
        </w:tabs>
        <w:jc w:val="both"/>
        <w:rPr>
          <w:rtl/>
          <w:lang w:eastAsia="en-US"/>
        </w:rPr>
      </w:pPr>
      <w:r w:rsidRPr="0058627D">
        <w:rPr>
          <w:rtl/>
          <w:lang w:eastAsia="en-US"/>
        </w:rPr>
        <w:tab/>
      </w:r>
    </w:p>
    <w:p w:rsidR="009968AB" w:rsidRPr="0058627D" w:rsidRDefault="009968AB" w:rsidP="00873305">
      <w:pPr>
        <w:tabs>
          <w:tab w:val="left" w:pos="1798"/>
        </w:tabs>
        <w:jc w:val="both"/>
        <w:rPr>
          <w:rtl/>
          <w:lang w:eastAsia="en-US"/>
        </w:rPr>
      </w:pPr>
    </w:p>
    <w:p w:rsidR="004402A6" w:rsidRPr="0058627D" w:rsidRDefault="004402A6" w:rsidP="009968AB">
      <w:pPr>
        <w:pStyle w:val="Header"/>
        <w:numPr>
          <w:ilvl w:val="1"/>
          <w:numId w:val="22"/>
        </w:numPr>
        <w:tabs>
          <w:tab w:val="clear" w:pos="4153"/>
          <w:tab w:val="clear" w:pos="8306"/>
        </w:tabs>
        <w:bidi w:val="0"/>
        <w:jc w:val="both"/>
        <w:rPr>
          <w:b/>
          <w:bCs/>
          <w:rtl/>
        </w:rPr>
      </w:pPr>
      <w:r w:rsidRPr="0058627D">
        <w:rPr>
          <w:b/>
          <w:bCs/>
        </w:rPr>
        <w:lastRenderedPageBreak/>
        <w:t xml:space="preserve">Data </w:t>
      </w:r>
      <w:r w:rsidR="009968AB">
        <w:rPr>
          <w:b/>
          <w:bCs/>
        </w:rPr>
        <w:t>Validity</w:t>
      </w:r>
    </w:p>
    <w:p w:rsidR="004402A6" w:rsidRPr="0058627D" w:rsidRDefault="004402A6" w:rsidP="00873305">
      <w:pPr>
        <w:bidi w:val="0"/>
        <w:jc w:val="both"/>
      </w:pPr>
      <w:r w:rsidRPr="0058627D">
        <w:t>Data accuracy is handled to reach the closest estimate to real or accurate value. The real value is unknown since it is the value obtained when data are collected and processed without any error relevant to the units comprising the statistical population. Error in estimates of a particular survey is the difference between estimates and the real value of the quantity estimated. Data for this survey was collected using sampling and not full census. It therefore is vulnerable to two key errors:</w:t>
      </w:r>
    </w:p>
    <w:p w:rsidR="004402A6" w:rsidRPr="0058627D" w:rsidRDefault="004402A6" w:rsidP="00873305">
      <w:pPr>
        <w:pStyle w:val="Header"/>
        <w:tabs>
          <w:tab w:val="clear" w:pos="4153"/>
          <w:tab w:val="clear" w:pos="8306"/>
        </w:tabs>
        <w:jc w:val="both"/>
        <w:rPr>
          <w:b/>
          <w:bCs/>
          <w:sz w:val="16"/>
          <w:szCs w:val="16"/>
          <w:rtl/>
        </w:rPr>
      </w:pPr>
    </w:p>
    <w:p w:rsidR="004402A6" w:rsidRPr="0058627D" w:rsidRDefault="002C34DD" w:rsidP="00873305">
      <w:pPr>
        <w:pStyle w:val="Header"/>
        <w:tabs>
          <w:tab w:val="clear" w:pos="4153"/>
          <w:tab w:val="clear" w:pos="8306"/>
        </w:tabs>
        <w:bidi w:val="0"/>
        <w:jc w:val="both"/>
        <w:rPr>
          <w:b/>
          <w:bCs/>
          <w:rtl/>
        </w:rPr>
      </w:pPr>
      <w:r>
        <w:rPr>
          <w:b/>
          <w:bCs/>
        </w:rPr>
        <w:t xml:space="preserve">2.7.1 </w:t>
      </w:r>
      <w:r w:rsidR="004402A6" w:rsidRPr="0058627D">
        <w:rPr>
          <w:b/>
          <w:bCs/>
          <w:rtl/>
        </w:rPr>
        <w:t xml:space="preserve"> </w:t>
      </w:r>
      <w:r w:rsidR="004402A6" w:rsidRPr="0058627D">
        <w:rPr>
          <w:b/>
          <w:bCs/>
        </w:rPr>
        <w:t>Sampling Errors</w:t>
      </w:r>
    </w:p>
    <w:p w:rsidR="004402A6" w:rsidRPr="0058627D" w:rsidRDefault="004402A6" w:rsidP="0009103D">
      <w:pPr>
        <w:bidi w:val="0"/>
        <w:jc w:val="both"/>
        <w:rPr>
          <w:rtl/>
        </w:rPr>
      </w:pPr>
      <w:r w:rsidRPr="0058627D">
        <w:t xml:space="preserve">These are errors that result from studying part (sample) of the society and not all society units. Since the socioeconomic conditions survey </w:t>
      </w:r>
      <w:r w:rsidR="0009103D">
        <w:t>2014</w:t>
      </w:r>
      <w:r w:rsidRPr="0058627D">
        <w:t xml:space="preserve"> was conducted on a sample, </w:t>
      </w:r>
      <w:r w:rsidR="0009103D">
        <w:t>sampling</w:t>
      </w:r>
      <w:r w:rsidRPr="0058627D">
        <w:t xml:space="preserve"> errors are expected to occur. To minimize </w:t>
      </w:r>
      <w:r w:rsidR="0009103D">
        <w:t>sampling</w:t>
      </w:r>
      <w:r w:rsidRPr="0058627D">
        <w:t xml:space="preserve"> errors, a properly designed probability sample was used to calculate errors throughout the process. This means that for every unit of the society there is a probability to be selected in the sample. The variance was calculated to measure the impact</w:t>
      </w:r>
      <w:r w:rsidR="0009103D">
        <w:t xml:space="preserve"> on sample design for Palestine.</w:t>
      </w:r>
    </w:p>
    <w:p w:rsidR="004402A6" w:rsidRPr="0058627D" w:rsidRDefault="004402A6" w:rsidP="00873305">
      <w:pPr>
        <w:jc w:val="both"/>
        <w:rPr>
          <w:rtl/>
        </w:rPr>
      </w:pPr>
    </w:p>
    <w:p w:rsidR="004402A6" w:rsidRPr="0058627D" w:rsidRDefault="004402A6" w:rsidP="009968AB">
      <w:pPr>
        <w:bidi w:val="0"/>
        <w:jc w:val="center"/>
      </w:pPr>
      <w:r w:rsidRPr="0058627D">
        <w:rPr>
          <w:b/>
          <w:bCs/>
        </w:rPr>
        <w:t>Summary of Variance Calculation of Core Survey Indicators</w:t>
      </w:r>
    </w:p>
    <w:tbl>
      <w:tblPr>
        <w:tblW w:w="9427" w:type="dxa"/>
        <w:jc w:val="center"/>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64"/>
        <w:gridCol w:w="1150"/>
        <w:gridCol w:w="1191"/>
        <w:gridCol w:w="1075"/>
        <w:gridCol w:w="1190"/>
        <w:gridCol w:w="1257"/>
      </w:tblGrid>
      <w:tr w:rsidR="004402A6" w:rsidRPr="0058627D" w:rsidTr="0063511D">
        <w:trPr>
          <w:jc w:val="center"/>
        </w:trPr>
        <w:tc>
          <w:tcPr>
            <w:tcW w:w="3564" w:type="dxa"/>
            <w:vMerge w:val="restart"/>
            <w:shd w:val="clear" w:color="auto" w:fill="auto"/>
            <w:vAlign w:val="center"/>
          </w:tcPr>
          <w:p w:rsidR="004402A6" w:rsidRPr="0058627D" w:rsidRDefault="004402A6" w:rsidP="00873305">
            <w:pPr>
              <w:bidi w:val="0"/>
              <w:jc w:val="both"/>
              <w:rPr>
                <w:b/>
                <w:bCs/>
                <w:sz w:val="20"/>
                <w:szCs w:val="20"/>
              </w:rPr>
            </w:pPr>
            <w:r w:rsidRPr="0058627D">
              <w:rPr>
                <w:b/>
                <w:bCs/>
                <w:sz w:val="20"/>
                <w:szCs w:val="20"/>
              </w:rPr>
              <w:t>Indicator</w:t>
            </w:r>
          </w:p>
        </w:tc>
        <w:tc>
          <w:tcPr>
            <w:tcW w:w="1150" w:type="dxa"/>
            <w:vMerge w:val="restart"/>
            <w:shd w:val="clear" w:color="auto" w:fill="auto"/>
            <w:vAlign w:val="center"/>
          </w:tcPr>
          <w:p w:rsidR="004402A6" w:rsidRPr="0058627D" w:rsidRDefault="004402A6" w:rsidP="00873305">
            <w:pPr>
              <w:bidi w:val="0"/>
              <w:jc w:val="both"/>
              <w:rPr>
                <w:b/>
                <w:bCs/>
                <w:sz w:val="20"/>
                <w:szCs w:val="20"/>
              </w:rPr>
            </w:pPr>
            <w:r w:rsidRPr="0058627D">
              <w:rPr>
                <w:b/>
                <w:bCs/>
                <w:sz w:val="20"/>
                <w:szCs w:val="20"/>
              </w:rPr>
              <w:t>Estimate</w:t>
            </w:r>
          </w:p>
        </w:tc>
        <w:tc>
          <w:tcPr>
            <w:tcW w:w="1191" w:type="dxa"/>
            <w:vMerge w:val="restart"/>
            <w:shd w:val="clear" w:color="auto" w:fill="auto"/>
            <w:vAlign w:val="center"/>
          </w:tcPr>
          <w:p w:rsidR="004402A6" w:rsidRPr="0058627D" w:rsidRDefault="004402A6" w:rsidP="00873305">
            <w:pPr>
              <w:bidi w:val="0"/>
              <w:jc w:val="both"/>
              <w:rPr>
                <w:b/>
                <w:bCs/>
                <w:sz w:val="20"/>
                <w:szCs w:val="20"/>
              </w:rPr>
            </w:pPr>
            <w:r w:rsidRPr="0058627D">
              <w:rPr>
                <w:b/>
                <w:bCs/>
                <w:sz w:val="20"/>
                <w:szCs w:val="20"/>
              </w:rPr>
              <w:t>Standard error</w:t>
            </w:r>
          </w:p>
        </w:tc>
        <w:tc>
          <w:tcPr>
            <w:tcW w:w="1075" w:type="dxa"/>
            <w:vMerge w:val="restart"/>
            <w:shd w:val="clear" w:color="auto" w:fill="auto"/>
            <w:vAlign w:val="center"/>
          </w:tcPr>
          <w:p w:rsidR="004402A6" w:rsidRPr="0058627D" w:rsidRDefault="004402A6" w:rsidP="00873305">
            <w:pPr>
              <w:bidi w:val="0"/>
              <w:jc w:val="both"/>
              <w:rPr>
                <w:b/>
                <w:bCs/>
                <w:sz w:val="20"/>
                <w:szCs w:val="20"/>
              </w:rPr>
            </w:pPr>
            <w:r w:rsidRPr="0058627D">
              <w:rPr>
                <w:b/>
                <w:bCs/>
                <w:sz w:val="20"/>
                <w:szCs w:val="20"/>
              </w:rPr>
              <w:t>Percent error (%)</w:t>
            </w:r>
          </w:p>
        </w:tc>
        <w:tc>
          <w:tcPr>
            <w:tcW w:w="2447" w:type="dxa"/>
            <w:gridSpan w:val="2"/>
            <w:shd w:val="clear" w:color="auto" w:fill="auto"/>
            <w:vAlign w:val="center"/>
          </w:tcPr>
          <w:p w:rsidR="004402A6" w:rsidRPr="0058627D" w:rsidRDefault="004402A6" w:rsidP="00873305">
            <w:pPr>
              <w:bidi w:val="0"/>
              <w:jc w:val="both"/>
              <w:rPr>
                <w:b/>
                <w:bCs/>
                <w:sz w:val="20"/>
                <w:szCs w:val="20"/>
              </w:rPr>
            </w:pPr>
            <w:r w:rsidRPr="0058627D">
              <w:rPr>
                <w:b/>
                <w:bCs/>
                <w:sz w:val="20"/>
                <w:szCs w:val="20"/>
              </w:rPr>
              <w:t>Confidence interval (95%)</w:t>
            </w:r>
          </w:p>
        </w:tc>
      </w:tr>
      <w:tr w:rsidR="004402A6" w:rsidRPr="0058627D" w:rsidTr="0063511D">
        <w:trPr>
          <w:jc w:val="center"/>
        </w:trPr>
        <w:tc>
          <w:tcPr>
            <w:tcW w:w="3564" w:type="dxa"/>
            <w:vMerge/>
            <w:shd w:val="clear" w:color="auto" w:fill="auto"/>
            <w:vAlign w:val="center"/>
          </w:tcPr>
          <w:p w:rsidR="004402A6" w:rsidRPr="0058627D" w:rsidRDefault="004402A6" w:rsidP="00873305">
            <w:pPr>
              <w:bidi w:val="0"/>
              <w:jc w:val="both"/>
              <w:rPr>
                <w:b/>
                <w:bCs/>
                <w:sz w:val="20"/>
                <w:szCs w:val="20"/>
              </w:rPr>
            </w:pPr>
          </w:p>
        </w:tc>
        <w:tc>
          <w:tcPr>
            <w:tcW w:w="1150" w:type="dxa"/>
            <w:vMerge/>
            <w:shd w:val="clear" w:color="auto" w:fill="auto"/>
            <w:vAlign w:val="center"/>
          </w:tcPr>
          <w:p w:rsidR="004402A6" w:rsidRPr="0058627D" w:rsidRDefault="004402A6" w:rsidP="00873305">
            <w:pPr>
              <w:bidi w:val="0"/>
              <w:jc w:val="both"/>
              <w:rPr>
                <w:b/>
                <w:bCs/>
                <w:sz w:val="20"/>
                <w:szCs w:val="20"/>
              </w:rPr>
            </w:pPr>
          </w:p>
        </w:tc>
        <w:tc>
          <w:tcPr>
            <w:tcW w:w="1191" w:type="dxa"/>
            <w:vMerge/>
            <w:shd w:val="clear" w:color="auto" w:fill="auto"/>
            <w:vAlign w:val="center"/>
          </w:tcPr>
          <w:p w:rsidR="004402A6" w:rsidRPr="0058627D" w:rsidRDefault="004402A6" w:rsidP="00873305">
            <w:pPr>
              <w:bidi w:val="0"/>
              <w:jc w:val="both"/>
              <w:rPr>
                <w:b/>
                <w:bCs/>
                <w:sz w:val="20"/>
                <w:szCs w:val="20"/>
              </w:rPr>
            </w:pPr>
          </w:p>
        </w:tc>
        <w:tc>
          <w:tcPr>
            <w:tcW w:w="1075" w:type="dxa"/>
            <w:vMerge/>
            <w:shd w:val="clear" w:color="auto" w:fill="auto"/>
            <w:vAlign w:val="center"/>
          </w:tcPr>
          <w:p w:rsidR="004402A6" w:rsidRPr="0058627D" w:rsidRDefault="004402A6" w:rsidP="00873305">
            <w:pPr>
              <w:bidi w:val="0"/>
              <w:jc w:val="both"/>
              <w:rPr>
                <w:b/>
                <w:bCs/>
                <w:sz w:val="20"/>
                <w:szCs w:val="20"/>
              </w:rPr>
            </w:pPr>
          </w:p>
        </w:tc>
        <w:tc>
          <w:tcPr>
            <w:tcW w:w="1190" w:type="dxa"/>
            <w:shd w:val="clear" w:color="auto" w:fill="auto"/>
            <w:vAlign w:val="center"/>
          </w:tcPr>
          <w:p w:rsidR="004402A6" w:rsidRPr="0058627D" w:rsidRDefault="004402A6" w:rsidP="00873305">
            <w:pPr>
              <w:bidi w:val="0"/>
              <w:jc w:val="both"/>
              <w:rPr>
                <w:b/>
                <w:bCs/>
                <w:sz w:val="20"/>
                <w:szCs w:val="20"/>
              </w:rPr>
            </w:pPr>
            <w:r w:rsidRPr="0058627D">
              <w:rPr>
                <w:b/>
                <w:bCs/>
                <w:sz w:val="20"/>
                <w:szCs w:val="20"/>
              </w:rPr>
              <w:t>Minimum</w:t>
            </w:r>
          </w:p>
        </w:tc>
        <w:tc>
          <w:tcPr>
            <w:tcW w:w="1257" w:type="dxa"/>
            <w:shd w:val="clear" w:color="auto" w:fill="auto"/>
            <w:vAlign w:val="center"/>
          </w:tcPr>
          <w:p w:rsidR="004402A6" w:rsidRPr="0058627D" w:rsidRDefault="004402A6" w:rsidP="00873305">
            <w:pPr>
              <w:bidi w:val="0"/>
              <w:jc w:val="both"/>
              <w:rPr>
                <w:b/>
                <w:bCs/>
                <w:sz w:val="20"/>
                <w:szCs w:val="20"/>
              </w:rPr>
            </w:pPr>
            <w:r w:rsidRPr="0058627D">
              <w:rPr>
                <w:b/>
                <w:bCs/>
                <w:sz w:val="20"/>
                <w:szCs w:val="20"/>
              </w:rPr>
              <w:t>maximum</w:t>
            </w:r>
          </w:p>
        </w:tc>
      </w:tr>
      <w:tr w:rsidR="004402A6" w:rsidRPr="0058627D" w:rsidTr="0063511D">
        <w:trPr>
          <w:jc w:val="center"/>
        </w:trPr>
        <w:tc>
          <w:tcPr>
            <w:tcW w:w="3564" w:type="dxa"/>
            <w:shd w:val="clear" w:color="auto" w:fill="auto"/>
          </w:tcPr>
          <w:p w:rsidR="004402A6" w:rsidRPr="0058627D" w:rsidRDefault="004402A6" w:rsidP="00873305">
            <w:pPr>
              <w:bidi w:val="0"/>
              <w:jc w:val="both"/>
              <w:rPr>
                <w:sz w:val="20"/>
                <w:szCs w:val="20"/>
              </w:rPr>
            </w:pPr>
            <w:r w:rsidRPr="0058627D">
              <w:rPr>
                <w:sz w:val="20"/>
                <w:szCs w:val="20"/>
              </w:rPr>
              <w:t>Percentage of Households who received any type of assistance in the State of Palestine in the past six months of 2013</w:t>
            </w:r>
          </w:p>
        </w:tc>
        <w:tc>
          <w:tcPr>
            <w:tcW w:w="1150" w:type="dxa"/>
            <w:shd w:val="clear" w:color="auto" w:fill="auto"/>
            <w:vAlign w:val="center"/>
          </w:tcPr>
          <w:p w:rsidR="004402A6" w:rsidRPr="0058627D" w:rsidRDefault="004402A6" w:rsidP="00873305">
            <w:pPr>
              <w:jc w:val="both"/>
              <w:rPr>
                <w:rtl/>
              </w:rPr>
            </w:pPr>
            <w:r w:rsidRPr="0058627D">
              <w:rPr>
                <w:rtl/>
              </w:rPr>
              <w:t>32.3</w:t>
            </w:r>
          </w:p>
        </w:tc>
        <w:tc>
          <w:tcPr>
            <w:tcW w:w="1191" w:type="dxa"/>
            <w:shd w:val="clear" w:color="auto" w:fill="auto"/>
            <w:vAlign w:val="center"/>
          </w:tcPr>
          <w:p w:rsidR="004402A6" w:rsidRPr="0058627D" w:rsidRDefault="004402A6" w:rsidP="00873305">
            <w:pPr>
              <w:jc w:val="both"/>
              <w:rPr>
                <w:rtl/>
              </w:rPr>
            </w:pPr>
            <w:r w:rsidRPr="0058627D">
              <w:rPr>
                <w:rtl/>
              </w:rPr>
              <w:t>0.8%</w:t>
            </w:r>
          </w:p>
        </w:tc>
        <w:tc>
          <w:tcPr>
            <w:tcW w:w="1075" w:type="dxa"/>
            <w:shd w:val="clear" w:color="auto" w:fill="auto"/>
            <w:vAlign w:val="center"/>
          </w:tcPr>
          <w:p w:rsidR="004402A6" w:rsidRPr="0058627D" w:rsidRDefault="004402A6" w:rsidP="00873305">
            <w:pPr>
              <w:ind w:right="16"/>
              <w:jc w:val="both"/>
              <w:rPr>
                <w:rtl/>
              </w:rPr>
            </w:pPr>
            <w:r w:rsidRPr="0058627D">
              <w:rPr>
                <w:rtl/>
              </w:rPr>
              <w:t>2.6</w:t>
            </w:r>
          </w:p>
        </w:tc>
        <w:tc>
          <w:tcPr>
            <w:tcW w:w="1190" w:type="dxa"/>
            <w:shd w:val="clear" w:color="auto" w:fill="auto"/>
            <w:vAlign w:val="center"/>
          </w:tcPr>
          <w:p w:rsidR="004402A6" w:rsidRPr="0058627D" w:rsidRDefault="004402A6" w:rsidP="00873305">
            <w:pPr>
              <w:jc w:val="both"/>
              <w:rPr>
                <w:rtl/>
              </w:rPr>
            </w:pPr>
            <w:r w:rsidRPr="0058627D">
              <w:rPr>
                <w:rtl/>
              </w:rPr>
              <w:t>30.7%</w:t>
            </w:r>
          </w:p>
        </w:tc>
        <w:tc>
          <w:tcPr>
            <w:tcW w:w="1257" w:type="dxa"/>
            <w:shd w:val="clear" w:color="auto" w:fill="auto"/>
            <w:vAlign w:val="center"/>
          </w:tcPr>
          <w:p w:rsidR="004402A6" w:rsidRPr="0058627D" w:rsidRDefault="004402A6" w:rsidP="00873305">
            <w:pPr>
              <w:jc w:val="both"/>
              <w:rPr>
                <w:rtl/>
              </w:rPr>
            </w:pPr>
            <w:r w:rsidRPr="0058627D">
              <w:rPr>
                <w:rtl/>
              </w:rPr>
              <w:t>34%</w:t>
            </w:r>
          </w:p>
        </w:tc>
      </w:tr>
      <w:tr w:rsidR="004402A6" w:rsidRPr="0058627D" w:rsidTr="0063511D">
        <w:trPr>
          <w:jc w:val="center"/>
        </w:trPr>
        <w:tc>
          <w:tcPr>
            <w:tcW w:w="3564" w:type="dxa"/>
            <w:shd w:val="clear" w:color="auto" w:fill="auto"/>
          </w:tcPr>
          <w:p w:rsidR="004402A6" w:rsidRPr="0058627D" w:rsidRDefault="004402A6" w:rsidP="00873305">
            <w:pPr>
              <w:bidi w:val="0"/>
              <w:jc w:val="both"/>
              <w:rPr>
                <w:sz w:val="20"/>
                <w:szCs w:val="20"/>
              </w:rPr>
            </w:pPr>
            <w:r w:rsidRPr="0058627D">
              <w:rPr>
                <w:sz w:val="20"/>
                <w:szCs w:val="20"/>
              </w:rPr>
              <w:t>Household consumption rate in NIS in the past six months</w:t>
            </w:r>
          </w:p>
        </w:tc>
        <w:tc>
          <w:tcPr>
            <w:tcW w:w="1150" w:type="dxa"/>
            <w:shd w:val="clear" w:color="auto" w:fill="auto"/>
            <w:vAlign w:val="center"/>
          </w:tcPr>
          <w:p w:rsidR="004402A6" w:rsidRPr="0058627D" w:rsidRDefault="004402A6" w:rsidP="00873305">
            <w:pPr>
              <w:jc w:val="both"/>
              <w:rPr>
                <w:rtl/>
              </w:rPr>
            </w:pPr>
            <w:r w:rsidRPr="0058627D">
              <w:rPr>
                <w:rtl/>
              </w:rPr>
              <w:t>2646</w:t>
            </w:r>
          </w:p>
        </w:tc>
        <w:tc>
          <w:tcPr>
            <w:tcW w:w="1191" w:type="dxa"/>
            <w:shd w:val="clear" w:color="auto" w:fill="auto"/>
            <w:vAlign w:val="center"/>
          </w:tcPr>
          <w:p w:rsidR="004402A6" w:rsidRPr="0058627D" w:rsidRDefault="004402A6" w:rsidP="00873305">
            <w:pPr>
              <w:jc w:val="both"/>
              <w:rPr>
                <w:rtl/>
              </w:rPr>
            </w:pPr>
            <w:r w:rsidRPr="0058627D">
              <w:rPr>
                <w:rtl/>
              </w:rPr>
              <w:t>34</w:t>
            </w:r>
          </w:p>
        </w:tc>
        <w:tc>
          <w:tcPr>
            <w:tcW w:w="1075" w:type="dxa"/>
            <w:shd w:val="clear" w:color="auto" w:fill="auto"/>
            <w:vAlign w:val="center"/>
          </w:tcPr>
          <w:p w:rsidR="004402A6" w:rsidRPr="0058627D" w:rsidRDefault="004402A6" w:rsidP="00873305">
            <w:pPr>
              <w:ind w:right="16"/>
              <w:jc w:val="both"/>
              <w:rPr>
                <w:rtl/>
              </w:rPr>
            </w:pPr>
            <w:r w:rsidRPr="0058627D">
              <w:rPr>
                <w:rtl/>
              </w:rPr>
              <w:t>1.3</w:t>
            </w:r>
          </w:p>
        </w:tc>
        <w:tc>
          <w:tcPr>
            <w:tcW w:w="1190" w:type="dxa"/>
            <w:shd w:val="clear" w:color="auto" w:fill="auto"/>
            <w:vAlign w:val="center"/>
          </w:tcPr>
          <w:p w:rsidR="004402A6" w:rsidRPr="0058627D" w:rsidRDefault="004402A6" w:rsidP="00873305">
            <w:pPr>
              <w:jc w:val="both"/>
              <w:rPr>
                <w:rtl/>
              </w:rPr>
            </w:pPr>
            <w:r w:rsidRPr="0058627D">
              <w:rPr>
                <w:rtl/>
              </w:rPr>
              <w:t>2579</w:t>
            </w:r>
          </w:p>
        </w:tc>
        <w:tc>
          <w:tcPr>
            <w:tcW w:w="1257" w:type="dxa"/>
            <w:shd w:val="clear" w:color="auto" w:fill="auto"/>
            <w:vAlign w:val="center"/>
          </w:tcPr>
          <w:p w:rsidR="004402A6" w:rsidRPr="0058627D" w:rsidRDefault="004402A6" w:rsidP="00873305">
            <w:pPr>
              <w:jc w:val="both"/>
              <w:rPr>
                <w:rtl/>
              </w:rPr>
            </w:pPr>
            <w:r w:rsidRPr="0058627D">
              <w:rPr>
                <w:rtl/>
              </w:rPr>
              <w:t>2713</w:t>
            </w:r>
          </w:p>
        </w:tc>
      </w:tr>
      <w:tr w:rsidR="004402A6" w:rsidRPr="0058627D" w:rsidTr="0063511D">
        <w:trPr>
          <w:jc w:val="center"/>
        </w:trPr>
        <w:tc>
          <w:tcPr>
            <w:tcW w:w="3564" w:type="dxa"/>
            <w:shd w:val="clear" w:color="auto" w:fill="auto"/>
          </w:tcPr>
          <w:p w:rsidR="004402A6" w:rsidRPr="0058627D" w:rsidRDefault="004402A6" w:rsidP="00873305">
            <w:pPr>
              <w:bidi w:val="0"/>
              <w:jc w:val="both"/>
              <w:rPr>
                <w:sz w:val="20"/>
                <w:szCs w:val="20"/>
              </w:rPr>
            </w:pPr>
            <w:r w:rsidRPr="0058627D">
              <w:rPr>
                <w:sz w:val="20"/>
                <w:szCs w:val="20"/>
              </w:rPr>
              <w:t>Percentage of households whose income has not changed in the past six months in the State of Palestine in 2013.</w:t>
            </w:r>
          </w:p>
        </w:tc>
        <w:tc>
          <w:tcPr>
            <w:tcW w:w="1150" w:type="dxa"/>
            <w:shd w:val="clear" w:color="auto" w:fill="auto"/>
            <w:vAlign w:val="center"/>
          </w:tcPr>
          <w:p w:rsidR="004402A6" w:rsidRPr="0058627D" w:rsidRDefault="004402A6" w:rsidP="00873305">
            <w:pPr>
              <w:jc w:val="both"/>
              <w:rPr>
                <w:rtl/>
              </w:rPr>
            </w:pPr>
            <w:r w:rsidRPr="0058627D">
              <w:rPr>
                <w:rtl/>
              </w:rPr>
              <w:t>65.9</w:t>
            </w:r>
          </w:p>
        </w:tc>
        <w:tc>
          <w:tcPr>
            <w:tcW w:w="1191" w:type="dxa"/>
            <w:shd w:val="clear" w:color="auto" w:fill="auto"/>
            <w:vAlign w:val="center"/>
          </w:tcPr>
          <w:p w:rsidR="004402A6" w:rsidRPr="0058627D" w:rsidRDefault="004402A6" w:rsidP="00873305">
            <w:pPr>
              <w:jc w:val="both"/>
              <w:rPr>
                <w:rtl/>
              </w:rPr>
            </w:pPr>
            <w:r w:rsidRPr="0058627D">
              <w:rPr>
                <w:rtl/>
              </w:rPr>
              <w:t>1.1%</w:t>
            </w:r>
          </w:p>
        </w:tc>
        <w:tc>
          <w:tcPr>
            <w:tcW w:w="1075" w:type="dxa"/>
            <w:shd w:val="clear" w:color="auto" w:fill="auto"/>
            <w:vAlign w:val="center"/>
          </w:tcPr>
          <w:p w:rsidR="004402A6" w:rsidRPr="0058627D" w:rsidRDefault="004402A6" w:rsidP="00873305">
            <w:pPr>
              <w:ind w:right="16"/>
              <w:jc w:val="both"/>
              <w:rPr>
                <w:rtl/>
              </w:rPr>
            </w:pPr>
            <w:r w:rsidRPr="0058627D">
              <w:rPr>
                <w:rtl/>
              </w:rPr>
              <w:t>1.7</w:t>
            </w:r>
          </w:p>
        </w:tc>
        <w:tc>
          <w:tcPr>
            <w:tcW w:w="1190" w:type="dxa"/>
            <w:shd w:val="clear" w:color="auto" w:fill="auto"/>
            <w:vAlign w:val="center"/>
          </w:tcPr>
          <w:p w:rsidR="004402A6" w:rsidRPr="0058627D" w:rsidRDefault="004402A6" w:rsidP="00873305">
            <w:pPr>
              <w:jc w:val="both"/>
              <w:rPr>
                <w:rtl/>
              </w:rPr>
            </w:pPr>
            <w:r w:rsidRPr="0058627D">
              <w:rPr>
                <w:rtl/>
              </w:rPr>
              <w:t>63.6%</w:t>
            </w:r>
          </w:p>
        </w:tc>
        <w:tc>
          <w:tcPr>
            <w:tcW w:w="1257" w:type="dxa"/>
            <w:shd w:val="clear" w:color="auto" w:fill="auto"/>
            <w:vAlign w:val="center"/>
          </w:tcPr>
          <w:p w:rsidR="004402A6" w:rsidRPr="0058627D" w:rsidRDefault="004402A6" w:rsidP="00873305">
            <w:pPr>
              <w:jc w:val="both"/>
              <w:rPr>
                <w:rtl/>
              </w:rPr>
            </w:pPr>
            <w:r w:rsidRPr="0058627D">
              <w:rPr>
                <w:rtl/>
              </w:rPr>
              <w:t>68.1%</w:t>
            </w:r>
          </w:p>
        </w:tc>
      </w:tr>
    </w:tbl>
    <w:p w:rsidR="004402A6" w:rsidRPr="0058627D" w:rsidRDefault="004402A6" w:rsidP="00873305">
      <w:pPr>
        <w:bidi w:val="0"/>
        <w:jc w:val="both"/>
        <w:rPr>
          <w:rtl/>
        </w:rPr>
      </w:pPr>
    </w:p>
    <w:p w:rsidR="004402A6" w:rsidRPr="0058627D" w:rsidRDefault="004402A6" w:rsidP="00873305">
      <w:pPr>
        <w:pStyle w:val="Header"/>
        <w:numPr>
          <w:ilvl w:val="2"/>
          <w:numId w:val="7"/>
        </w:numPr>
        <w:tabs>
          <w:tab w:val="clear" w:pos="4153"/>
          <w:tab w:val="clear" w:pos="8306"/>
        </w:tabs>
        <w:bidi w:val="0"/>
        <w:ind w:left="568" w:hanging="568"/>
        <w:jc w:val="both"/>
        <w:rPr>
          <w:b/>
          <w:bCs/>
          <w:rtl/>
        </w:rPr>
      </w:pPr>
      <w:r w:rsidRPr="0058627D">
        <w:rPr>
          <w:b/>
          <w:bCs/>
        </w:rPr>
        <w:t xml:space="preserve"> Non-Sampling Errors</w:t>
      </w:r>
    </w:p>
    <w:p w:rsidR="004402A6" w:rsidRPr="0058627D" w:rsidRDefault="004402A6" w:rsidP="0009103D">
      <w:pPr>
        <w:pStyle w:val="ListParagraph"/>
        <w:bidi w:val="0"/>
        <w:ind w:left="0"/>
        <w:jc w:val="both"/>
      </w:pPr>
      <w:r w:rsidRPr="0058627D">
        <w:t xml:space="preserve">Non </w:t>
      </w:r>
      <w:r w:rsidR="0009103D">
        <w:t>sampling</w:t>
      </w:r>
      <w:r w:rsidRPr="0058627D">
        <w:t xml:space="preserve"> errors in the survey resulted from the private data it collected and that some households considered this as interference in the very details of their private life. They refused to cooperate with data. Several methods were used to convince households provide answers and minimize non-response. Efforts were made to train field workers to use all means to confront this problem.</w:t>
      </w:r>
    </w:p>
    <w:p w:rsidR="004402A6" w:rsidRPr="0058627D" w:rsidRDefault="004402A6" w:rsidP="00873305">
      <w:pPr>
        <w:pStyle w:val="ListParagraph"/>
        <w:ind w:left="480" w:right="360"/>
        <w:jc w:val="both"/>
        <w:rPr>
          <w:rtl/>
        </w:rPr>
      </w:pPr>
    </w:p>
    <w:p w:rsidR="004402A6" w:rsidRPr="0058627D" w:rsidRDefault="002C34DD" w:rsidP="00873305">
      <w:pPr>
        <w:pStyle w:val="BodyTextIndent"/>
        <w:bidi w:val="0"/>
        <w:ind w:left="0" w:hanging="1"/>
        <w:rPr>
          <w:b/>
          <w:bCs/>
        </w:rPr>
      </w:pPr>
      <w:r>
        <w:rPr>
          <w:b/>
          <w:bCs/>
        </w:rPr>
        <w:t>2.8</w:t>
      </w:r>
      <w:r w:rsidR="004402A6" w:rsidRPr="0058627D">
        <w:rPr>
          <w:b/>
          <w:bCs/>
          <w:rtl/>
        </w:rPr>
        <w:t xml:space="preserve"> </w:t>
      </w:r>
      <w:r w:rsidR="004402A6" w:rsidRPr="0058627D">
        <w:rPr>
          <w:b/>
          <w:bCs/>
        </w:rPr>
        <w:t>Quality Control</w:t>
      </w:r>
    </w:p>
    <w:p w:rsidR="004402A6" w:rsidRPr="0058627D" w:rsidRDefault="004402A6" w:rsidP="00873305">
      <w:pPr>
        <w:pStyle w:val="Header"/>
        <w:tabs>
          <w:tab w:val="clear" w:pos="4153"/>
          <w:tab w:val="clear" w:pos="8306"/>
        </w:tabs>
        <w:bidi w:val="0"/>
        <w:jc w:val="both"/>
      </w:pPr>
      <w:r w:rsidRPr="0058627D">
        <w:t>Throughout work phases, quality control procedures have been implemented including training of data entry staff on use of entry software, testing of entry software prior to data entry. To constitute a picture of the situation and minimize problems, there was ongoing communication with field team during field visits to receive updates on field work. Regular meetings were held with field team during different field visits to address the problems researchers faced in the field and devise proper solutions thereto by issuing instructions to clarify ambiguous concepts or further explanation in case of a need for such cases in the field.</w:t>
      </w:r>
      <w:r w:rsidRPr="0058627D">
        <w:rPr>
          <w:rtl/>
        </w:rPr>
        <w:t xml:space="preserve"> </w:t>
      </w:r>
    </w:p>
    <w:p w:rsidR="004402A6" w:rsidRPr="0058627D" w:rsidRDefault="004402A6" w:rsidP="00873305">
      <w:pPr>
        <w:pStyle w:val="Header"/>
        <w:tabs>
          <w:tab w:val="clear" w:pos="4153"/>
          <w:tab w:val="clear" w:pos="8306"/>
        </w:tabs>
        <w:jc w:val="both"/>
        <w:rPr>
          <w:rtl/>
        </w:rPr>
      </w:pPr>
    </w:p>
    <w:p w:rsidR="004402A6" w:rsidRPr="0058627D" w:rsidRDefault="002C34DD" w:rsidP="00873305">
      <w:pPr>
        <w:pStyle w:val="BodyTextIndent"/>
        <w:bidi w:val="0"/>
        <w:ind w:left="0" w:right="894"/>
        <w:rPr>
          <w:rtl/>
        </w:rPr>
      </w:pPr>
      <w:r>
        <w:rPr>
          <w:b/>
          <w:bCs/>
        </w:rPr>
        <w:t>2.9</w:t>
      </w:r>
      <w:r w:rsidR="004402A6" w:rsidRPr="0058627D">
        <w:rPr>
          <w:b/>
          <w:bCs/>
          <w:rtl/>
        </w:rPr>
        <w:t xml:space="preserve"> </w:t>
      </w:r>
      <w:r w:rsidR="004402A6" w:rsidRPr="0058627D">
        <w:rPr>
          <w:b/>
          <w:bCs/>
        </w:rPr>
        <w:t>Technical Notes</w:t>
      </w:r>
      <w:r w:rsidR="004402A6" w:rsidRPr="0058627D">
        <w:rPr>
          <w:b/>
          <w:bCs/>
          <w:rtl/>
        </w:rPr>
        <w:t xml:space="preserve"> </w:t>
      </w:r>
    </w:p>
    <w:p w:rsidR="004402A6" w:rsidRPr="0058627D" w:rsidRDefault="004402A6" w:rsidP="00FC4227">
      <w:pPr>
        <w:bidi w:val="0"/>
        <w:ind w:right="1"/>
        <w:jc w:val="both"/>
      </w:pPr>
      <w:r w:rsidRPr="0058627D">
        <w:t>Sources of non-</w:t>
      </w:r>
      <w:r w:rsidR="00FC4227">
        <w:t>sampling</w:t>
      </w:r>
      <w:r w:rsidRPr="0058627D">
        <w:t xml:space="preserve"> areas in implementing the survey may be summarized as follows:</w:t>
      </w:r>
    </w:p>
    <w:p w:rsidR="004402A6" w:rsidRPr="0058627D" w:rsidRDefault="004402A6" w:rsidP="009968AB">
      <w:pPr>
        <w:numPr>
          <w:ilvl w:val="0"/>
          <w:numId w:val="5"/>
        </w:numPr>
        <w:bidi w:val="0"/>
        <w:ind w:right="1"/>
        <w:jc w:val="both"/>
      </w:pPr>
      <w:r w:rsidRPr="0058627D">
        <w:t>Inability to obtain full data in all questionnaires because of non-response cases relating to not being at home or refusal of some households to meet researcher;</w:t>
      </w:r>
    </w:p>
    <w:p w:rsidR="004402A6" w:rsidRPr="0058627D" w:rsidRDefault="004402A6" w:rsidP="009968AB">
      <w:pPr>
        <w:numPr>
          <w:ilvl w:val="0"/>
          <w:numId w:val="5"/>
        </w:numPr>
        <w:bidi w:val="0"/>
        <w:ind w:right="1"/>
        <w:jc w:val="both"/>
      </w:pPr>
      <w:r w:rsidRPr="0058627D">
        <w:t>Errors resulting from the way in which the field researcher posed the question;</w:t>
      </w:r>
    </w:p>
    <w:p w:rsidR="000F11A7" w:rsidRDefault="004402A6" w:rsidP="009968AB">
      <w:pPr>
        <w:numPr>
          <w:ilvl w:val="0"/>
          <w:numId w:val="5"/>
        </w:numPr>
        <w:bidi w:val="0"/>
        <w:ind w:right="1"/>
        <w:jc w:val="both"/>
      </w:pPr>
      <w:r w:rsidRPr="0058627D">
        <w:t>Respondents misunderstanding of question and providing an answer based on his/her understanding.</w:t>
      </w:r>
    </w:p>
    <w:p w:rsidR="000F11A7" w:rsidRDefault="000F11A7" w:rsidP="00937902">
      <w:pPr>
        <w:bidi w:val="0"/>
        <w:jc w:val="center"/>
        <w:rPr>
          <w:b/>
          <w:bCs/>
        </w:rPr>
      </w:pPr>
      <w:r>
        <w:br w:type="page"/>
      </w:r>
      <w:r w:rsidRPr="007B10B6">
        <w:rPr>
          <w:b/>
          <w:bCs/>
        </w:rPr>
        <w:lastRenderedPageBreak/>
        <w:t xml:space="preserve">Chapter </w:t>
      </w:r>
      <w:r w:rsidR="00937902">
        <w:rPr>
          <w:b/>
          <w:bCs/>
        </w:rPr>
        <w:t>Three</w:t>
      </w:r>
    </w:p>
    <w:p w:rsidR="00937902" w:rsidRPr="007B10B6" w:rsidRDefault="00937902" w:rsidP="00937902">
      <w:pPr>
        <w:bidi w:val="0"/>
        <w:jc w:val="center"/>
        <w:rPr>
          <w:b/>
          <w:bCs/>
        </w:rPr>
      </w:pPr>
    </w:p>
    <w:p w:rsidR="000F11A7" w:rsidRPr="007B10B6" w:rsidRDefault="000F11A7" w:rsidP="000F11A7">
      <w:pPr>
        <w:bidi w:val="0"/>
        <w:jc w:val="center"/>
        <w:rPr>
          <w:b/>
          <w:bCs/>
        </w:rPr>
      </w:pPr>
      <w:r w:rsidRPr="007B10B6">
        <w:rPr>
          <w:b/>
          <w:bCs/>
        </w:rPr>
        <w:t>Concepts</w:t>
      </w:r>
    </w:p>
    <w:p w:rsidR="000F11A7" w:rsidRDefault="000F11A7" w:rsidP="000F11A7">
      <w:pPr>
        <w:bidi w:val="0"/>
      </w:pPr>
    </w:p>
    <w:p w:rsidR="000F11A7" w:rsidRPr="007B10B6" w:rsidRDefault="000F11A7" w:rsidP="002733B0">
      <w:pPr>
        <w:bidi w:val="0"/>
        <w:jc w:val="both"/>
        <w:rPr>
          <w:b/>
          <w:bCs/>
        </w:rPr>
      </w:pPr>
      <w:r w:rsidRPr="007B10B6">
        <w:rPr>
          <w:b/>
          <w:bCs/>
        </w:rPr>
        <w:t>Locality</w:t>
      </w:r>
      <w:r w:rsidR="009166E4">
        <w:rPr>
          <w:b/>
          <w:bCs/>
        </w:rPr>
        <w:t>:</w:t>
      </w:r>
    </w:p>
    <w:p w:rsidR="000F11A7" w:rsidRDefault="000F11A7" w:rsidP="002733B0">
      <w:pPr>
        <w:bidi w:val="0"/>
        <w:jc w:val="both"/>
      </w:pPr>
      <w:r w:rsidRPr="007B10B6">
        <w:t>A permanently inhabited place, which has an independent municipal administration or a permanently inhabited, separated place not included within the formal boundaries of another locality and not have an independent administrative authority.</w:t>
      </w:r>
    </w:p>
    <w:p w:rsidR="000F11A7" w:rsidRDefault="000F11A7" w:rsidP="002733B0">
      <w:pPr>
        <w:bidi w:val="0"/>
        <w:jc w:val="both"/>
      </w:pPr>
    </w:p>
    <w:p w:rsidR="000F11A7" w:rsidRPr="007B10B6" w:rsidRDefault="000F11A7" w:rsidP="002733B0">
      <w:pPr>
        <w:bidi w:val="0"/>
        <w:jc w:val="both"/>
        <w:rPr>
          <w:b/>
          <w:bCs/>
        </w:rPr>
      </w:pPr>
      <w:r w:rsidRPr="007B10B6">
        <w:rPr>
          <w:b/>
          <w:bCs/>
        </w:rPr>
        <w:t>Building</w:t>
      </w:r>
      <w:r w:rsidR="009166E4">
        <w:rPr>
          <w:b/>
          <w:bCs/>
        </w:rPr>
        <w:t>:</w:t>
      </w:r>
    </w:p>
    <w:p w:rsidR="000F11A7" w:rsidRDefault="000F11A7" w:rsidP="002733B0">
      <w:pPr>
        <w:bidi w:val="0"/>
        <w:jc w:val="both"/>
      </w:pPr>
      <w:r w:rsidRPr="007B10B6">
        <w:t>A building is defined as any fixed construction that is temporarily or permanently erected on the surface of the earth or water. A building is surrounded by four walls or with at least one completed ceiling, regardless of the construction material and the purpose of construction and utilization at the time of the visit. The building might be utilized for habitation, for work, for both, vacant, closed, deserted, under preparation or under construction at the time of the visit.</w:t>
      </w:r>
    </w:p>
    <w:p w:rsidR="000F11A7" w:rsidRDefault="000F11A7" w:rsidP="002733B0">
      <w:pPr>
        <w:bidi w:val="0"/>
        <w:jc w:val="both"/>
      </w:pPr>
    </w:p>
    <w:p w:rsidR="000F11A7" w:rsidRPr="007B10B6" w:rsidRDefault="000F11A7" w:rsidP="009166E4">
      <w:pPr>
        <w:bidi w:val="0"/>
        <w:jc w:val="both"/>
        <w:rPr>
          <w:b/>
          <w:bCs/>
        </w:rPr>
      </w:pPr>
      <w:r w:rsidRPr="007B10B6">
        <w:rPr>
          <w:b/>
          <w:bCs/>
        </w:rPr>
        <w:t>Housing Unit</w:t>
      </w:r>
      <w:r w:rsidR="009166E4">
        <w:rPr>
          <w:b/>
          <w:bCs/>
        </w:rPr>
        <w:t xml:space="preserve"> </w:t>
      </w:r>
      <w:r w:rsidRPr="007B10B6">
        <w:rPr>
          <w:b/>
          <w:bCs/>
        </w:rPr>
        <w:t>(Dwelling)</w:t>
      </w:r>
      <w:r w:rsidR="009166E4">
        <w:rPr>
          <w:b/>
          <w:bCs/>
        </w:rPr>
        <w:t>:</w:t>
      </w:r>
    </w:p>
    <w:p w:rsidR="000F11A7" w:rsidRDefault="000F11A7" w:rsidP="002733B0">
      <w:pPr>
        <w:bidi w:val="0"/>
        <w:jc w:val="both"/>
      </w:pPr>
      <w:r w:rsidRPr="007B10B6">
        <w:t>A building or part of a building constructed for one household only, with one or more independent entrance leading to the public road without passing through another housing unit. The unit might not be constructed for living purposes but found occupied with a household during the enumeration. Likewise, the unit might be utilized for habitation or for work purposes or both purposes.</w:t>
      </w:r>
    </w:p>
    <w:p w:rsidR="000F11A7" w:rsidRDefault="000F11A7" w:rsidP="002733B0">
      <w:pPr>
        <w:bidi w:val="0"/>
        <w:jc w:val="both"/>
      </w:pPr>
    </w:p>
    <w:p w:rsidR="000F11A7" w:rsidRPr="007B10B6" w:rsidRDefault="000F11A7" w:rsidP="002733B0">
      <w:pPr>
        <w:bidi w:val="0"/>
        <w:jc w:val="both"/>
        <w:rPr>
          <w:b/>
          <w:bCs/>
        </w:rPr>
      </w:pPr>
      <w:r w:rsidRPr="007B10B6">
        <w:rPr>
          <w:b/>
          <w:bCs/>
        </w:rPr>
        <w:t>Household</w:t>
      </w:r>
      <w:r w:rsidR="009166E4">
        <w:rPr>
          <w:b/>
          <w:bCs/>
        </w:rPr>
        <w:t>:</w:t>
      </w:r>
    </w:p>
    <w:p w:rsidR="000F11A7" w:rsidRDefault="000F11A7" w:rsidP="002733B0">
      <w:pPr>
        <w:bidi w:val="0"/>
        <w:jc w:val="both"/>
      </w:pPr>
      <w:r w:rsidRPr="007B10B6">
        <w:t>One person or a group of persons with or without a household relationship, who live in the same housing unit, share meals and make joint provision of food and other essentials of living.</w:t>
      </w:r>
    </w:p>
    <w:p w:rsidR="000F11A7" w:rsidRDefault="000F11A7" w:rsidP="002733B0">
      <w:pPr>
        <w:bidi w:val="0"/>
        <w:jc w:val="both"/>
      </w:pPr>
    </w:p>
    <w:p w:rsidR="000F11A7" w:rsidRPr="00BF742A" w:rsidRDefault="000F11A7" w:rsidP="002733B0">
      <w:pPr>
        <w:bidi w:val="0"/>
        <w:jc w:val="both"/>
        <w:rPr>
          <w:b/>
          <w:bCs/>
        </w:rPr>
      </w:pPr>
      <w:r w:rsidRPr="00BF742A">
        <w:rPr>
          <w:b/>
          <w:bCs/>
        </w:rPr>
        <w:t>Head of Household</w:t>
      </w:r>
      <w:r w:rsidR="009166E4">
        <w:rPr>
          <w:b/>
          <w:bCs/>
        </w:rPr>
        <w:t>:</w:t>
      </w:r>
    </w:p>
    <w:p w:rsidR="000F11A7" w:rsidRDefault="000F11A7" w:rsidP="002733B0">
      <w:pPr>
        <w:bidi w:val="0"/>
        <w:jc w:val="both"/>
      </w:pPr>
      <w:r w:rsidRPr="007B10B6">
        <w:t>The person who usually lives with the household and is recognized as head of household by its other members. Often he/she is the main decision maker and is responsible for financial support and welfare of the household.</w:t>
      </w:r>
    </w:p>
    <w:p w:rsidR="000F11A7" w:rsidRDefault="000F11A7" w:rsidP="002733B0">
      <w:pPr>
        <w:bidi w:val="0"/>
        <w:jc w:val="both"/>
      </w:pPr>
    </w:p>
    <w:p w:rsidR="000F11A7" w:rsidRPr="00BF742A" w:rsidRDefault="000F11A7" w:rsidP="002733B0">
      <w:pPr>
        <w:bidi w:val="0"/>
        <w:jc w:val="both"/>
        <w:rPr>
          <w:b/>
          <w:bCs/>
        </w:rPr>
      </w:pPr>
      <w:r w:rsidRPr="00BF742A">
        <w:rPr>
          <w:b/>
          <w:bCs/>
        </w:rPr>
        <w:t>Household Membership</w:t>
      </w:r>
      <w:r w:rsidR="009166E4">
        <w:rPr>
          <w:b/>
          <w:bCs/>
        </w:rPr>
        <w:t>:</w:t>
      </w:r>
    </w:p>
    <w:p w:rsidR="000F11A7" w:rsidRDefault="000F11A7" w:rsidP="002733B0">
      <w:pPr>
        <w:bidi w:val="0"/>
        <w:jc w:val="both"/>
      </w:pPr>
      <w:r w:rsidRPr="007B10B6">
        <w:t>Persons staying in the dwelling unit are considered members of the household if the dwelling unit is their usual or only place of residence.</w:t>
      </w:r>
    </w:p>
    <w:p w:rsidR="000F11A7" w:rsidRDefault="000F11A7" w:rsidP="002733B0">
      <w:pPr>
        <w:bidi w:val="0"/>
        <w:jc w:val="both"/>
      </w:pPr>
    </w:p>
    <w:p w:rsidR="000F11A7" w:rsidRPr="00BF742A" w:rsidRDefault="000F11A7" w:rsidP="002733B0">
      <w:pPr>
        <w:bidi w:val="0"/>
        <w:jc w:val="both"/>
        <w:rPr>
          <w:b/>
          <w:bCs/>
        </w:rPr>
      </w:pPr>
      <w:r w:rsidRPr="00BF742A">
        <w:rPr>
          <w:b/>
          <w:bCs/>
        </w:rPr>
        <w:t>Age in completed years</w:t>
      </w:r>
      <w:r w:rsidR="009166E4">
        <w:rPr>
          <w:b/>
          <w:bCs/>
        </w:rPr>
        <w:t>:</w:t>
      </w:r>
    </w:p>
    <w:p w:rsidR="000F11A7" w:rsidRDefault="000F11A7" w:rsidP="002733B0">
      <w:pPr>
        <w:bidi w:val="0"/>
        <w:jc w:val="both"/>
      </w:pPr>
      <w:r w:rsidRPr="007B10B6">
        <w:t>The completed age in years of the person enumerated, which is the difference between the date of birth and the survey reference period.</w:t>
      </w:r>
    </w:p>
    <w:p w:rsidR="000F11A7" w:rsidRDefault="000F11A7" w:rsidP="002733B0">
      <w:pPr>
        <w:bidi w:val="0"/>
        <w:jc w:val="both"/>
      </w:pPr>
    </w:p>
    <w:p w:rsidR="000F11A7" w:rsidRPr="00BF742A" w:rsidRDefault="000F11A7" w:rsidP="002733B0">
      <w:pPr>
        <w:bidi w:val="0"/>
        <w:jc w:val="both"/>
        <w:rPr>
          <w:b/>
          <w:bCs/>
        </w:rPr>
      </w:pPr>
      <w:r w:rsidRPr="00BF742A">
        <w:rPr>
          <w:b/>
          <w:bCs/>
        </w:rPr>
        <w:t>Refugee Status</w:t>
      </w:r>
      <w:r w:rsidR="009166E4">
        <w:rPr>
          <w:b/>
          <w:bCs/>
        </w:rPr>
        <w:t>:</w:t>
      </w:r>
    </w:p>
    <w:p w:rsidR="000F11A7" w:rsidRDefault="000F11A7" w:rsidP="002733B0">
      <w:pPr>
        <w:bidi w:val="0"/>
        <w:jc w:val="both"/>
      </w:pPr>
      <w:r w:rsidRPr="007B10B6">
        <w:t>This status relates to the Palestinians who were forced to leave their land in Palestine which occupied by Israel in 1948. It applies to their male sons and grandchildren.</w:t>
      </w:r>
    </w:p>
    <w:p w:rsidR="000F11A7" w:rsidRDefault="000F11A7" w:rsidP="002733B0">
      <w:pPr>
        <w:bidi w:val="0"/>
        <w:jc w:val="both"/>
      </w:pPr>
    </w:p>
    <w:p w:rsidR="000F11A7" w:rsidRPr="00BF742A" w:rsidRDefault="000F11A7" w:rsidP="002733B0">
      <w:pPr>
        <w:bidi w:val="0"/>
        <w:jc w:val="both"/>
        <w:rPr>
          <w:b/>
          <w:bCs/>
        </w:rPr>
      </w:pPr>
      <w:r w:rsidRPr="00BF742A">
        <w:rPr>
          <w:b/>
          <w:bCs/>
        </w:rPr>
        <w:t>Non-Registered Refugees</w:t>
      </w:r>
      <w:r w:rsidR="009166E4">
        <w:rPr>
          <w:b/>
          <w:bCs/>
        </w:rPr>
        <w:t>:</w:t>
      </w:r>
    </w:p>
    <w:p w:rsidR="000F11A7" w:rsidRDefault="000F11A7" w:rsidP="002733B0">
      <w:pPr>
        <w:bidi w:val="0"/>
        <w:jc w:val="both"/>
      </w:pPr>
      <w:r w:rsidRPr="007B10B6">
        <w:t>It applies to unregistered refugees who do not hold refugee registration cards issued by UNRWA.</w:t>
      </w:r>
    </w:p>
    <w:p w:rsidR="002D38BA" w:rsidRDefault="002D38BA" w:rsidP="002D38BA">
      <w:pPr>
        <w:bidi w:val="0"/>
        <w:jc w:val="both"/>
      </w:pPr>
    </w:p>
    <w:p w:rsidR="009166E4" w:rsidRDefault="009166E4" w:rsidP="009166E4">
      <w:pPr>
        <w:bidi w:val="0"/>
        <w:jc w:val="both"/>
      </w:pPr>
    </w:p>
    <w:p w:rsidR="000F11A7" w:rsidRPr="00BF742A" w:rsidRDefault="000F11A7" w:rsidP="002733B0">
      <w:pPr>
        <w:bidi w:val="0"/>
        <w:jc w:val="both"/>
        <w:rPr>
          <w:b/>
          <w:bCs/>
        </w:rPr>
      </w:pPr>
      <w:r w:rsidRPr="00BF742A">
        <w:rPr>
          <w:b/>
          <w:bCs/>
        </w:rPr>
        <w:lastRenderedPageBreak/>
        <w:t>Registered Refugees</w:t>
      </w:r>
      <w:r w:rsidR="009166E4">
        <w:rPr>
          <w:b/>
          <w:bCs/>
        </w:rPr>
        <w:t>:</w:t>
      </w:r>
    </w:p>
    <w:p w:rsidR="000F11A7" w:rsidRDefault="000F11A7" w:rsidP="002733B0">
      <w:pPr>
        <w:bidi w:val="0"/>
        <w:jc w:val="both"/>
      </w:pPr>
      <w:r w:rsidRPr="00BF742A">
        <w:t>It applies to registered refugees holding refugee registration cards issued by UNRWA.</w:t>
      </w:r>
    </w:p>
    <w:p w:rsidR="000F11A7" w:rsidRDefault="000F11A7" w:rsidP="002733B0">
      <w:pPr>
        <w:bidi w:val="0"/>
        <w:jc w:val="both"/>
      </w:pPr>
    </w:p>
    <w:p w:rsidR="000F11A7" w:rsidRPr="00EE4CAB" w:rsidRDefault="000F11A7" w:rsidP="002733B0">
      <w:pPr>
        <w:bidi w:val="0"/>
        <w:jc w:val="both"/>
        <w:rPr>
          <w:b/>
          <w:bCs/>
        </w:rPr>
      </w:pPr>
      <w:r w:rsidRPr="00EE4CAB">
        <w:rPr>
          <w:b/>
          <w:bCs/>
        </w:rPr>
        <w:t>Non-Refugee</w:t>
      </w:r>
      <w:r w:rsidR="009166E4">
        <w:rPr>
          <w:b/>
          <w:bCs/>
        </w:rPr>
        <w:t>:</w:t>
      </w:r>
    </w:p>
    <w:p w:rsidR="000F11A7" w:rsidRDefault="000F11A7" w:rsidP="002733B0">
      <w:pPr>
        <w:bidi w:val="0"/>
        <w:jc w:val="both"/>
      </w:pPr>
      <w:r w:rsidRPr="00BF742A">
        <w:t>It applies to any Palestinian not categorized under any of the two aforementioned statuses.</w:t>
      </w:r>
    </w:p>
    <w:p w:rsidR="000F11A7" w:rsidRDefault="000F11A7" w:rsidP="002733B0">
      <w:pPr>
        <w:bidi w:val="0"/>
        <w:jc w:val="both"/>
      </w:pPr>
    </w:p>
    <w:p w:rsidR="000F11A7" w:rsidRPr="00EE4CAB" w:rsidRDefault="000F11A7" w:rsidP="009166E4">
      <w:pPr>
        <w:bidi w:val="0"/>
        <w:jc w:val="both"/>
        <w:rPr>
          <w:b/>
          <w:bCs/>
          <w:rtl/>
        </w:rPr>
      </w:pPr>
      <w:r w:rsidRPr="00EE4CAB">
        <w:rPr>
          <w:b/>
          <w:bCs/>
        </w:rPr>
        <w:t>Current Usual Place</w:t>
      </w:r>
      <w:r w:rsidR="009166E4">
        <w:rPr>
          <w:b/>
          <w:bCs/>
        </w:rPr>
        <w:t xml:space="preserve"> </w:t>
      </w:r>
      <w:r w:rsidRPr="00EE4CAB">
        <w:rPr>
          <w:b/>
          <w:bCs/>
        </w:rPr>
        <w:t>of Residence</w:t>
      </w:r>
      <w:r w:rsidR="009166E4">
        <w:rPr>
          <w:b/>
          <w:bCs/>
        </w:rPr>
        <w:t>:</w:t>
      </w:r>
    </w:p>
    <w:p w:rsidR="000F11A7" w:rsidRDefault="000F11A7" w:rsidP="002733B0">
      <w:pPr>
        <w:bidi w:val="0"/>
        <w:jc w:val="both"/>
        <w:rPr>
          <w:rtl/>
        </w:rPr>
      </w:pPr>
      <w:r w:rsidRPr="00BF742A">
        <w:t>It is the name of the locality in which the person spends most of his time during the year (lived there six months and above), irrespective of whether it is the person’s same place of existence during the Census, or the place in which he works and performs related activities or the place in which his original household is based or not.</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Health Insurance</w:t>
      </w:r>
      <w:r w:rsidR="009166E4">
        <w:rPr>
          <w:b/>
          <w:bCs/>
        </w:rPr>
        <w:t>:</w:t>
      </w:r>
    </w:p>
    <w:p w:rsidR="000F11A7" w:rsidRDefault="000F11A7" w:rsidP="002733B0">
      <w:pPr>
        <w:bidi w:val="0"/>
        <w:jc w:val="both"/>
        <w:rPr>
          <w:rtl/>
        </w:rPr>
      </w:pPr>
      <w:r w:rsidRPr="00BF742A">
        <w:t>Indemnity coverage against financial losses associated with occurrence or treatment of health problems.</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Chronic diseases</w:t>
      </w:r>
      <w:r w:rsidR="009166E4">
        <w:rPr>
          <w:b/>
          <w:bCs/>
        </w:rPr>
        <w:t>:</w:t>
      </w:r>
    </w:p>
    <w:p w:rsidR="000F11A7" w:rsidRDefault="000F11A7" w:rsidP="002733B0">
      <w:pPr>
        <w:bidi w:val="0"/>
        <w:jc w:val="both"/>
        <w:rPr>
          <w:rtl/>
        </w:rPr>
      </w:pPr>
      <w:r w:rsidRPr="00BF742A">
        <w:t>A disorder or impairment of the normal state of well-being which need continuous treatment, diagnosed by a specialist.</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Educational Attendance</w:t>
      </w:r>
      <w:r w:rsidR="009166E4">
        <w:rPr>
          <w:b/>
          <w:bCs/>
        </w:rPr>
        <w:t>:</w:t>
      </w:r>
    </w:p>
    <w:p w:rsidR="000F11A7" w:rsidRDefault="000F11A7" w:rsidP="002733B0">
      <w:pPr>
        <w:bidi w:val="0"/>
        <w:jc w:val="both"/>
        <w:rPr>
          <w:rtl/>
        </w:rPr>
      </w:pPr>
      <w:r w:rsidRPr="00BF742A">
        <w:t>Attendance means registering the person in any formal education stage irrespective of whether it took the form of continuous attendance or distant learning. Formal education stages include the elementary stage, preparatory stage, (both of which are referred to as the basic stage), secondary stage, and higher education stage.</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Years of Schooling Completed</w:t>
      </w:r>
      <w:r w:rsidR="009166E4">
        <w:rPr>
          <w:b/>
          <w:bCs/>
        </w:rPr>
        <w:t>:</w:t>
      </w:r>
    </w:p>
    <w:p w:rsidR="000F11A7" w:rsidRDefault="000F11A7" w:rsidP="002733B0">
      <w:pPr>
        <w:bidi w:val="0"/>
        <w:jc w:val="both"/>
        <w:rPr>
          <w:rtl/>
        </w:rPr>
      </w:pPr>
      <w:r w:rsidRPr="00735125">
        <w:t>For persons currently attending, attended and left, or successfully graduated, reference shall be made to the successfully completed formal educational years (completed years.) It neither includes drop out years, failure years nor on – going educational year. Educational training courses are not included among the years of regular study.</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Educational Attainment</w:t>
      </w:r>
      <w:r w:rsidR="009166E4">
        <w:rPr>
          <w:b/>
          <w:bCs/>
        </w:rPr>
        <w:t>:</w:t>
      </w:r>
    </w:p>
    <w:p w:rsidR="000F11A7" w:rsidRDefault="000F11A7" w:rsidP="002733B0">
      <w:pPr>
        <w:bidi w:val="0"/>
        <w:jc w:val="both"/>
      </w:pPr>
      <w:r w:rsidRPr="00735125">
        <w:t>It refers to the highest successfully completed educational attainment level. The educational level for persons aged 10 years and over.</w:t>
      </w:r>
    </w:p>
    <w:p w:rsidR="000F11A7" w:rsidRDefault="000F11A7" w:rsidP="002733B0">
      <w:pPr>
        <w:bidi w:val="0"/>
        <w:jc w:val="both"/>
      </w:pPr>
    </w:p>
    <w:p w:rsidR="000F11A7" w:rsidRPr="00937902" w:rsidRDefault="000F11A7" w:rsidP="002733B0">
      <w:pPr>
        <w:bidi w:val="0"/>
        <w:jc w:val="both"/>
        <w:rPr>
          <w:b/>
          <w:bCs/>
        </w:rPr>
      </w:pPr>
      <w:r w:rsidRPr="00937902">
        <w:rPr>
          <w:b/>
          <w:bCs/>
        </w:rPr>
        <w:t>Illiterate</w:t>
      </w:r>
      <w:r w:rsidR="009166E4">
        <w:rPr>
          <w:b/>
          <w:bCs/>
        </w:rPr>
        <w:t>:</w:t>
      </w:r>
    </w:p>
    <w:p w:rsidR="000F11A7" w:rsidRDefault="000F11A7" w:rsidP="002733B0">
      <w:pPr>
        <w:bidi w:val="0"/>
        <w:jc w:val="both"/>
        <w:rPr>
          <w:rtl/>
        </w:rPr>
      </w:pPr>
      <w:r w:rsidRPr="00DA48AD">
        <w:t>It applies to persons unable to read or write in any language and who were never awarded a certificate from any formal education system.</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Can Read and Write</w:t>
      </w:r>
      <w:r w:rsidR="009166E4">
        <w:rPr>
          <w:b/>
          <w:bCs/>
        </w:rPr>
        <w:t>:</w:t>
      </w:r>
    </w:p>
    <w:p w:rsidR="000F11A7" w:rsidRDefault="000F11A7" w:rsidP="002733B0">
      <w:pPr>
        <w:bidi w:val="0"/>
        <w:jc w:val="both"/>
        <w:rPr>
          <w:rtl/>
        </w:rPr>
      </w:pPr>
      <w:r w:rsidRPr="00735125">
        <w:t>It applies to persons who are able to read and write without completing any of the educational stages. Such persons are generally able to read and write simple sentences.</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Work</w:t>
      </w:r>
      <w:r w:rsidR="009166E4">
        <w:rPr>
          <w:b/>
          <w:bCs/>
        </w:rPr>
        <w:t>:</w:t>
      </w:r>
    </w:p>
    <w:p w:rsidR="000F11A7" w:rsidRDefault="000F11A7" w:rsidP="002733B0">
      <w:pPr>
        <w:bidi w:val="0"/>
        <w:jc w:val="both"/>
        <w:rPr>
          <w:rtl/>
        </w:rPr>
      </w:pPr>
      <w:r w:rsidRPr="00735125">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rsidR="000F11A7" w:rsidRDefault="000F11A7" w:rsidP="002733B0">
      <w:pPr>
        <w:bidi w:val="0"/>
        <w:jc w:val="both"/>
      </w:pPr>
    </w:p>
    <w:p w:rsidR="009166E4" w:rsidRDefault="009166E4" w:rsidP="009166E4">
      <w:pPr>
        <w:bidi w:val="0"/>
        <w:jc w:val="both"/>
        <w:rPr>
          <w:rtl/>
        </w:rPr>
      </w:pPr>
    </w:p>
    <w:p w:rsidR="000F11A7" w:rsidRPr="00EE4CAB" w:rsidRDefault="000F11A7" w:rsidP="002733B0">
      <w:pPr>
        <w:bidi w:val="0"/>
        <w:jc w:val="both"/>
        <w:rPr>
          <w:b/>
          <w:bCs/>
          <w:rtl/>
        </w:rPr>
      </w:pPr>
      <w:r w:rsidRPr="00EE4CAB">
        <w:rPr>
          <w:b/>
          <w:bCs/>
        </w:rPr>
        <w:lastRenderedPageBreak/>
        <w:t>Employed</w:t>
      </w:r>
      <w:r w:rsidR="009166E4">
        <w:rPr>
          <w:b/>
          <w:bCs/>
        </w:rPr>
        <w:t>:</w:t>
      </w:r>
    </w:p>
    <w:p w:rsidR="000F11A7" w:rsidRDefault="000F11A7" w:rsidP="002733B0">
      <w:pPr>
        <w:bidi w:val="0"/>
        <w:jc w:val="both"/>
        <w:rPr>
          <w:rtl/>
        </w:rPr>
      </w:pPr>
      <w:r w:rsidRPr="00735125">
        <w:t>Persons aged 15 years and over who were work at least one hour during the reference period, or who were not at work during the reference period, but held a job or owned business from which they were temporarily absent (because of illness, vacation, temporarily stoppage, or any other reason) he\ she was employer, self employed, wage employed, unpaid family member or other. The employed person is normally classified in one of two categories according to the number of weekly work hours, i.e. 1–14 work hours and 15 work hours and above. Also the absence due to sick leave, vacation, temporarily stoppage, or any other reason considered employed from 1-14 hours.</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Unemployed</w:t>
      </w:r>
      <w:r w:rsidR="009166E4">
        <w:rPr>
          <w:b/>
          <w:bCs/>
        </w:rPr>
        <w:t>:</w:t>
      </w:r>
    </w:p>
    <w:p w:rsidR="000F11A7" w:rsidRDefault="000F11A7" w:rsidP="002733B0">
      <w:pPr>
        <w:bidi w:val="0"/>
        <w:jc w:val="both"/>
        <w:rPr>
          <w:rtl/>
        </w:rPr>
      </w:pPr>
      <w:r w:rsidRPr="008E1079">
        <w:t>It refers to all persons who did not work at all during the reference period, )not engaged in a certain work) although they are able to work, were available for work and actively seeking work during the reference period. The unemployed persons are normally divided into two categories: Unemployed ever worked and unemployed never worked.</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Main Occupation</w:t>
      </w:r>
      <w:r w:rsidR="009166E4">
        <w:rPr>
          <w:b/>
          <w:bCs/>
        </w:rPr>
        <w:t>:</w:t>
      </w:r>
    </w:p>
    <w:p w:rsidR="000F11A7" w:rsidRDefault="000F11A7" w:rsidP="002733B0">
      <w:pPr>
        <w:bidi w:val="0"/>
        <w:jc w:val="both"/>
        <w:rPr>
          <w:rtl/>
        </w:rPr>
      </w:pPr>
      <w:r w:rsidRPr="008E1079">
        <w:t>The job or type of work performed by the employed person or used to be performed by the unemployed ever worked. The occupation refers to the activity in which the employed works more than half of work hours or the most frequent job during the last three months before reference data.</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Economic activity</w:t>
      </w:r>
      <w:r w:rsidR="009166E4">
        <w:rPr>
          <w:b/>
          <w:bCs/>
        </w:rPr>
        <w:t>:</w:t>
      </w:r>
    </w:p>
    <w:p w:rsidR="000F11A7" w:rsidRDefault="000F11A7" w:rsidP="002733B0">
      <w:pPr>
        <w:bidi w:val="0"/>
        <w:jc w:val="both"/>
        <w:rPr>
          <w:rtl/>
        </w:rPr>
      </w:pPr>
      <w:r w:rsidRPr="008E1079">
        <w:t xml:space="preserve">Referring to a process consisting of actions and activities carried out by a certain entity that uses </w:t>
      </w:r>
      <w:proofErr w:type="spellStart"/>
      <w:r w:rsidRPr="008E1079">
        <w:t>labour</w:t>
      </w:r>
      <w:proofErr w:type="spellEnd"/>
      <w:r w:rsidRPr="008E1079">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Employer</w:t>
      </w:r>
      <w:r w:rsidR="009166E4">
        <w:rPr>
          <w:b/>
          <w:bCs/>
        </w:rPr>
        <w:t>:</w:t>
      </w:r>
    </w:p>
    <w:p w:rsidR="000F11A7" w:rsidRDefault="000F11A7" w:rsidP="002733B0">
      <w:pPr>
        <w:bidi w:val="0"/>
        <w:jc w:val="both"/>
        <w:rPr>
          <w:rtl/>
        </w:rPr>
      </w:pPr>
      <w:r w:rsidRPr="008E1079">
        <w:t>A person who work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p>
    <w:p w:rsidR="000F11A7" w:rsidRDefault="000F11A7" w:rsidP="002733B0">
      <w:pPr>
        <w:bidi w:val="0"/>
        <w:jc w:val="both"/>
        <w:rPr>
          <w:rtl/>
        </w:rPr>
      </w:pPr>
    </w:p>
    <w:p w:rsidR="000F11A7" w:rsidRPr="00EE4CAB" w:rsidRDefault="000F11A7" w:rsidP="002733B0">
      <w:pPr>
        <w:bidi w:val="0"/>
        <w:jc w:val="both"/>
        <w:rPr>
          <w:b/>
          <w:bCs/>
          <w:rtl/>
        </w:rPr>
      </w:pPr>
      <w:r w:rsidRPr="00EE4CAB">
        <w:rPr>
          <w:b/>
          <w:bCs/>
        </w:rPr>
        <w:t>Self-employed</w:t>
      </w:r>
      <w:r w:rsidR="009166E4">
        <w:rPr>
          <w:b/>
          <w:bCs/>
        </w:rPr>
        <w:t>:</w:t>
      </w:r>
    </w:p>
    <w:p w:rsidR="000F11A7" w:rsidRDefault="000F11A7" w:rsidP="002733B0">
      <w:pPr>
        <w:bidi w:val="0"/>
        <w:jc w:val="both"/>
      </w:pPr>
      <w:r w:rsidRPr="008E1079">
        <w:t>A person who work in an establishment that is totally or partially belonging to him/her (partner) and do not hires any wage employees. This includes self employed who worked to own selves</w:t>
      </w:r>
      <w:r>
        <w:t xml:space="preserve"> </w:t>
      </w:r>
      <w:r w:rsidRPr="008E1079">
        <w:t>outside establishments.</w:t>
      </w:r>
    </w:p>
    <w:p w:rsidR="000F11A7" w:rsidRDefault="000F11A7" w:rsidP="002733B0">
      <w:pPr>
        <w:bidi w:val="0"/>
        <w:jc w:val="both"/>
      </w:pPr>
    </w:p>
    <w:p w:rsidR="000F11A7" w:rsidRPr="00EE4CAB" w:rsidRDefault="000F11A7" w:rsidP="009166E4">
      <w:pPr>
        <w:bidi w:val="0"/>
        <w:jc w:val="both"/>
        <w:rPr>
          <w:b/>
          <w:bCs/>
        </w:rPr>
      </w:pPr>
      <w:r w:rsidRPr="00EE4CAB">
        <w:rPr>
          <w:b/>
          <w:bCs/>
        </w:rPr>
        <w:t>Paid-employed</w:t>
      </w:r>
      <w:r w:rsidR="009166E4">
        <w:rPr>
          <w:b/>
          <w:bCs/>
        </w:rPr>
        <w:t xml:space="preserve"> </w:t>
      </w:r>
      <w:r w:rsidRPr="00EE4CAB">
        <w:rPr>
          <w:b/>
          <w:bCs/>
        </w:rPr>
        <w:t>(wage employee)</w:t>
      </w:r>
      <w:r w:rsidR="009166E4">
        <w:rPr>
          <w:b/>
          <w:bCs/>
        </w:rPr>
        <w:t>:</w:t>
      </w:r>
    </w:p>
    <w:p w:rsidR="000F11A7" w:rsidRDefault="000F11A7" w:rsidP="002733B0">
      <w:pPr>
        <w:bidi w:val="0"/>
        <w:jc w:val="both"/>
      </w:pPr>
      <w:r w:rsidRPr="0081271A">
        <w:t xml:space="preserve">A person who works for a public or private employer or under </w:t>
      </w:r>
      <w:proofErr w:type="spellStart"/>
      <w:r w:rsidRPr="0081271A">
        <w:t>it's</w:t>
      </w:r>
      <w:proofErr w:type="spellEnd"/>
      <w:r w:rsidRPr="0081271A">
        <w:t xml:space="preserve"> supervision and receives remuneration in wage, salary, commission, tips, piece rates or in kind …etc. This item includes persons employed in governmental, non – governmental and private institutions along with those employed in a household enterprise in return for a specific remuneration.</w:t>
      </w:r>
    </w:p>
    <w:p w:rsidR="000F11A7" w:rsidRDefault="000F11A7" w:rsidP="002733B0">
      <w:pPr>
        <w:bidi w:val="0"/>
        <w:jc w:val="both"/>
      </w:pPr>
    </w:p>
    <w:p w:rsidR="000F11A7" w:rsidRPr="00EE4CAB" w:rsidRDefault="000F11A7" w:rsidP="002733B0">
      <w:pPr>
        <w:bidi w:val="0"/>
        <w:jc w:val="both"/>
        <w:rPr>
          <w:b/>
          <w:bCs/>
        </w:rPr>
      </w:pPr>
      <w:r w:rsidRPr="00EE4CAB">
        <w:rPr>
          <w:b/>
          <w:bCs/>
        </w:rPr>
        <w:t>Unpaid Family Member</w:t>
      </w:r>
      <w:r w:rsidR="009166E4">
        <w:rPr>
          <w:b/>
          <w:bCs/>
        </w:rPr>
        <w:t>:</w:t>
      </w:r>
    </w:p>
    <w:p w:rsidR="000F11A7" w:rsidRDefault="000F11A7" w:rsidP="002733B0">
      <w:pPr>
        <w:bidi w:val="0"/>
        <w:jc w:val="both"/>
      </w:pPr>
      <w:r w:rsidRPr="0081271A">
        <w:t>A person who works without pay in an economic enterprise operated by a related person living in the same household</w:t>
      </w:r>
    </w:p>
    <w:p w:rsidR="000F11A7" w:rsidRDefault="000F11A7" w:rsidP="002733B0">
      <w:pPr>
        <w:bidi w:val="0"/>
        <w:jc w:val="both"/>
      </w:pPr>
    </w:p>
    <w:p w:rsidR="000F11A7" w:rsidRPr="00EE4CAB" w:rsidRDefault="000F11A7" w:rsidP="002733B0">
      <w:pPr>
        <w:bidi w:val="0"/>
        <w:jc w:val="both"/>
        <w:rPr>
          <w:b/>
          <w:bCs/>
        </w:rPr>
      </w:pPr>
      <w:r w:rsidRPr="00EE4CAB">
        <w:rPr>
          <w:b/>
          <w:bCs/>
        </w:rPr>
        <w:lastRenderedPageBreak/>
        <w:t>Marital Status</w:t>
      </w:r>
      <w:r w:rsidR="009166E4">
        <w:rPr>
          <w:b/>
          <w:bCs/>
        </w:rPr>
        <w:t>:</w:t>
      </w:r>
    </w:p>
    <w:p w:rsidR="000F11A7" w:rsidRDefault="000F11A7" w:rsidP="002733B0">
      <w:pPr>
        <w:bidi w:val="0"/>
        <w:jc w:val="both"/>
      </w:pPr>
      <w:r w:rsidRPr="0081271A">
        <w:t>The status of those 12 years old and over in terms of marriage traditions and laws in the country.</w:t>
      </w:r>
    </w:p>
    <w:p w:rsidR="000F11A7" w:rsidRDefault="000F11A7" w:rsidP="002733B0">
      <w:pPr>
        <w:bidi w:val="0"/>
        <w:jc w:val="both"/>
      </w:pPr>
    </w:p>
    <w:p w:rsidR="000F11A7" w:rsidRPr="00EE4CAB" w:rsidRDefault="000F11A7" w:rsidP="002733B0">
      <w:pPr>
        <w:bidi w:val="0"/>
        <w:jc w:val="both"/>
        <w:rPr>
          <w:b/>
          <w:bCs/>
        </w:rPr>
      </w:pPr>
      <w:r w:rsidRPr="00EE4CAB">
        <w:rPr>
          <w:b/>
          <w:bCs/>
        </w:rPr>
        <w:t>Single (Never married)</w:t>
      </w:r>
      <w:r w:rsidR="009166E4">
        <w:rPr>
          <w:b/>
          <w:bCs/>
        </w:rPr>
        <w:t>:</w:t>
      </w:r>
    </w:p>
    <w:p w:rsidR="000F11A7" w:rsidRDefault="000F11A7" w:rsidP="002733B0">
      <w:pPr>
        <w:bidi w:val="0"/>
        <w:jc w:val="both"/>
      </w:pPr>
      <w:r w:rsidRPr="0081271A">
        <w:t>It applies if the person aged 12 years has not been married or. Legally engaged (according to customs and traditions applicable in the country).</w:t>
      </w:r>
    </w:p>
    <w:p w:rsidR="000F11A7" w:rsidRDefault="000F11A7" w:rsidP="002733B0">
      <w:pPr>
        <w:bidi w:val="0"/>
        <w:jc w:val="both"/>
      </w:pPr>
    </w:p>
    <w:p w:rsidR="000F11A7" w:rsidRPr="00EE4CAB" w:rsidRDefault="000F11A7" w:rsidP="002733B0">
      <w:pPr>
        <w:bidi w:val="0"/>
        <w:jc w:val="both"/>
        <w:rPr>
          <w:b/>
          <w:bCs/>
        </w:rPr>
      </w:pPr>
      <w:r w:rsidRPr="00EE4CAB">
        <w:rPr>
          <w:b/>
          <w:bCs/>
        </w:rPr>
        <w:t>legally engaged</w:t>
      </w:r>
      <w:r w:rsidR="009166E4">
        <w:rPr>
          <w:b/>
          <w:bCs/>
        </w:rPr>
        <w:t>:</w:t>
      </w:r>
    </w:p>
    <w:p w:rsidR="000F11A7" w:rsidRDefault="000F11A7" w:rsidP="002733B0">
      <w:pPr>
        <w:bidi w:val="0"/>
        <w:jc w:val="both"/>
      </w:pPr>
      <w:r w:rsidRPr="0081271A">
        <w:t>It applies if the person-aged 12 years has an official marriage document (issued by a competent court) but has not been actually married yet according to customs and traditions applicable in the country. The divorced, widowed, and married twice do not belong to this category.</w:t>
      </w:r>
    </w:p>
    <w:p w:rsidR="000F11A7" w:rsidRDefault="000F11A7" w:rsidP="002733B0">
      <w:pPr>
        <w:bidi w:val="0"/>
        <w:jc w:val="both"/>
      </w:pPr>
    </w:p>
    <w:p w:rsidR="000F11A7" w:rsidRPr="00EE4CAB" w:rsidRDefault="000F11A7" w:rsidP="002733B0">
      <w:pPr>
        <w:bidi w:val="0"/>
        <w:jc w:val="both"/>
        <w:rPr>
          <w:b/>
          <w:bCs/>
        </w:rPr>
      </w:pPr>
      <w:r w:rsidRPr="00EE4CAB">
        <w:rPr>
          <w:b/>
          <w:bCs/>
        </w:rPr>
        <w:t>Married</w:t>
      </w:r>
      <w:r w:rsidR="009166E4">
        <w:rPr>
          <w:b/>
          <w:bCs/>
        </w:rPr>
        <w:t>:</w:t>
      </w:r>
    </w:p>
    <w:p w:rsidR="000F11A7" w:rsidRDefault="000F11A7" w:rsidP="002733B0">
      <w:pPr>
        <w:bidi w:val="0"/>
        <w:jc w:val="both"/>
      </w:pPr>
      <w:r w:rsidRPr="0081271A">
        <w:t>It applies if the person aged 12 years is actually and officially married (according to customs and traditions applicable in the country) irrespective of his \ her past marital status as well as of whether the couple were together during the reference period or not. The person married to more than one wife is classified married.</w:t>
      </w:r>
    </w:p>
    <w:p w:rsidR="000F11A7" w:rsidRDefault="000F11A7" w:rsidP="002733B0">
      <w:pPr>
        <w:bidi w:val="0"/>
        <w:jc w:val="both"/>
      </w:pPr>
    </w:p>
    <w:p w:rsidR="000F11A7" w:rsidRPr="00EE4CAB" w:rsidRDefault="000F11A7" w:rsidP="002733B0">
      <w:pPr>
        <w:bidi w:val="0"/>
        <w:jc w:val="both"/>
        <w:rPr>
          <w:b/>
          <w:bCs/>
        </w:rPr>
      </w:pPr>
      <w:r w:rsidRPr="00EE4CAB">
        <w:rPr>
          <w:b/>
          <w:bCs/>
        </w:rPr>
        <w:t>Divorced</w:t>
      </w:r>
      <w:r w:rsidR="009166E4">
        <w:rPr>
          <w:b/>
          <w:bCs/>
        </w:rPr>
        <w:t>:</w:t>
      </w:r>
    </w:p>
    <w:p w:rsidR="000F11A7" w:rsidRDefault="000F11A7" w:rsidP="002733B0">
      <w:pPr>
        <w:bidi w:val="0"/>
        <w:jc w:val="both"/>
      </w:pPr>
      <w:r w:rsidRPr="0081271A">
        <w:t>The person aged 12 years who previously married and legally divorced but was not married again.</w:t>
      </w:r>
    </w:p>
    <w:p w:rsidR="000F11A7" w:rsidRDefault="000F11A7" w:rsidP="002733B0">
      <w:pPr>
        <w:bidi w:val="0"/>
        <w:jc w:val="both"/>
      </w:pPr>
    </w:p>
    <w:p w:rsidR="000F11A7" w:rsidRPr="00EE4CAB" w:rsidRDefault="000F11A7" w:rsidP="002733B0">
      <w:pPr>
        <w:bidi w:val="0"/>
        <w:jc w:val="both"/>
        <w:rPr>
          <w:b/>
          <w:bCs/>
        </w:rPr>
      </w:pPr>
      <w:r w:rsidRPr="00EE4CAB">
        <w:rPr>
          <w:b/>
          <w:bCs/>
        </w:rPr>
        <w:t>Widowed</w:t>
      </w:r>
      <w:r w:rsidR="009166E4">
        <w:rPr>
          <w:b/>
          <w:bCs/>
        </w:rPr>
        <w:t>:</w:t>
      </w:r>
    </w:p>
    <w:p w:rsidR="000F11A7" w:rsidRDefault="000F11A7" w:rsidP="002733B0">
      <w:pPr>
        <w:bidi w:val="0"/>
        <w:jc w:val="both"/>
      </w:pPr>
      <w:r w:rsidRPr="00320F06">
        <w:t>The married person aged 12 years whose marriage was split by the death of the spouse and was not married again.</w:t>
      </w:r>
    </w:p>
    <w:p w:rsidR="000F11A7" w:rsidRDefault="000F11A7" w:rsidP="002733B0">
      <w:pPr>
        <w:bidi w:val="0"/>
        <w:jc w:val="both"/>
      </w:pPr>
    </w:p>
    <w:p w:rsidR="000F11A7" w:rsidRPr="00EE4CAB" w:rsidRDefault="000F11A7" w:rsidP="002733B0">
      <w:pPr>
        <w:bidi w:val="0"/>
        <w:jc w:val="both"/>
        <w:rPr>
          <w:b/>
          <w:bCs/>
        </w:rPr>
      </w:pPr>
      <w:r w:rsidRPr="00EE4CAB">
        <w:rPr>
          <w:b/>
          <w:bCs/>
        </w:rPr>
        <w:t>Separated</w:t>
      </w:r>
      <w:r w:rsidR="009166E4">
        <w:rPr>
          <w:b/>
          <w:bCs/>
        </w:rPr>
        <w:t>:</w:t>
      </w:r>
    </w:p>
    <w:p w:rsidR="000F11A7" w:rsidRDefault="000F11A7" w:rsidP="002733B0">
      <w:pPr>
        <w:bidi w:val="0"/>
        <w:jc w:val="both"/>
      </w:pPr>
      <w:r w:rsidRPr="00320F06">
        <w:t>The individual 12 years old and over who was married, but his/her marriage was revoked for some reason without any legal or official registration, and he/she did not marry again.</w:t>
      </w:r>
    </w:p>
    <w:p w:rsidR="000F11A7" w:rsidRDefault="000F11A7" w:rsidP="002733B0">
      <w:pPr>
        <w:bidi w:val="0"/>
        <w:jc w:val="both"/>
      </w:pPr>
    </w:p>
    <w:p w:rsidR="000F11A7" w:rsidRPr="00EE4CAB" w:rsidRDefault="000F11A7" w:rsidP="002733B0">
      <w:pPr>
        <w:bidi w:val="0"/>
        <w:jc w:val="both"/>
        <w:rPr>
          <w:b/>
          <w:bCs/>
        </w:rPr>
      </w:pPr>
      <w:r w:rsidRPr="00EE4CAB">
        <w:rPr>
          <w:b/>
          <w:bCs/>
        </w:rPr>
        <w:t>Age at Marriage</w:t>
      </w:r>
      <w:r w:rsidR="009166E4">
        <w:rPr>
          <w:b/>
          <w:bCs/>
        </w:rPr>
        <w:t>:</w:t>
      </w:r>
    </w:p>
    <w:p w:rsidR="000F11A7" w:rsidRDefault="000F11A7" w:rsidP="002733B0">
      <w:pPr>
        <w:bidi w:val="0"/>
        <w:jc w:val="both"/>
      </w:pPr>
      <w:r w:rsidRPr="00320F06">
        <w:t>The age of the individual in years at the time of his/her actual marriage.</w:t>
      </w:r>
    </w:p>
    <w:p w:rsidR="000F11A7" w:rsidRDefault="000F11A7" w:rsidP="002733B0">
      <w:pPr>
        <w:bidi w:val="0"/>
        <w:jc w:val="both"/>
      </w:pPr>
    </w:p>
    <w:p w:rsidR="000F11A7" w:rsidRPr="00EE4CAB" w:rsidRDefault="000F11A7" w:rsidP="002733B0">
      <w:pPr>
        <w:bidi w:val="0"/>
        <w:jc w:val="both"/>
        <w:rPr>
          <w:b/>
          <w:bCs/>
        </w:rPr>
      </w:pPr>
      <w:r w:rsidRPr="00EE4CAB">
        <w:rPr>
          <w:b/>
          <w:bCs/>
        </w:rPr>
        <w:t>Room</w:t>
      </w:r>
      <w:r w:rsidR="009166E4">
        <w:rPr>
          <w:b/>
          <w:bCs/>
        </w:rPr>
        <w:t>:</w:t>
      </w:r>
    </w:p>
    <w:p w:rsidR="000F11A7" w:rsidRDefault="000F11A7" w:rsidP="002733B0">
      <w:pPr>
        <w:bidi w:val="0"/>
        <w:jc w:val="both"/>
      </w:pPr>
      <w:r w:rsidRPr="00EE4CAB">
        <w:t>The housing unit or part of the housing unit surrounded with walls and has a ceiling, provided that its area is not less than 4m2. If the area of the glassy balcony equals or surpasses more than 4m2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0F11A7" w:rsidRDefault="000F11A7" w:rsidP="002733B0">
      <w:pPr>
        <w:bidi w:val="0"/>
        <w:jc w:val="both"/>
      </w:pPr>
    </w:p>
    <w:p w:rsidR="000F11A7" w:rsidRPr="00EE4CAB" w:rsidRDefault="000F11A7" w:rsidP="002733B0">
      <w:pPr>
        <w:bidi w:val="0"/>
        <w:jc w:val="both"/>
        <w:rPr>
          <w:b/>
          <w:bCs/>
        </w:rPr>
      </w:pPr>
      <w:r w:rsidRPr="00EE4CAB">
        <w:rPr>
          <w:b/>
          <w:bCs/>
        </w:rPr>
        <w:t>Spending</w:t>
      </w:r>
      <w:r w:rsidR="009166E4">
        <w:rPr>
          <w:b/>
          <w:bCs/>
        </w:rPr>
        <w:t>:</w:t>
      </w:r>
    </w:p>
    <w:p w:rsidR="000F11A7" w:rsidRDefault="000F11A7" w:rsidP="002733B0">
      <w:pPr>
        <w:bidi w:val="0"/>
        <w:jc w:val="both"/>
      </w:pPr>
      <w:r w:rsidRPr="00EE4CAB">
        <w:t xml:space="preserve">are defined as the values of the amounts that buyers pay, or agree to pay, to sellers in exchange for goods and services that sellers provide to them or to other institutional units designated by the buyers. The buyer incurring the liability to pay need not be the same unit that takes possession of the good or service. In health accounting, expenditure for goods and services provided by market producers is measured in terms of the payments they receive for </w:t>
      </w:r>
      <w:r w:rsidRPr="00EE4CAB">
        <w:lastRenderedPageBreak/>
        <w:t>their sales; expenditures in the non-market part of the health system are measured in terms of the goods and services used to produce the health care or related activity.</w:t>
      </w:r>
    </w:p>
    <w:p w:rsidR="000F11A7" w:rsidRDefault="000F11A7" w:rsidP="002733B0">
      <w:pPr>
        <w:bidi w:val="0"/>
        <w:jc w:val="both"/>
      </w:pPr>
    </w:p>
    <w:p w:rsidR="000F11A7" w:rsidRPr="00EE4CAB" w:rsidRDefault="000F11A7" w:rsidP="002733B0">
      <w:pPr>
        <w:bidi w:val="0"/>
        <w:jc w:val="both"/>
        <w:rPr>
          <w:b/>
          <w:bCs/>
        </w:rPr>
      </w:pPr>
      <w:r w:rsidRPr="00EE4CAB">
        <w:rPr>
          <w:b/>
          <w:bCs/>
        </w:rPr>
        <w:t>Household Consumption</w:t>
      </w:r>
      <w:r w:rsidR="009166E4">
        <w:rPr>
          <w:b/>
          <w:bCs/>
        </w:rPr>
        <w:t>:</w:t>
      </w:r>
    </w:p>
    <w:p w:rsidR="000F11A7" w:rsidRDefault="000F11A7" w:rsidP="002733B0">
      <w:pPr>
        <w:bidi w:val="0"/>
        <w:jc w:val="both"/>
      </w:pPr>
      <w:r w:rsidRPr="00EE4CAB">
        <w:t>It refers to the amount of Cash spent on purchase of goods and services for living purposes, and The value of goods and service payments or part of payments received from the employer, and own-produced goods and food, including consumed quantities during the recording period, and Imputed rent for owned houses.</w:t>
      </w:r>
    </w:p>
    <w:p w:rsidR="000F11A7" w:rsidRDefault="000F11A7" w:rsidP="002733B0">
      <w:pPr>
        <w:bidi w:val="0"/>
        <w:jc w:val="both"/>
      </w:pPr>
    </w:p>
    <w:p w:rsidR="000F11A7" w:rsidRPr="00EE4CAB" w:rsidRDefault="000F11A7" w:rsidP="002733B0">
      <w:pPr>
        <w:bidi w:val="0"/>
        <w:jc w:val="both"/>
        <w:rPr>
          <w:b/>
          <w:bCs/>
        </w:rPr>
      </w:pPr>
      <w:r w:rsidRPr="00EE4CAB">
        <w:rPr>
          <w:b/>
          <w:bCs/>
        </w:rPr>
        <w:t>Household Expenditure</w:t>
      </w:r>
      <w:r w:rsidR="009166E4">
        <w:rPr>
          <w:b/>
          <w:bCs/>
        </w:rPr>
        <w:t>:</w:t>
      </w:r>
    </w:p>
    <w:p w:rsidR="000F11A7" w:rsidRDefault="000F11A7" w:rsidP="002733B0">
      <w:pPr>
        <w:bidi w:val="0"/>
        <w:jc w:val="both"/>
      </w:pPr>
      <w:r w:rsidRPr="00EE4CAB">
        <w:t>It refers to the amount of Cash spent on purchase of goods and services for living purposes, and the value of goods and services payments or part of payments received from the employer, and Cash expenditure spent as taxes (non-commercial or non-industrial), gifts, contributions, interests on debts and other non-consumption items.</w:t>
      </w:r>
    </w:p>
    <w:p w:rsidR="000F11A7" w:rsidRDefault="000F11A7" w:rsidP="002733B0">
      <w:pPr>
        <w:bidi w:val="0"/>
        <w:jc w:val="both"/>
      </w:pPr>
    </w:p>
    <w:p w:rsidR="000F11A7" w:rsidRPr="00EE4CAB" w:rsidRDefault="000F11A7" w:rsidP="002733B0">
      <w:pPr>
        <w:bidi w:val="0"/>
        <w:jc w:val="both"/>
        <w:rPr>
          <w:b/>
          <w:bCs/>
        </w:rPr>
      </w:pPr>
      <w:r w:rsidRPr="00EE4CAB">
        <w:rPr>
          <w:b/>
          <w:bCs/>
        </w:rPr>
        <w:t>Connection to Public Network (Connection to water resources)</w:t>
      </w:r>
      <w:r w:rsidR="009166E4">
        <w:rPr>
          <w:b/>
          <w:bCs/>
        </w:rPr>
        <w:t>:</w:t>
      </w:r>
    </w:p>
    <w:p w:rsidR="000F11A7" w:rsidRPr="00EE4CAB" w:rsidRDefault="000F11A7" w:rsidP="002733B0">
      <w:pPr>
        <w:bidi w:val="0"/>
        <w:jc w:val="both"/>
      </w:pPr>
      <w:r w:rsidRPr="00EE4CAB">
        <w:t>Connection to water resources This section refers to the types of housing unit’s connection to water resources:</w:t>
      </w:r>
    </w:p>
    <w:p w:rsidR="000F11A7" w:rsidRPr="00EE4CAB" w:rsidRDefault="000F11A7" w:rsidP="002733B0">
      <w:pPr>
        <w:bidi w:val="0"/>
        <w:jc w:val="both"/>
      </w:pPr>
      <w:r w:rsidRPr="00EE4CAB">
        <w:t>1. Public Network: This category applies to Housing units connected to public water networks belonging to the water company, municipalities, or municipal councils.</w:t>
      </w:r>
    </w:p>
    <w:p w:rsidR="000F11A7" w:rsidRPr="00EE4CAB" w:rsidRDefault="000F11A7" w:rsidP="002733B0">
      <w:pPr>
        <w:bidi w:val="0"/>
        <w:jc w:val="both"/>
      </w:pPr>
      <w:r w:rsidRPr="00EE4CAB">
        <w:t>2. Private System: This category applies to Housing units connected to a private water resource providing the household with water. Usually, this type is owned by a group of persons.</w:t>
      </w:r>
    </w:p>
    <w:p w:rsidR="000F11A7" w:rsidRDefault="000F11A7" w:rsidP="002733B0">
      <w:pPr>
        <w:bidi w:val="0"/>
        <w:jc w:val="both"/>
      </w:pPr>
      <w:r w:rsidRPr="00EE4CAB">
        <w:t>3. No piped Water: This category applies to housing units not connected to public wa</w:t>
      </w:r>
      <w:r>
        <w:t>t</w:t>
      </w:r>
      <w:r w:rsidRPr="00D36370">
        <w:t>er networks nor to private system.</w:t>
      </w:r>
    </w:p>
    <w:p w:rsidR="000F11A7" w:rsidRDefault="000F11A7" w:rsidP="002733B0">
      <w:pPr>
        <w:bidi w:val="0"/>
        <w:jc w:val="both"/>
      </w:pPr>
    </w:p>
    <w:p w:rsidR="000F11A7" w:rsidRPr="00B6175D" w:rsidRDefault="000F11A7" w:rsidP="002733B0">
      <w:pPr>
        <w:bidi w:val="0"/>
        <w:jc w:val="both"/>
        <w:rPr>
          <w:b/>
          <w:bCs/>
        </w:rPr>
      </w:pPr>
      <w:r w:rsidRPr="00B6175D">
        <w:rPr>
          <w:b/>
          <w:bCs/>
        </w:rPr>
        <w:t>Transportation (Travel)</w:t>
      </w:r>
      <w:r w:rsidR="009166E4">
        <w:rPr>
          <w:b/>
          <w:bCs/>
        </w:rPr>
        <w:t>:</w:t>
      </w:r>
    </w:p>
    <w:p w:rsidR="000F11A7" w:rsidRDefault="000F11A7" w:rsidP="002733B0">
      <w:pPr>
        <w:bidi w:val="0"/>
        <w:jc w:val="both"/>
      </w:pPr>
      <w:r w:rsidRPr="00D36370">
        <w:t>This concept refers to the movements of the individual (male or female) from one place to another for purposes related to carrying out different activities and using various means of transportation.</w:t>
      </w:r>
    </w:p>
    <w:p w:rsidR="000F11A7" w:rsidRDefault="000F11A7" w:rsidP="002733B0">
      <w:pPr>
        <w:bidi w:val="0"/>
        <w:jc w:val="both"/>
      </w:pPr>
    </w:p>
    <w:p w:rsidR="000F11A7" w:rsidRPr="00B6175D" w:rsidRDefault="000F11A7" w:rsidP="002733B0">
      <w:pPr>
        <w:bidi w:val="0"/>
        <w:jc w:val="both"/>
        <w:rPr>
          <w:b/>
          <w:bCs/>
        </w:rPr>
      </w:pPr>
      <w:r w:rsidRPr="00B6175D">
        <w:rPr>
          <w:b/>
          <w:bCs/>
        </w:rPr>
        <w:t>Governorate</w:t>
      </w:r>
      <w:r w:rsidR="009166E4">
        <w:rPr>
          <w:b/>
          <w:bCs/>
        </w:rPr>
        <w:t>:</w:t>
      </w:r>
    </w:p>
    <w:p w:rsidR="000F11A7" w:rsidRDefault="000F11A7" w:rsidP="002733B0">
      <w:pPr>
        <w:bidi w:val="0"/>
        <w:jc w:val="both"/>
      </w:pPr>
      <w:r w:rsidRPr="00D36370">
        <w:t>Governorates were defined according to the official administrative division of the Palestinian Territory for the end of 1997. There are (16) governorates, and each governorate consists of Number of localities.</w:t>
      </w:r>
    </w:p>
    <w:p w:rsidR="000F11A7" w:rsidRDefault="000F11A7" w:rsidP="002733B0">
      <w:pPr>
        <w:bidi w:val="0"/>
        <w:jc w:val="both"/>
      </w:pPr>
    </w:p>
    <w:p w:rsidR="000F11A7" w:rsidRPr="00B6175D" w:rsidRDefault="000F11A7" w:rsidP="002733B0">
      <w:pPr>
        <w:bidi w:val="0"/>
        <w:jc w:val="both"/>
        <w:rPr>
          <w:b/>
          <w:bCs/>
        </w:rPr>
      </w:pPr>
      <w:r w:rsidRPr="00B6175D">
        <w:rPr>
          <w:b/>
          <w:bCs/>
        </w:rPr>
        <w:t>Connection to Public Network (Connection to electricity)</w:t>
      </w:r>
      <w:r w:rsidR="009166E4">
        <w:rPr>
          <w:b/>
          <w:bCs/>
        </w:rPr>
        <w:t>:</w:t>
      </w:r>
    </w:p>
    <w:p w:rsidR="000F11A7" w:rsidRPr="00D36370" w:rsidRDefault="000F11A7" w:rsidP="002733B0">
      <w:pPr>
        <w:bidi w:val="0"/>
        <w:jc w:val="both"/>
      </w:pPr>
      <w:r w:rsidRPr="00D36370">
        <w:t>This section refers to the types of housing unit’s connection to water resources:</w:t>
      </w:r>
    </w:p>
    <w:p w:rsidR="000F11A7" w:rsidRPr="00D36370" w:rsidRDefault="000F11A7" w:rsidP="002733B0">
      <w:pPr>
        <w:bidi w:val="0"/>
        <w:jc w:val="both"/>
      </w:pPr>
      <w:r w:rsidRPr="00D36370">
        <w:t>1. Public Network: This category applies to housing units connected to public electricity networks belonging to the electricity company, municipalities, or municipal councils.</w:t>
      </w:r>
    </w:p>
    <w:p w:rsidR="000F11A7" w:rsidRPr="00D36370" w:rsidRDefault="000F11A7" w:rsidP="002733B0">
      <w:pPr>
        <w:bidi w:val="0"/>
        <w:jc w:val="both"/>
      </w:pPr>
      <w:r w:rsidRPr="00D36370">
        <w:t>2. Private Generator: This category applies when electricity is provided to the housing unit through a private generator usually owned by the head of household or a group of persons.</w:t>
      </w:r>
    </w:p>
    <w:p w:rsidR="000F11A7" w:rsidRDefault="000F11A7" w:rsidP="002733B0">
      <w:pPr>
        <w:bidi w:val="0"/>
        <w:jc w:val="both"/>
      </w:pPr>
      <w:r w:rsidRPr="00D36370">
        <w:t>3. No Electricity: This category applies to housing units having no access to public network or private generator.</w:t>
      </w:r>
    </w:p>
    <w:p w:rsidR="000F11A7" w:rsidRDefault="000F11A7" w:rsidP="002733B0">
      <w:pPr>
        <w:bidi w:val="0"/>
        <w:jc w:val="both"/>
      </w:pPr>
    </w:p>
    <w:p w:rsidR="009166E4" w:rsidRDefault="009166E4" w:rsidP="009166E4">
      <w:pPr>
        <w:bidi w:val="0"/>
        <w:jc w:val="both"/>
      </w:pPr>
    </w:p>
    <w:p w:rsidR="009166E4" w:rsidRDefault="009166E4" w:rsidP="009166E4">
      <w:pPr>
        <w:bidi w:val="0"/>
        <w:jc w:val="both"/>
      </w:pPr>
    </w:p>
    <w:p w:rsidR="009166E4" w:rsidRDefault="009166E4" w:rsidP="009166E4">
      <w:pPr>
        <w:bidi w:val="0"/>
        <w:jc w:val="both"/>
      </w:pPr>
    </w:p>
    <w:p w:rsidR="009166E4" w:rsidRDefault="009166E4" w:rsidP="009166E4">
      <w:pPr>
        <w:bidi w:val="0"/>
        <w:jc w:val="both"/>
      </w:pPr>
    </w:p>
    <w:p w:rsidR="009166E4" w:rsidRDefault="009166E4" w:rsidP="009166E4">
      <w:pPr>
        <w:bidi w:val="0"/>
        <w:jc w:val="both"/>
      </w:pPr>
    </w:p>
    <w:p w:rsidR="000F11A7" w:rsidRPr="00B6175D" w:rsidRDefault="000F11A7" w:rsidP="002733B0">
      <w:pPr>
        <w:bidi w:val="0"/>
        <w:jc w:val="both"/>
        <w:rPr>
          <w:b/>
          <w:bCs/>
        </w:rPr>
      </w:pPr>
      <w:r w:rsidRPr="00B6175D">
        <w:rPr>
          <w:b/>
          <w:bCs/>
        </w:rPr>
        <w:lastRenderedPageBreak/>
        <w:t>Agricultural Holding</w:t>
      </w:r>
      <w:r w:rsidR="009166E4">
        <w:rPr>
          <w:b/>
          <w:bCs/>
        </w:rPr>
        <w:t>:</w:t>
      </w:r>
    </w:p>
    <w:p w:rsidR="000F11A7" w:rsidRDefault="000F11A7" w:rsidP="002733B0">
      <w:pPr>
        <w:bidi w:val="0"/>
        <w:jc w:val="both"/>
      </w:pPr>
      <w:r w:rsidRPr="00D36370">
        <w:t xml:space="preserve">An economic unit of agricultural production under single management comprising all kept livestock and all land used totally or partially for agricultural production purposes regardless of legal form or size. Single management may be exercised by an individual or household, jointly by two or more individuals or households, by a clan or tribe, or by a juridical person such as a corporation, cooperative, or government agency. The land of the holding may consist of one or more parcels located in one or more separate areas, or in one or more territorial or administrative divisions, providing the parcels share the same means of production such as </w:t>
      </w:r>
      <w:proofErr w:type="spellStart"/>
      <w:r w:rsidRPr="00D36370">
        <w:t>labour</w:t>
      </w:r>
      <w:proofErr w:type="spellEnd"/>
      <w:r w:rsidRPr="00D36370">
        <w:t>, farm buildings, machinery, or draught animals.</w:t>
      </w:r>
    </w:p>
    <w:p w:rsidR="000F11A7" w:rsidRDefault="000F11A7" w:rsidP="002733B0">
      <w:pPr>
        <w:bidi w:val="0"/>
        <w:jc w:val="both"/>
      </w:pPr>
    </w:p>
    <w:p w:rsidR="000F11A7" w:rsidRPr="00B6175D" w:rsidRDefault="000F11A7" w:rsidP="002733B0">
      <w:pPr>
        <w:bidi w:val="0"/>
        <w:jc w:val="both"/>
        <w:rPr>
          <w:b/>
          <w:bCs/>
        </w:rPr>
      </w:pPr>
      <w:r w:rsidRPr="00B6175D">
        <w:rPr>
          <w:b/>
          <w:bCs/>
        </w:rPr>
        <w:t>Artesian Wells</w:t>
      </w:r>
      <w:r w:rsidR="009166E4">
        <w:rPr>
          <w:b/>
          <w:bCs/>
        </w:rPr>
        <w:t>:</w:t>
      </w:r>
    </w:p>
    <w:p w:rsidR="000F11A7" w:rsidRDefault="000F11A7" w:rsidP="002733B0">
      <w:pPr>
        <w:bidi w:val="0"/>
        <w:jc w:val="both"/>
      </w:pPr>
      <w:r w:rsidRPr="00AE0B01">
        <w:t>Those wells are being dug to reach the ground water, for pumped and exploited as a source of water for multiple purposes of drinking or irrigation.</w:t>
      </w:r>
    </w:p>
    <w:p w:rsidR="000F11A7" w:rsidRDefault="000F11A7" w:rsidP="002733B0">
      <w:pPr>
        <w:bidi w:val="0"/>
        <w:jc w:val="both"/>
      </w:pPr>
    </w:p>
    <w:p w:rsidR="000F11A7" w:rsidRPr="00B6175D" w:rsidRDefault="000F11A7" w:rsidP="002733B0">
      <w:pPr>
        <w:bidi w:val="0"/>
        <w:jc w:val="both"/>
        <w:rPr>
          <w:b/>
          <w:bCs/>
        </w:rPr>
      </w:pPr>
      <w:r w:rsidRPr="00B6175D">
        <w:rPr>
          <w:b/>
          <w:bCs/>
        </w:rPr>
        <w:t>Rain Water Harvesting Cisterns</w:t>
      </w:r>
      <w:r w:rsidR="009166E4">
        <w:rPr>
          <w:b/>
          <w:bCs/>
        </w:rPr>
        <w:t>:</w:t>
      </w:r>
    </w:p>
    <w:p w:rsidR="000F11A7" w:rsidRDefault="000F11A7" w:rsidP="002733B0">
      <w:pPr>
        <w:bidi w:val="0"/>
        <w:jc w:val="both"/>
      </w:pPr>
      <w:r w:rsidRPr="00AE0B01">
        <w:t>Wells are being dug and lined the purpose of collecting and storing rainwater them.</w:t>
      </w:r>
    </w:p>
    <w:p w:rsidR="000F11A7" w:rsidRDefault="000F11A7" w:rsidP="002733B0">
      <w:pPr>
        <w:bidi w:val="0"/>
        <w:jc w:val="both"/>
      </w:pPr>
    </w:p>
    <w:p w:rsidR="000F11A7" w:rsidRPr="00B6175D" w:rsidRDefault="000F11A7" w:rsidP="002733B0">
      <w:pPr>
        <w:bidi w:val="0"/>
        <w:jc w:val="both"/>
        <w:rPr>
          <w:b/>
          <w:bCs/>
        </w:rPr>
      </w:pPr>
      <w:r w:rsidRPr="00B6175D">
        <w:rPr>
          <w:b/>
          <w:bCs/>
        </w:rPr>
        <w:t>Machinery and Equipment</w:t>
      </w:r>
      <w:r w:rsidR="009166E4">
        <w:rPr>
          <w:b/>
          <w:bCs/>
        </w:rPr>
        <w:t>:</w:t>
      </w:r>
    </w:p>
    <w:p w:rsidR="000F11A7" w:rsidRDefault="000F11A7" w:rsidP="002733B0">
      <w:pPr>
        <w:bidi w:val="0"/>
        <w:jc w:val="both"/>
      </w:pPr>
      <w:r w:rsidRPr="00AE0B01">
        <w:t>Covering all machinery, equipment and implements used as inputs to agricultural production, this includes everything from simple hand tools, such as a hoe, to complex machinery such as a combined harvester.</w:t>
      </w:r>
    </w:p>
    <w:p w:rsidR="000F11A7" w:rsidRDefault="000F11A7" w:rsidP="002733B0">
      <w:pPr>
        <w:bidi w:val="0"/>
        <w:jc w:val="both"/>
      </w:pPr>
    </w:p>
    <w:p w:rsidR="000F11A7" w:rsidRPr="00EF08EA" w:rsidRDefault="000F11A7" w:rsidP="002733B0">
      <w:pPr>
        <w:bidi w:val="0"/>
        <w:jc w:val="both"/>
        <w:rPr>
          <w:b/>
          <w:bCs/>
        </w:rPr>
      </w:pPr>
      <w:r w:rsidRPr="00EF08EA">
        <w:rPr>
          <w:b/>
          <w:bCs/>
        </w:rPr>
        <w:t>Agricultural Land</w:t>
      </w:r>
      <w:r w:rsidR="009166E4">
        <w:rPr>
          <w:b/>
          <w:bCs/>
        </w:rPr>
        <w:t>:</w:t>
      </w:r>
    </w:p>
    <w:p w:rsidR="000F11A7" w:rsidRDefault="000F11A7" w:rsidP="002733B0">
      <w:pPr>
        <w:bidi w:val="0"/>
        <w:jc w:val="both"/>
      </w:pPr>
      <w:r w:rsidRPr="00EF08EA">
        <w:t>It refers to the major classes of land use on agricultural holdings. For classification the "gross area" is surveyed for each class. Agricultural land includes land under scattered farm buildings, yards and their annexes, permanently uncultivated land, such as uncultivated patches, banks footpaths, ditches, headlands and shoulders (ECE 1986).</w:t>
      </w:r>
    </w:p>
    <w:p w:rsidR="000F11A7" w:rsidRDefault="000F11A7" w:rsidP="002733B0">
      <w:pPr>
        <w:bidi w:val="0"/>
        <w:jc w:val="both"/>
      </w:pPr>
    </w:p>
    <w:p w:rsidR="000F11A7" w:rsidRPr="00EF08EA" w:rsidRDefault="000F11A7" w:rsidP="002733B0">
      <w:pPr>
        <w:bidi w:val="0"/>
        <w:jc w:val="both"/>
        <w:rPr>
          <w:b/>
          <w:bCs/>
        </w:rPr>
      </w:pPr>
      <w:r w:rsidRPr="00EF08EA">
        <w:rPr>
          <w:b/>
          <w:bCs/>
        </w:rPr>
        <w:t>Agricultural Year</w:t>
      </w:r>
      <w:r w:rsidR="009166E4">
        <w:rPr>
          <w:b/>
          <w:bCs/>
        </w:rPr>
        <w:t>:</w:t>
      </w:r>
    </w:p>
    <w:p w:rsidR="000F11A7" w:rsidRDefault="000F11A7" w:rsidP="002733B0">
      <w:pPr>
        <w:bidi w:val="0"/>
        <w:jc w:val="both"/>
        <w:rPr>
          <w:rtl/>
        </w:rPr>
      </w:pPr>
      <w:r w:rsidRPr="00EF08EA">
        <w:t>The period covering the first of October to the end of September of the following year.</w:t>
      </w: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bidi w:val="0"/>
        <w:jc w:val="both"/>
        <w:rPr>
          <w:rtl/>
        </w:rPr>
      </w:pPr>
    </w:p>
    <w:p w:rsidR="001A4AF6" w:rsidRDefault="001A4AF6" w:rsidP="001A4AF6">
      <w:pPr>
        <w:pStyle w:val="BodyText2"/>
        <w:ind w:right="1"/>
        <w:jc w:val="center"/>
        <w:rPr>
          <w:b/>
          <w:bCs/>
          <w:sz w:val="28"/>
          <w:szCs w:val="28"/>
          <w:rtl/>
        </w:rPr>
      </w:pPr>
      <w:r>
        <w:rPr>
          <w:b/>
          <w:bCs/>
          <w:sz w:val="28"/>
          <w:szCs w:val="28"/>
        </w:rPr>
        <w:t>References</w:t>
      </w:r>
    </w:p>
    <w:p w:rsidR="001A4AF6" w:rsidRDefault="001A4AF6" w:rsidP="001A4AF6">
      <w:pPr>
        <w:pStyle w:val="BodyText2"/>
        <w:ind w:right="1"/>
        <w:jc w:val="center"/>
        <w:rPr>
          <w:b/>
          <w:bCs/>
          <w:sz w:val="28"/>
          <w:szCs w:val="28"/>
          <w:rtl/>
        </w:rPr>
      </w:pPr>
    </w:p>
    <w:p w:rsidR="001A4AF6" w:rsidRPr="00AC7B8E" w:rsidRDefault="001A4AF6" w:rsidP="001A4AF6">
      <w:pPr>
        <w:numPr>
          <w:ilvl w:val="0"/>
          <w:numId w:val="23"/>
        </w:numPr>
        <w:tabs>
          <w:tab w:val="clear" w:pos="720"/>
        </w:tabs>
        <w:bidi w:val="0"/>
        <w:spacing w:after="240"/>
        <w:ind w:left="567" w:right="-1" w:hanging="425"/>
        <w:jc w:val="both"/>
      </w:pPr>
      <w:r w:rsidRPr="003779AA">
        <w:t>Palestinia</w:t>
      </w:r>
      <w:r>
        <w:t xml:space="preserve">n Central Bureau of Statistics, 2014. </w:t>
      </w:r>
      <w:r w:rsidRPr="00AC7B8E">
        <w:t xml:space="preserve">Guide </w:t>
      </w:r>
      <w:r>
        <w:t>P</w:t>
      </w:r>
      <w:r w:rsidRPr="00AC7B8E">
        <w:t xml:space="preserve">ublication of </w:t>
      </w:r>
      <w:r>
        <w:t>S</w:t>
      </w:r>
      <w:r w:rsidRPr="00AC7B8E">
        <w:t xml:space="preserve">tatistical </w:t>
      </w:r>
      <w:r>
        <w:t>R</w:t>
      </w:r>
      <w:r w:rsidRPr="00AC7B8E">
        <w:t>eports</w:t>
      </w:r>
      <w:r>
        <w:t xml:space="preserve"> – 12</w:t>
      </w:r>
      <w:r>
        <w:rPr>
          <w:vertAlign w:val="superscript"/>
        </w:rPr>
        <w:t>th</w:t>
      </w:r>
      <w:r>
        <w:t xml:space="preserve"> Edition.  </w:t>
      </w:r>
      <w:r w:rsidRPr="003779AA">
        <w:t>Ramallah- Palestine</w:t>
      </w:r>
      <w:r>
        <w:t>.</w:t>
      </w:r>
    </w:p>
    <w:p w:rsidR="001A4AF6" w:rsidRDefault="001A4AF6" w:rsidP="001A4AF6">
      <w:pPr>
        <w:numPr>
          <w:ilvl w:val="0"/>
          <w:numId w:val="23"/>
        </w:numPr>
        <w:tabs>
          <w:tab w:val="clear" w:pos="720"/>
        </w:tabs>
        <w:bidi w:val="0"/>
        <w:spacing w:after="240"/>
        <w:ind w:left="567" w:right="-1" w:hanging="425"/>
        <w:jc w:val="both"/>
      </w:pPr>
      <w:r>
        <w:t xml:space="preserve">Palestinian Central Bureau of Statistics. </w:t>
      </w:r>
      <w:r w:rsidRPr="001A4AF6">
        <w:t>Glossary of Statistical Terms Used in PCBS, Edition 2016.</w:t>
      </w:r>
      <w:r>
        <w:t xml:space="preserve">  Ramallah- Palestine.</w:t>
      </w:r>
      <w:r>
        <w:tab/>
      </w:r>
    </w:p>
    <w:p w:rsidR="001A4AF6" w:rsidRDefault="001A4AF6" w:rsidP="001A4AF6">
      <w:pPr>
        <w:bidi w:val="0"/>
        <w:jc w:val="both"/>
      </w:pPr>
    </w:p>
    <w:p w:rsidR="004402A6" w:rsidRPr="0058627D" w:rsidRDefault="004402A6" w:rsidP="000F11A7">
      <w:pPr>
        <w:bidi w:val="0"/>
        <w:ind w:right="642"/>
        <w:jc w:val="both"/>
        <w:rPr>
          <w:rtl/>
        </w:rPr>
      </w:pPr>
    </w:p>
    <w:p w:rsidR="004402A6" w:rsidRPr="004473AD" w:rsidRDefault="004402A6" w:rsidP="00873305">
      <w:pPr>
        <w:pStyle w:val="BodyTextIndent"/>
        <w:tabs>
          <w:tab w:val="left" w:pos="3765"/>
        </w:tabs>
        <w:ind w:left="701"/>
        <w:rPr>
          <w:rFonts w:ascii="Arial" w:hAnsi="Arial" w:cs="Simplified Arabic"/>
        </w:rPr>
      </w:pPr>
      <w:r w:rsidRPr="004473AD">
        <w:rPr>
          <w:rFonts w:ascii="Arial" w:hAnsi="Arial" w:cs="Simplified Arabic"/>
          <w:rtl/>
        </w:rPr>
        <w:t xml:space="preserve"> </w:t>
      </w:r>
      <w:r w:rsidRPr="004473AD">
        <w:rPr>
          <w:rFonts w:ascii="Arial" w:hAnsi="Arial" w:cs="Simplified Arabic"/>
          <w:rtl/>
        </w:rPr>
        <w:tab/>
      </w:r>
    </w:p>
    <w:p w:rsidR="004402A6" w:rsidRPr="004473AD" w:rsidRDefault="004402A6" w:rsidP="00873305">
      <w:pPr>
        <w:jc w:val="both"/>
        <w:rPr>
          <w:rFonts w:ascii="Arial" w:hAnsi="Arial" w:cs="Simplified Arabic"/>
          <w:rtl/>
          <w:lang w:eastAsia="en-US"/>
        </w:rPr>
      </w:pPr>
    </w:p>
    <w:bookmarkEnd w:id="8"/>
    <w:bookmarkEnd w:id="9"/>
    <w:bookmarkEnd w:id="10"/>
    <w:bookmarkEnd w:id="11"/>
    <w:p w:rsidR="004402A6" w:rsidRDefault="004402A6" w:rsidP="00873305">
      <w:pPr>
        <w:bidi w:val="0"/>
        <w:jc w:val="both"/>
        <w:rPr>
          <w:rFonts w:ascii="Arial" w:hAnsi="Arial" w:cs="Simplified Arabic"/>
          <w:rtl/>
          <w:lang w:eastAsia="en-US"/>
        </w:rPr>
      </w:pPr>
    </w:p>
    <w:p w:rsidR="000A32E6" w:rsidRDefault="000A32E6" w:rsidP="00873305">
      <w:pPr>
        <w:bidi w:val="0"/>
        <w:jc w:val="both"/>
        <w:rPr>
          <w:rFonts w:ascii="Arial" w:hAnsi="Arial" w:cs="Simplified Arabic"/>
          <w:rtl/>
        </w:rPr>
      </w:pPr>
    </w:p>
    <w:p w:rsidR="000A32E6" w:rsidRPr="004473AD" w:rsidRDefault="000A32E6" w:rsidP="00873305">
      <w:pPr>
        <w:jc w:val="both"/>
        <w:rPr>
          <w:rFonts w:ascii="Arial" w:hAnsi="Arial" w:cs="Simplified Arabic"/>
          <w:rtl/>
        </w:rPr>
      </w:pPr>
    </w:p>
    <w:sectPr w:rsidR="000A32E6" w:rsidRPr="004473AD" w:rsidSect="00B217CE">
      <w:headerReference w:type="default" r:id="rId54"/>
      <w:pgSz w:w="11909" w:h="16834" w:code="9"/>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64ED3" w:rsidRDefault="00064ED3">
      <w:pPr>
        <w:rPr>
          <w:lang w:eastAsia="en-US"/>
        </w:rPr>
      </w:pPr>
      <w:r>
        <w:separator/>
      </w:r>
    </w:p>
  </w:endnote>
  <w:endnote w:type="continuationSeparator" w:id="0">
    <w:p w:rsidR="00064ED3" w:rsidRDefault="00064ED3">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636" w:rsidRDefault="002F2636" w:rsidP="005F4442">
    <w:pPr>
      <w:pStyle w:val="Footer"/>
      <w:jc w:val="cen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636" w:rsidRPr="009968AB" w:rsidRDefault="002F2636" w:rsidP="009968AB">
    <w:pPr>
      <w:pStyle w:val="Footer"/>
      <w:bidi w:val="0"/>
      <w:jc w:val="center"/>
      <w:rPr>
        <w:rtl/>
      </w:rPr>
    </w:pPr>
    <w:r>
      <w:t>[</w:t>
    </w:r>
    <w:fldSimple w:instr=" PAGE   \* MERGEFORMAT ">
      <w:r w:rsidR="00F16DF4">
        <w:rPr>
          <w:noProof/>
        </w:rPr>
        <w:t>23</w:t>
      </w:r>
    </w:fldSimple>
    <w: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64ED3" w:rsidRDefault="00064ED3">
      <w:pPr>
        <w:rPr>
          <w:lang w:eastAsia="en-US"/>
        </w:rPr>
      </w:pPr>
      <w:r>
        <w:separator/>
      </w:r>
    </w:p>
  </w:footnote>
  <w:footnote w:type="continuationSeparator" w:id="0">
    <w:p w:rsidR="00064ED3" w:rsidRDefault="00064ED3">
      <w:pPr>
        <w:rPr>
          <w:lang w:eastAsia="en-US"/>
        </w:rPr>
      </w:pPr>
      <w:r>
        <w:continuationSeparator/>
      </w:r>
    </w:p>
  </w:footnote>
  <w:footnote w:id="1">
    <w:p w:rsidR="002F2636" w:rsidRPr="00F16DF4" w:rsidRDefault="002F2636" w:rsidP="00F16DF4">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636" w:rsidRDefault="002F263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2636" w:rsidRPr="00B1304C" w:rsidRDefault="002F2636" w:rsidP="008C08B9">
    <w:pPr>
      <w:pStyle w:val="Header"/>
      <w:jc w:val="right"/>
      <w:rPr>
        <w:rFonts w:ascii="Arial" w:hAnsi="Arial" w:cs="Arial"/>
        <w:szCs w:val="16"/>
      </w:rPr>
    </w:pPr>
    <w:r w:rsidRPr="00B1304C">
      <w:rPr>
        <w:rFonts w:ascii="Arial" w:hAnsi="Arial" w:cs="Arial"/>
        <w:sz w:val="16"/>
        <w:szCs w:val="16"/>
      </w:rPr>
      <w:t>PCBS: The Impact of Israeli Aggression on Gaza Strip in 2014</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04462800"/>
    <w:multiLevelType w:val="hybridMultilevel"/>
    <w:tmpl w:val="75EEC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1E2E09"/>
    <w:multiLevelType w:val="hybridMultilevel"/>
    <w:tmpl w:val="B2247DD0"/>
    <w:lvl w:ilvl="0" w:tplc="2556AD7A">
      <w:start w:val="1"/>
      <w:numFmt w:val="decimal"/>
      <w:lvlText w:val="%1."/>
      <w:lvlJc w:val="left"/>
      <w:pPr>
        <w:ind w:left="720" w:hanging="360"/>
      </w:pPr>
      <w:rPr>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E6C70"/>
    <w:multiLevelType w:val="multilevel"/>
    <w:tmpl w:val="8DB86DB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927613F"/>
    <w:multiLevelType w:val="hybridMultilevel"/>
    <w:tmpl w:val="F3605FC2"/>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588490B"/>
    <w:multiLevelType w:val="multilevel"/>
    <w:tmpl w:val="C3065F5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8D435E8"/>
    <w:multiLevelType w:val="multilevel"/>
    <w:tmpl w:val="A5089B5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B263EC5"/>
    <w:multiLevelType w:val="hybridMultilevel"/>
    <w:tmpl w:val="D13805D6"/>
    <w:lvl w:ilvl="0" w:tplc="7138C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6A6568"/>
    <w:multiLevelType w:val="multilevel"/>
    <w:tmpl w:val="046C21EA"/>
    <w:lvl w:ilvl="0">
      <w:start w:val="1"/>
      <w:numFmt w:val="decimal"/>
      <w:lvlText w:val="%1."/>
      <w:legacy w:legacy="1" w:legacySpace="0" w:legacyIndent="360"/>
      <w:lvlJc w:val="center"/>
      <w:pPr>
        <w:ind w:left="522" w:hanging="360"/>
      </w:pPr>
      <w:rPr>
        <w:rFonts w:cs="Times New Roman"/>
      </w:rPr>
    </w:lvl>
    <w:lvl w:ilvl="1">
      <w:start w:val="4"/>
      <w:numFmt w:val="decimal"/>
      <w:isLgl/>
      <w:lvlText w:val="%1.%2"/>
      <w:lvlJc w:val="left"/>
      <w:pPr>
        <w:ind w:left="717" w:hanging="555"/>
      </w:pPr>
      <w:rPr>
        <w:rFonts w:hint="default"/>
      </w:rPr>
    </w:lvl>
    <w:lvl w:ilvl="2">
      <w:start w:val="2"/>
      <w:numFmt w:val="decimal"/>
      <w:isLgl/>
      <w:lvlText w:val="%1.%2.%3"/>
      <w:lvlJc w:val="left"/>
      <w:pPr>
        <w:ind w:left="882" w:hanging="720"/>
      </w:pPr>
      <w:rPr>
        <w:rFonts w:hint="default"/>
      </w:rPr>
    </w:lvl>
    <w:lvl w:ilvl="3">
      <w:start w:val="1"/>
      <w:numFmt w:val="decimal"/>
      <w:isLgl/>
      <w:lvlText w:val="%1.%2.%3.%4"/>
      <w:lvlJc w:val="left"/>
      <w:pPr>
        <w:ind w:left="882" w:hanging="720"/>
      </w:pPr>
      <w:rPr>
        <w:rFonts w:hint="default"/>
      </w:rPr>
    </w:lvl>
    <w:lvl w:ilvl="4">
      <w:start w:val="1"/>
      <w:numFmt w:val="decimal"/>
      <w:isLgl/>
      <w:lvlText w:val="%1.%2.%3.%4.%5"/>
      <w:lvlJc w:val="left"/>
      <w:pPr>
        <w:ind w:left="1242" w:hanging="1080"/>
      </w:pPr>
      <w:rPr>
        <w:rFonts w:hint="default"/>
      </w:rPr>
    </w:lvl>
    <w:lvl w:ilvl="5">
      <w:start w:val="1"/>
      <w:numFmt w:val="decimal"/>
      <w:isLgl/>
      <w:lvlText w:val="%1.%2.%3.%4.%5.%6"/>
      <w:lvlJc w:val="left"/>
      <w:pPr>
        <w:ind w:left="1602" w:hanging="1440"/>
      </w:pPr>
      <w:rPr>
        <w:rFonts w:hint="default"/>
      </w:rPr>
    </w:lvl>
    <w:lvl w:ilvl="6">
      <w:start w:val="1"/>
      <w:numFmt w:val="decimal"/>
      <w:isLgl/>
      <w:lvlText w:val="%1.%2.%3.%4.%5.%6.%7"/>
      <w:lvlJc w:val="left"/>
      <w:pPr>
        <w:ind w:left="1602" w:hanging="1440"/>
      </w:pPr>
      <w:rPr>
        <w:rFonts w:hint="default"/>
      </w:rPr>
    </w:lvl>
    <w:lvl w:ilvl="7">
      <w:start w:val="1"/>
      <w:numFmt w:val="decimal"/>
      <w:isLgl/>
      <w:lvlText w:val="%1.%2.%3.%4.%5.%6.%7.%8"/>
      <w:lvlJc w:val="left"/>
      <w:pPr>
        <w:ind w:left="1962" w:hanging="1800"/>
      </w:pPr>
      <w:rPr>
        <w:rFonts w:hint="default"/>
      </w:rPr>
    </w:lvl>
    <w:lvl w:ilvl="8">
      <w:start w:val="1"/>
      <w:numFmt w:val="decimal"/>
      <w:isLgl/>
      <w:lvlText w:val="%1.%2.%3.%4.%5.%6.%7.%8.%9"/>
      <w:lvlJc w:val="left"/>
      <w:pPr>
        <w:ind w:left="1962" w:hanging="1800"/>
      </w:pPr>
      <w:rPr>
        <w:rFonts w:hint="default"/>
      </w:rPr>
    </w:lvl>
  </w:abstractNum>
  <w:abstractNum w:abstractNumId="9">
    <w:nsid w:val="28B90213"/>
    <w:multiLevelType w:val="hybridMultilevel"/>
    <w:tmpl w:val="9EA815E4"/>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cs="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cs="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cs="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10">
    <w:nsid w:val="2D0B42DB"/>
    <w:multiLevelType w:val="multilevel"/>
    <w:tmpl w:val="0782643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1004" w:hanging="720"/>
      </w:pPr>
      <w:rPr>
        <w:rFonts w:ascii="Simplified Arabic" w:hAnsi="Simplified Arabic" w:cs="Simplified Arabic"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2D490858"/>
    <w:multiLevelType w:val="hybridMultilevel"/>
    <w:tmpl w:val="B42A33A2"/>
    <w:lvl w:ilvl="0" w:tplc="7ADA98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7655DBE"/>
    <w:multiLevelType w:val="hybridMultilevel"/>
    <w:tmpl w:val="0A1E820E"/>
    <w:lvl w:ilvl="0" w:tplc="0401000F">
      <w:start w:val="1"/>
      <w:numFmt w:val="decimal"/>
      <w:lvlText w:val="%1."/>
      <w:lvlJc w:val="left"/>
      <w:pPr>
        <w:tabs>
          <w:tab w:val="num" w:pos="720"/>
        </w:tabs>
        <w:ind w:left="720" w:right="720" w:hanging="360"/>
      </w:pPr>
      <w:rPr>
        <w:rFonts w:ascii="Times New Roman" w:hAnsi="Times New Roman" w:cs="Times New Roman"/>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nsid w:val="393A1DEA"/>
    <w:multiLevelType w:val="hybridMultilevel"/>
    <w:tmpl w:val="DA4AEF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5">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6">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3381874"/>
    <w:multiLevelType w:val="hybridMultilevel"/>
    <w:tmpl w:val="438E0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A854BEE"/>
    <w:multiLevelType w:val="hybridMultilevel"/>
    <w:tmpl w:val="EF203E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00A70CA"/>
    <w:multiLevelType w:val="multilevel"/>
    <w:tmpl w:val="E946E81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4F93A94"/>
    <w:multiLevelType w:val="multilevel"/>
    <w:tmpl w:val="DCF8D4A2"/>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78F53477"/>
    <w:multiLevelType w:val="hybridMultilevel"/>
    <w:tmpl w:val="ED9AB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8"/>
  </w:num>
  <w:num w:numId="3">
    <w:abstractNumId w:val="8"/>
    <w:lvlOverride w:ilvl="0">
      <w:lvl w:ilvl="0">
        <w:start w:val="1"/>
        <w:numFmt w:val="decimal"/>
        <w:lvlText w:val="%1."/>
        <w:legacy w:legacy="1" w:legacySpace="0" w:legacyIndent="360"/>
        <w:lvlJc w:val="center"/>
        <w:pPr>
          <w:ind w:left="522" w:hanging="360"/>
        </w:pPr>
        <w:rPr>
          <w:rFonts w:cs="Times New Roman"/>
        </w:rPr>
      </w:lvl>
    </w:lvlOverride>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21"/>
  </w:num>
  <w:num w:numId="7">
    <w:abstractNumId w:val="10"/>
  </w:num>
  <w:num w:numId="8">
    <w:abstractNumId w:val="16"/>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17"/>
  </w:num>
  <w:num w:numId="12">
    <w:abstractNumId w:val="1"/>
  </w:num>
  <w:num w:numId="13">
    <w:abstractNumId w:val="2"/>
  </w:num>
  <w:num w:numId="14">
    <w:abstractNumId w:val="9"/>
  </w:num>
  <w:num w:numId="15">
    <w:abstractNumId w:val="3"/>
  </w:num>
  <w:num w:numId="16">
    <w:abstractNumId w:val="20"/>
  </w:num>
  <w:num w:numId="17">
    <w:abstractNumId w:val="11"/>
  </w:num>
  <w:num w:numId="18">
    <w:abstractNumId w:val="7"/>
  </w:num>
  <w:num w:numId="19">
    <w:abstractNumId w:val="13"/>
  </w:num>
  <w:num w:numId="20">
    <w:abstractNumId w:val="19"/>
  </w:num>
  <w:num w:numId="21">
    <w:abstractNumId w:val="18"/>
  </w:num>
  <w:num w:numId="22">
    <w:abstractNumId w:val="6"/>
  </w:num>
  <w:num w:numId="23">
    <w:abstractNumId w:val="12"/>
  </w:num>
  <w:num w:numId="24">
    <w:abstractNumId w:val="22"/>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18434"/>
  </w:hdrShapeDefaults>
  <w:footnotePr>
    <w:footnote w:id="-1"/>
    <w:footnote w:id="0"/>
  </w:footnotePr>
  <w:endnotePr>
    <w:endnote w:id="-1"/>
    <w:endnote w:id="0"/>
  </w:endnotePr>
  <w:compat/>
  <w:rsids>
    <w:rsidRoot w:val="002201D2"/>
    <w:rsid w:val="00000439"/>
    <w:rsid w:val="00000A80"/>
    <w:rsid w:val="00001A97"/>
    <w:rsid w:val="00001C8D"/>
    <w:rsid w:val="000020B6"/>
    <w:rsid w:val="0000311F"/>
    <w:rsid w:val="00003F5C"/>
    <w:rsid w:val="00005412"/>
    <w:rsid w:val="00005860"/>
    <w:rsid w:val="0000727D"/>
    <w:rsid w:val="000124AB"/>
    <w:rsid w:val="0001387D"/>
    <w:rsid w:val="00013996"/>
    <w:rsid w:val="00013A98"/>
    <w:rsid w:val="000159AC"/>
    <w:rsid w:val="00015CD5"/>
    <w:rsid w:val="00015F5B"/>
    <w:rsid w:val="00016BA0"/>
    <w:rsid w:val="000203D6"/>
    <w:rsid w:val="000206D4"/>
    <w:rsid w:val="00020A3D"/>
    <w:rsid w:val="000214F6"/>
    <w:rsid w:val="00021AAD"/>
    <w:rsid w:val="00022B48"/>
    <w:rsid w:val="00023723"/>
    <w:rsid w:val="00023D43"/>
    <w:rsid w:val="000242E8"/>
    <w:rsid w:val="00024A71"/>
    <w:rsid w:val="00024D5F"/>
    <w:rsid w:val="0002649D"/>
    <w:rsid w:val="00030879"/>
    <w:rsid w:val="00031E28"/>
    <w:rsid w:val="0003281A"/>
    <w:rsid w:val="00033038"/>
    <w:rsid w:val="00033FA7"/>
    <w:rsid w:val="000346D3"/>
    <w:rsid w:val="0003502D"/>
    <w:rsid w:val="000373CA"/>
    <w:rsid w:val="00037886"/>
    <w:rsid w:val="00037B94"/>
    <w:rsid w:val="00041DC9"/>
    <w:rsid w:val="00041E86"/>
    <w:rsid w:val="0004225D"/>
    <w:rsid w:val="000437D4"/>
    <w:rsid w:val="000441AD"/>
    <w:rsid w:val="00045FD3"/>
    <w:rsid w:val="00046498"/>
    <w:rsid w:val="000470C4"/>
    <w:rsid w:val="00051B31"/>
    <w:rsid w:val="00053F5D"/>
    <w:rsid w:val="0005420C"/>
    <w:rsid w:val="0005523C"/>
    <w:rsid w:val="000557FB"/>
    <w:rsid w:val="000576DB"/>
    <w:rsid w:val="000606D6"/>
    <w:rsid w:val="00061036"/>
    <w:rsid w:val="0006150D"/>
    <w:rsid w:val="000615B5"/>
    <w:rsid w:val="00062714"/>
    <w:rsid w:val="00062F16"/>
    <w:rsid w:val="00063B1F"/>
    <w:rsid w:val="000640D8"/>
    <w:rsid w:val="00064ED3"/>
    <w:rsid w:val="0006665F"/>
    <w:rsid w:val="00067CCF"/>
    <w:rsid w:val="000713FB"/>
    <w:rsid w:val="00073EA8"/>
    <w:rsid w:val="000767E5"/>
    <w:rsid w:val="00076F0C"/>
    <w:rsid w:val="0008080F"/>
    <w:rsid w:val="0008101F"/>
    <w:rsid w:val="00082CA4"/>
    <w:rsid w:val="000840E1"/>
    <w:rsid w:val="00085A9F"/>
    <w:rsid w:val="00085E23"/>
    <w:rsid w:val="0009103D"/>
    <w:rsid w:val="0009105C"/>
    <w:rsid w:val="000912EE"/>
    <w:rsid w:val="000919D5"/>
    <w:rsid w:val="00092420"/>
    <w:rsid w:val="00092692"/>
    <w:rsid w:val="000926D5"/>
    <w:rsid w:val="000A0BF3"/>
    <w:rsid w:val="000A1C8C"/>
    <w:rsid w:val="000A1D0D"/>
    <w:rsid w:val="000A1EF4"/>
    <w:rsid w:val="000A2680"/>
    <w:rsid w:val="000A32E6"/>
    <w:rsid w:val="000A46A1"/>
    <w:rsid w:val="000A52CE"/>
    <w:rsid w:val="000A5AA2"/>
    <w:rsid w:val="000A5BDE"/>
    <w:rsid w:val="000A630C"/>
    <w:rsid w:val="000B0F4A"/>
    <w:rsid w:val="000B2060"/>
    <w:rsid w:val="000B3108"/>
    <w:rsid w:val="000B3A91"/>
    <w:rsid w:val="000B4CF4"/>
    <w:rsid w:val="000B50CE"/>
    <w:rsid w:val="000B5425"/>
    <w:rsid w:val="000C18D7"/>
    <w:rsid w:val="000C1FC6"/>
    <w:rsid w:val="000C287A"/>
    <w:rsid w:val="000C3413"/>
    <w:rsid w:val="000C3BD7"/>
    <w:rsid w:val="000C4475"/>
    <w:rsid w:val="000C47C8"/>
    <w:rsid w:val="000C4931"/>
    <w:rsid w:val="000C4A09"/>
    <w:rsid w:val="000C4D97"/>
    <w:rsid w:val="000C65F9"/>
    <w:rsid w:val="000C7C2A"/>
    <w:rsid w:val="000D120B"/>
    <w:rsid w:val="000D1CF3"/>
    <w:rsid w:val="000D2751"/>
    <w:rsid w:val="000D43F4"/>
    <w:rsid w:val="000D513E"/>
    <w:rsid w:val="000D5DDB"/>
    <w:rsid w:val="000E2F47"/>
    <w:rsid w:val="000E34C2"/>
    <w:rsid w:val="000E43B4"/>
    <w:rsid w:val="000E4651"/>
    <w:rsid w:val="000E49A4"/>
    <w:rsid w:val="000E49F8"/>
    <w:rsid w:val="000E5F15"/>
    <w:rsid w:val="000E6BFE"/>
    <w:rsid w:val="000F11A7"/>
    <w:rsid w:val="000F1F81"/>
    <w:rsid w:val="000F7A0A"/>
    <w:rsid w:val="001006D3"/>
    <w:rsid w:val="00101FC4"/>
    <w:rsid w:val="0010294E"/>
    <w:rsid w:val="00103320"/>
    <w:rsid w:val="0010471D"/>
    <w:rsid w:val="00104976"/>
    <w:rsid w:val="001059C6"/>
    <w:rsid w:val="00105F50"/>
    <w:rsid w:val="001067DD"/>
    <w:rsid w:val="001078C2"/>
    <w:rsid w:val="001110F8"/>
    <w:rsid w:val="001112A2"/>
    <w:rsid w:val="0011262D"/>
    <w:rsid w:val="00113829"/>
    <w:rsid w:val="0011383C"/>
    <w:rsid w:val="00113C5C"/>
    <w:rsid w:val="00114CE9"/>
    <w:rsid w:val="001168A6"/>
    <w:rsid w:val="001200CB"/>
    <w:rsid w:val="00121895"/>
    <w:rsid w:val="00123010"/>
    <w:rsid w:val="00123337"/>
    <w:rsid w:val="00123C53"/>
    <w:rsid w:val="0012741D"/>
    <w:rsid w:val="0013032A"/>
    <w:rsid w:val="001308C7"/>
    <w:rsid w:val="001308CF"/>
    <w:rsid w:val="00130BA3"/>
    <w:rsid w:val="001318C6"/>
    <w:rsid w:val="00132326"/>
    <w:rsid w:val="00133232"/>
    <w:rsid w:val="001365AC"/>
    <w:rsid w:val="00136EF0"/>
    <w:rsid w:val="00140B46"/>
    <w:rsid w:val="001425D7"/>
    <w:rsid w:val="00142A27"/>
    <w:rsid w:val="00142AE2"/>
    <w:rsid w:val="0014385C"/>
    <w:rsid w:val="001448A9"/>
    <w:rsid w:val="0014495B"/>
    <w:rsid w:val="0014533D"/>
    <w:rsid w:val="00145C19"/>
    <w:rsid w:val="00146A26"/>
    <w:rsid w:val="00146DA8"/>
    <w:rsid w:val="00147312"/>
    <w:rsid w:val="00151820"/>
    <w:rsid w:val="00152D21"/>
    <w:rsid w:val="001541E8"/>
    <w:rsid w:val="001542C7"/>
    <w:rsid w:val="00155451"/>
    <w:rsid w:val="001574D5"/>
    <w:rsid w:val="00160246"/>
    <w:rsid w:val="001603E7"/>
    <w:rsid w:val="001625BC"/>
    <w:rsid w:val="00162CA4"/>
    <w:rsid w:val="00163E60"/>
    <w:rsid w:val="00164729"/>
    <w:rsid w:val="00165870"/>
    <w:rsid w:val="00166A1D"/>
    <w:rsid w:val="0016730A"/>
    <w:rsid w:val="001722CC"/>
    <w:rsid w:val="0017598E"/>
    <w:rsid w:val="00175CE2"/>
    <w:rsid w:val="00177640"/>
    <w:rsid w:val="00177A23"/>
    <w:rsid w:val="00177EFD"/>
    <w:rsid w:val="001800E3"/>
    <w:rsid w:val="00180F97"/>
    <w:rsid w:val="001827D3"/>
    <w:rsid w:val="00184C7C"/>
    <w:rsid w:val="001860C3"/>
    <w:rsid w:val="0018725A"/>
    <w:rsid w:val="001916B2"/>
    <w:rsid w:val="00192D15"/>
    <w:rsid w:val="00194004"/>
    <w:rsid w:val="00194802"/>
    <w:rsid w:val="001960A0"/>
    <w:rsid w:val="001966FD"/>
    <w:rsid w:val="00197457"/>
    <w:rsid w:val="00197C74"/>
    <w:rsid w:val="001A03CD"/>
    <w:rsid w:val="001A15D2"/>
    <w:rsid w:val="001A1D27"/>
    <w:rsid w:val="001A29DD"/>
    <w:rsid w:val="001A3C10"/>
    <w:rsid w:val="001A3E53"/>
    <w:rsid w:val="001A4638"/>
    <w:rsid w:val="001A4AF6"/>
    <w:rsid w:val="001A5009"/>
    <w:rsid w:val="001A5D4E"/>
    <w:rsid w:val="001A74F5"/>
    <w:rsid w:val="001A7898"/>
    <w:rsid w:val="001B0C54"/>
    <w:rsid w:val="001B152A"/>
    <w:rsid w:val="001B1A0E"/>
    <w:rsid w:val="001B20CA"/>
    <w:rsid w:val="001B2160"/>
    <w:rsid w:val="001B2A45"/>
    <w:rsid w:val="001B49B8"/>
    <w:rsid w:val="001B5AD9"/>
    <w:rsid w:val="001B6C7F"/>
    <w:rsid w:val="001B74FB"/>
    <w:rsid w:val="001C0388"/>
    <w:rsid w:val="001C2787"/>
    <w:rsid w:val="001C2880"/>
    <w:rsid w:val="001C29A0"/>
    <w:rsid w:val="001C4AE4"/>
    <w:rsid w:val="001C559B"/>
    <w:rsid w:val="001C5972"/>
    <w:rsid w:val="001C5BAE"/>
    <w:rsid w:val="001C60AD"/>
    <w:rsid w:val="001C65CC"/>
    <w:rsid w:val="001D20C4"/>
    <w:rsid w:val="001D47C8"/>
    <w:rsid w:val="001D5566"/>
    <w:rsid w:val="001D615F"/>
    <w:rsid w:val="001D715B"/>
    <w:rsid w:val="001E0DCE"/>
    <w:rsid w:val="001E2B33"/>
    <w:rsid w:val="001E3919"/>
    <w:rsid w:val="001E4420"/>
    <w:rsid w:val="001E5196"/>
    <w:rsid w:val="001F0B3E"/>
    <w:rsid w:val="001F1181"/>
    <w:rsid w:val="001F2C20"/>
    <w:rsid w:val="001F3C2B"/>
    <w:rsid w:val="001F3F5B"/>
    <w:rsid w:val="001F4669"/>
    <w:rsid w:val="001F57F8"/>
    <w:rsid w:val="001F6A2E"/>
    <w:rsid w:val="001F6A55"/>
    <w:rsid w:val="001F6BE4"/>
    <w:rsid w:val="001F7815"/>
    <w:rsid w:val="001F7AB5"/>
    <w:rsid w:val="001F7E41"/>
    <w:rsid w:val="002001FA"/>
    <w:rsid w:val="002008CB"/>
    <w:rsid w:val="002035A9"/>
    <w:rsid w:val="00204EE6"/>
    <w:rsid w:val="00207068"/>
    <w:rsid w:val="00207576"/>
    <w:rsid w:val="0020773F"/>
    <w:rsid w:val="00207F00"/>
    <w:rsid w:val="0021142F"/>
    <w:rsid w:val="00212247"/>
    <w:rsid w:val="002127D6"/>
    <w:rsid w:val="002132D6"/>
    <w:rsid w:val="00214035"/>
    <w:rsid w:val="00214B0B"/>
    <w:rsid w:val="00215EE3"/>
    <w:rsid w:val="00216D34"/>
    <w:rsid w:val="00216F15"/>
    <w:rsid w:val="00217317"/>
    <w:rsid w:val="002201D2"/>
    <w:rsid w:val="00220A93"/>
    <w:rsid w:val="0022138B"/>
    <w:rsid w:val="00221FBB"/>
    <w:rsid w:val="00222640"/>
    <w:rsid w:val="00223206"/>
    <w:rsid w:val="00224F3C"/>
    <w:rsid w:val="00225F5F"/>
    <w:rsid w:val="0022611B"/>
    <w:rsid w:val="002279C0"/>
    <w:rsid w:val="00230572"/>
    <w:rsid w:val="002305D5"/>
    <w:rsid w:val="00230736"/>
    <w:rsid w:val="00230C87"/>
    <w:rsid w:val="00230D12"/>
    <w:rsid w:val="002312B8"/>
    <w:rsid w:val="00235869"/>
    <w:rsid w:val="002404EA"/>
    <w:rsid w:val="00241728"/>
    <w:rsid w:val="0024190A"/>
    <w:rsid w:val="00241BFE"/>
    <w:rsid w:val="00242A98"/>
    <w:rsid w:val="002432ED"/>
    <w:rsid w:val="00243822"/>
    <w:rsid w:val="0024472F"/>
    <w:rsid w:val="00244DE4"/>
    <w:rsid w:val="00244ED0"/>
    <w:rsid w:val="00247B4E"/>
    <w:rsid w:val="00250195"/>
    <w:rsid w:val="0025123E"/>
    <w:rsid w:val="0025186D"/>
    <w:rsid w:val="00251E6A"/>
    <w:rsid w:val="002535AF"/>
    <w:rsid w:val="00253B6C"/>
    <w:rsid w:val="00253E26"/>
    <w:rsid w:val="002543BB"/>
    <w:rsid w:val="00254DA4"/>
    <w:rsid w:val="002564B3"/>
    <w:rsid w:val="00257745"/>
    <w:rsid w:val="00260E1A"/>
    <w:rsid w:val="00261326"/>
    <w:rsid w:val="00261946"/>
    <w:rsid w:val="00262860"/>
    <w:rsid w:val="00263A25"/>
    <w:rsid w:val="00263BB2"/>
    <w:rsid w:val="00263CDD"/>
    <w:rsid w:val="00266E2C"/>
    <w:rsid w:val="002733B0"/>
    <w:rsid w:val="002746E2"/>
    <w:rsid w:val="00274737"/>
    <w:rsid w:val="00280C52"/>
    <w:rsid w:val="00282078"/>
    <w:rsid w:val="0028262E"/>
    <w:rsid w:val="00282770"/>
    <w:rsid w:val="00286B6C"/>
    <w:rsid w:val="00286C36"/>
    <w:rsid w:val="00287024"/>
    <w:rsid w:val="00290D7A"/>
    <w:rsid w:val="00290F6B"/>
    <w:rsid w:val="00291A7D"/>
    <w:rsid w:val="002930D4"/>
    <w:rsid w:val="00294E6C"/>
    <w:rsid w:val="00295918"/>
    <w:rsid w:val="00296C68"/>
    <w:rsid w:val="00297E81"/>
    <w:rsid w:val="002A0158"/>
    <w:rsid w:val="002A0C3B"/>
    <w:rsid w:val="002A1644"/>
    <w:rsid w:val="002A1DF9"/>
    <w:rsid w:val="002A1E41"/>
    <w:rsid w:val="002A2A58"/>
    <w:rsid w:val="002A389B"/>
    <w:rsid w:val="002A46D4"/>
    <w:rsid w:val="002A4B14"/>
    <w:rsid w:val="002A4C88"/>
    <w:rsid w:val="002A4D7E"/>
    <w:rsid w:val="002A5A3E"/>
    <w:rsid w:val="002A5D50"/>
    <w:rsid w:val="002A6AF9"/>
    <w:rsid w:val="002A6C58"/>
    <w:rsid w:val="002A75B3"/>
    <w:rsid w:val="002B12FC"/>
    <w:rsid w:val="002B3E05"/>
    <w:rsid w:val="002B631F"/>
    <w:rsid w:val="002B687E"/>
    <w:rsid w:val="002B6A0E"/>
    <w:rsid w:val="002B7ABC"/>
    <w:rsid w:val="002C03AC"/>
    <w:rsid w:val="002C04EB"/>
    <w:rsid w:val="002C0857"/>
    <w:rsid w:val="002C16CF"/>
    <w:rsid w:val="002C1A9E"/>
    <w:rsid w:val="002C34DD"/>
    <w:rsid w:val="002C3FB1"/>
    <w:rsid w:val="002C5BA4"/>
    <w:rsid w:val="002C6560"/>
    <w:rsid w:val="002C66D5"/>
    <w:rsid w:val="002C723E"/>
    <w:rsid w:val="002D0A64"/>
    <w:rsid w:val="002D14C8"/>
    <w:rsid w:val="002D3230"/>
    <w:rsid w:val="002D38BA"/>
    <w:rsid w:val="002D3BEF"/>
    <w:rsid w:val="002D56DF"/>
    <w:rsid w:val="002D6CF8"/>
    <w:rsid w:val="002E0759"/>
    <w:rsid w:val="002E0BAD"/>
    <w:rsid w:val="002E1C5C"/>
    <w:rsid w:val="002E29B9"/>
    <w:rsid w:val="002E2F66"/>
    <w:rsid w:val="002E3EC2"/>
    <w:rsid w:val="002E4BED"/>
    <w:rsid w:val="002E7AC5"/>
    <w:rsid w:val="002F07E0"/>
    <w:rsid w:val="002F0BF5"/>
    <w:rsid w:val="002F2636"/>
    <w:rsid w:val="002F291F"/>
    <w:rsid w:val="002F3348"/>
    <w:rsid w:val="002F37DF"/>
    <w:rsid w:val="002F3E5A"/>
    <w:rsid w:val="002F463E"/>
    <w:rsid w:val="002F5BF0"/>
    <w:rsid w:val="003007DD"/>
    <w:rsid w:val="00300C67"/>
    <w:rsid w:val="003019C3"/>
    <w:rsid w:val="003056F2"/>
    <w:rsid w:val="0030785B"/>
    <w:rsid w:val="00307985"/>
    <w:rsid w:val="00310398"/>
    <w:rsid w:val="00312DD9"/>
    <w:rsid w:val="0031311E"/>
    <w:rsid w:val="00314D96"/>
    <w:rsid w:val="00316F07"/>
    <w:rsid w:val="003172EB"/>
    <w:rsid w:val="00317A36"/>
    <w:rsid w:val="00320173"/>
    <w:rsid w:val="00324649"/>
    <w:rsid w:val="00324DAE"/>
    <w:rsid w:val="003256D1"/>
    <w:rsid w:val="00326668"/>
    <w:rsid w:val="003268C5"/>
    <w:rsid w:val="00326FA6"/>
    <w:rsid w:val="003300E0"/>
    <w:rsid w:val="003310DA"/>
    <w:rsid w:val="00332546"/>
    <w:rsid w:val="00334507"/>
    <w:rsid w:val="003353EF"/>
    <w:rsid w:val="0034099A"/>
    <w:rsid w:val="0034117C"/>
    <w:rsid w:val="003411A0"/>
    <w:rsid w:val="003419D0"/>
    <w:rsid w:val="00343638"/>
    <w:rsid w:val="00344173"/>
    <w:rsid w:val="0034477D"/>
    <w:rsid w:val="00344977"/>
    <w:rsid w:val="00347029"/>
    <w:rsid w:val="00350529"/>
    <w:rsid w:val="00350A57"/>
    <w:rsid w:val="00351931"/>
    <w:rsid w:val="00351ED8"/>
    <w:rsid w:val="0035277D"/>
    <w:rsid w:val="0035590B"/>
    <w:rsid w:val="00355C4B"/>
    <w:rsid w:val="003560CD"/>
    <w:rsid w:val="00356210"/>
    <w:rsid w:val="0035695E"/>
    <w:rsid w:val="00356A4F"/>
    <w:rsid w:val="003603A1"/>
    <w:rsid w:val="00360E33"/>
    <w:rsid w:val="003610D5"/>
    <w:rsid w:val="00361B19"/>
    <w:rsid w:val="003620DB"/>
    <w:rsid w:val="00362237"/>
    <w:rsid w:val="00362820"/>
    <w:rsid w:val="003636DD"/>
    <w:rsid w:val="0036493B"/>
    <w:rsid w:val="003659C1"/>
    <w:rsid w:val="003663AE"/>
    <w:rsid w:val="0036685B"/>
    <w:rsid w:val="00370FFA"/>
    <w:rsid w:val="003722BD"/>
    <w:rsid w:val="00373406"/>
    <w:rsid w:val="00373F03"/>
    <w:rsid w:val="00374B9F"/>
    <w:rsid w:val="00374FBA"/>
    <w:rsid w:val="00375B08"/>
    <w:rsid w:val="00375EFF"/>
    <w:rsid w:val="0037723D"/>
    <w:rsid w:val="00377341"/>
    <w:rsid w:val="0038070B"/>
    <w:rsid w:val="00383124"/>
    <w:rsid w:val="0038357A"/>
    <w:rsid w:val="00384692"/>
    <w:rsid w:val="00385628"/>
    <w:rsid w:val="00385A89"/>
    <w:rsid w:val="00386807"/>
    <w:rsid w:val="0038724F"/>
    <w:rsid w:val="00387266"/>
    <w:rsid w:val="00387879"/>
    <w:rsid w:val="0039154C"/>
    <w:rsid w:val="00393CD2"/>
    <w:rsid w:val="00394D92"/>
    <w:rsid w:val="0039572C"/>
    <w:rsid w:val="003970CE"/>
    <w:rsid w:val="003A1484"/>
    <w:rsid w:val="003A1774"/>
    <w:rsid w:val="003A3004"/>
    <w:rsid w:val="003A3FB6"/>
    <w:rsid w:val="003A6884"/>
    <w:rsid w:val="003A76F8"/>
    <w:rsid w:val="003A7959"/>
    <w:rsid w:val="003B3850"/>
    <w:rsid w:val="003B4D84"/>
    <w:rsid w:val="003B4DDE"/>
    <w:rsid w:val="003B5E9D"/>
    <w:rsid w:val="003B60E9"/>
    <w:rsid w:val="003B673A"/>
    <w:rsid w:val="003B7650"/>
    <w:rsid w:val="003B7CA5"/>
    <w:rsid w:val="003C124D"/>
    <w:rsid w:val="003C195E"/>
    <w:rsid w:val="003C505A"/>
    <w:rsid w:val="003C5B10"/>
    <w:rsid w:val="003C6624"/>
    <w:rsid w:val="003D0C00"/>
    <w:rsid w:val="003D1A57"/>
    <w:rsid w:val="003D3D6C"/>
    <w:rsid w:val="003D57B0"/>
    <w:rsid w:val="003D7118"/>
    <w:rsid w:val="003D7292"/>
    <w:rsid w:val="003D73D5"/>
    <w:rsid w:val="003D7974"/>
    <w:rsid w:val="003D7D14"/>
    <w:rsid w:val="003E0FD7"/>
    <w:rsid w:val="003E1848"/>
    <w:rsid w:val="003E18AE"/>
    <w:rsid w:val="003E2D4C"/>
    <w:rsid w:val="003E7DAB"/>
    <w:rsid w:val="003F1DB8"/>
    <w:rsid w:val="003F1FFA"/>
    <w:rsid w:val="003F37EB"/>
    <w:rsid w:val="003F3B43"/>
    <w:rsid w:val="003F473C"/>
    <w:rsid w:val="003F7691"/>
    <w:rsid w:val="003F7D01"/>
    <w:rsid w:val="00400590"/>
    <w:rsid w:val="004013E8"/>
    <w:rsid w:val="00405897"/>
    <w:rsid w:val="00406019"/>
    <w:rsid w:val="00412532"/>
    <w:rsid w:val="00412A00"/>
    <w:rsid w:val="004134F3"/>
    <w:rsid w:val="00413EF6"/>
    <w:rsid w:val="00414A72"/>
    <w:rsid w:val="00414BD2"/>
    <w:rsid w:val="00414BD5"/>
    <w:rsid w:val="00415738"/>
    <w:rsid w:val="004161BD"/>
    <w:rsid w:val="004164A2"/>
    <w:rsid w:val="00416F49"/>
    <w:rsid w:val="0041778B"/>
    <w:rsid w:val="00417E3D"/>
    <w:rsid w:val="004202F6"/>
    <w:rsid w:val="0042121A"/>
    <w:rsid w:val="00421B08"/>
    <w:rsid w:val="004227AE"/>
    <w:rsid w:val="00423145"/>
    <w:rsid w:val="004231B4"/>
    <w:rsid w:val="00423528"/>
    <w:rsid w:val="004238F6"/>
    <w:rsid w:val="00423DB5"/>
    <w:rsid w:val="0042460F"/>
    <w:rsid w:val="004256DB"/>
    <w:rsid w:val="00425BE3"/>
    <w:rsid w:val="00427B5D"/>
    <w:rsid w:val="004319B2"/>
    <w:rsid w:val="004325F1"/>
    <w:rsid w:val="00434A42"/>
    <w:rsid w:val="00434C84"/>
    <w:rsid w:val="00435B55"/>
    <w:rsid w:val="00436037"/>
    <w:rsid w:val="004370A0"/>
    <w:rsid w:val="0043782A"/>
    <w:rsid w:val="00437E76"/>
    <w:rsid w:val="00440056"/>
    <w:rsid w:val="004402A6"/>
    <w:rsid w:val="00440C8F"/>
    <w:rsid w:val="00440FFC"/>
    <w:rsid w:val="00442D20"/>
    <w:rsid w:val="0044368C"/>
    <w:rsid w:val="004436EF"/>
    <w:rsid w:val="00443785"/>
    <w:rsid w:val="00443EF8"/>
    <w:rsid w:val="00446E1A"/>
    <w:rsid w:val="004473AD"/>
    <w:rsid w:val="0044767A"/>
    <w:rsid w:val="00447F06"/>
    <w:rsid w:val="00447F17"/>
    <w:rsid w:val="0045120F"/>
    <w:rsid w:val="004538F2"/>
    <w:rsid w:val="004546DD"/>
    <w:rsid w:val="004548D3"/>
    <w:rsid w:val="00455075"/>
    <w:rsid w:val="00455148"/>
    <w:rsid w:val="0045545D"/>
    <w:rsid w:val="00456964"/>
    <w:rsid w:val="00457A62"/>
    <w:rsid w:val="0046034A"/>
    <w:rsid w:val="00460899"/>
    <w:rsid w:val="00460FA5"/>
    <w:rsid w:val="004618CA"/>
    <w:rsid w:val="00462F53"/>
    <w:rsid w:val="0046369F"/>
    <w:rsid w:val="004642BD"/>
    <w:rsid w:val="00465CCA"/>
    <w:rsid w:val="00465F24"/>
    <w:rsid w:val="00466983"/>
    <w:rsid w:val="00466CA7"/>
    <w:rsid w:val="00470D37"/>
    <w:rsid w:val="004726A2"/>
    <w:rsid w:val="004734E6"/>
    <w:rsid w:val="0047366E"/>
    <w:rsid w:val="0047531F"/>
    <w:rsid w:val="00476E1A"/>
    <w:rsid w:val="00481ADA"/>
    <w:rsid w:val="004828C0"/>
    <w:rsid w:val="00482FA1"/>
    <w:rsid w:val="00483F00"/>
    <w:rsid w:val="00484737"/>
    <w:rsid w:val="00484FDA"/>
    <w:rsid w:val="004925B1"/>
    <w:rsid w:val="00494CF9"/>
    <w:rsid w:val="0049514A"/>
    <w:rsid w:val="0049556E"/>
    <w:rsid w:val="004958D5"/>
    <w:rsid w:val="004963F1"/>
    <w:rsid w:val="004A0C73"/>
    <w:rsid w:val="004A118F"/>
    <w:rsid w:val="004A13F6"/>
    <w:rsid w:val="004A5CD5"/>
    <w:rsid w:val="004A65B3"/>
    <w:rsid w:val="004A6BC6"/>
    <w:rsid w:val="004A76D9"/>
    <w:rsid w:val="004B08A6"/>
    <w:rsid w:val="004B1955"/>
    <w:rsid w:val="004B2609"/>
    <w:rsid w:val="004B284E"/>
    <w:rsid w:val="004B2B8D"/>
    <w:rsid w:val="004B2D7E"/>
    <w:rsid w:val="004B3281"/>
    <w:rsid w:val="004B524E"/>
    <w:rsid w:val="004B6159"/>
    <w:rsid w:val="004B6875"/>
    <w:rsid w:val="004B7371"/>
    <w:rsid w:val="004C0F6C"/>
    <w:rsid w:val="004C124A"/>
    <w:rsid w:val="004C4359"/>
    <w:rsid w:val="004C5053"/>
    <w:rsid w:val="004C54AC"/>
    <w:rsid w:val="004D0A98"/>
    <w:rsid w:val="004D1188"/>
    <w:rsid w:val="004D2486"/>
    <w:rsid w:val="004D3770"/>
    <w:rsid w:val="004D3A98"/>
    <w:rsid w:val="004D3B81"/>
    <w:rsid w:val="004D3DEE"/>
    <w:rsid w:val="004D5FC2"/>
    <w:rsid w:val="004D686A"/>
    <w:rsid w:val="004D6FC9"/>
    <w:rsid w:val="004E35DD"/>
    <w:rsid w:val="004E3BD4"/>
    <w:rsid w:val="004E4221"/>
    <w:rsid w:val="004E4FCC"/>
    <w:rsid w:val="004E5BCA"/>
    <w:rsid w:val="004E6025"/>
    <w:rsid w:val="004E6BA5"/>
    <w:rsid w:val="004E760C"/>
    <w:rsid w:val="004E7CAF"/>
    <w:rsid w:val="004F04DC"/>
    <w:rsid w:val="004F0D14"/>
    <w:rsid w:val="004F0DA5"/>
    <w:rsid w:val="004F1B1E"/>
    <w:rsid w:val="004F4022"/>
    <w:rsid w:val="004F540C"/>
    <w:rsid w:val="004F727B"/>
    <w:rsid w:val="004F7725"/>
    <w:rsid w:val="00504F56"/>
    <w:rsid w:val="005050DA"/>
    <w:rsid w:val="00505289"/>
    <w:rsid w:val="005066F3"/>
    <w:rsid w:val="00506A43"/>
    <w:rsid w:val="0050725F"/>
    <w:rsid w:val="0050728A"/>
    <w:rsid w:val="005074AF"/>
    <w:rsid w:val="0051232E"/>
    <w:rsid w:val="00513D6F"/>
    <w:rsid w:val="005167DE"/>
    <w:rsid w:val="00517D94"/>
    <w:rsid w:val="00517DB8"/>
    <w:rsid w:val="00520123"/>
    <w:rsid w:val="00522CEF"/>
    <w:rsid w:val="0052304C"/>
    <w:rsid w:val="0052366E"/>
    <w:rsid w:val="00523B15"/>
    <w:rsid w:val="00524149"/>
    <w:rsid w:val="00524A71"/>
    <w:rsid w:val="0052511C"/>
    <w:rsid w:val="005254B6"/>
    <w:rsid w:val="005307A4"/>
    <w:rsid w:val="00531EB6"/>
    <w:rsid w:val="00533B4A"/>
    <w:rsid w:val="00533C2F"/>
    <w:rsid w:val="00533C4D"/>
    <w:rsid w:val="0053428E"/>
    <w:rsid w:val="00535D61"/>
    <w:rsid w:val="0053687F"/>
    <w:rsid w:val="00536BEF"/>
    <w:rsid w:val="00537DA9"/>
    <w:rsid w:val="00542B35"/>
    <w:rsid w:val="00543D10"/>
    <w:rsid w:val="005447DE"/>
    <w:rsid w:val="005457EA"/>
    <w:rsid w:val="0054637C"/>
    <w:rsid w:val="00547CBE"/>
    <w:rsid w:val="0055081B"/>
    <w:rsid w:val="005513EC"/>
    <w:rsid w:val="005514AE"/>
    <w:rsid w:val="00553C5A"/>
    <w:rsid w:val="005541DB"/>
    <w:rsid w:val="005560AA"/>
    <w:rsid w:val="00556D33"/>
    <w:rsid w:val="005607FD"/>
    <w:rsid w:val="00561025"/>
    <w:rsid w:val="0056277F"/>
    <w:rsid w:val="00563682"/>
    <w:rsid w:val="00563C2D"/>
    <w:rsid w:val="005648BD"/>
    <w:rsid w:val="0056738B"/>
    <w:rsid w:val="00567741"/>
    <w:rsid w:val="00567D20"/>
    <w:rsid w:val="00570C3A"/>
    <w:rsid w:val="00571139"/>
    <w:rsid w:val="005720D4"/>
    <w:rsid w:val="00574696"/>
    <w:rsid w:val="0057560C"/>
    <w:rsid w:val="00575800"/>
    <w:rsid w:val="00575E53"/>
    <w:rsid w:val="00575F57"/>
    <w:rsid w:val="0057646C"/>
    <w:rsid w:val="0057654C"/>
    <w:rsid w:val="00576B01"/>
    <w:rsid w:val="00580013"/>
    <w:rsid w:val="0058141A"/>
    <w:rsid w:val="00581E62"/>
    <w:rsid w:val="005822D7"/>
    <w:rsid w:val="0058451F"/>
    <w:rsid w:val="00584D5C"/>
    <w:rsid w:val="0058627D"/>
    <w:rsid w:val="005865BD"/>
    <w:rsid w:val="005879D1"/>
    <w:rsid w:val="00587A84"/>
    <w:rsid w:val="00591222"/>
    <w:rsid w:val="00591AE8"/>
    <w:rsid w:val="00591E29"/>
    <w:rsid w:val="005923C0"/>
    <w:rsid w:val="0059244C"/>
    <w:rsid w:val="00592509"/>
    <w:rsid w:val="005955BD"/>
    <w:rsid w:val="005978FD"/>
    <w:rsid w:val="00597C3D"/>
    <w:rsid w:val="005A0D2F"/>
    <w:rsid w:val="005A1ADC"/>
    <w:rsid w:val="005A28B6"/>
    <w:rsid w:val="005A2A18"/>
    <w:rsid w:val="005A2D1F"/>
    <w:rsid w:val="005A3195"/>
    <w:rsid w:val="005A3A8F"/>
    <w:rsid w:val="005A3F90"/>
    <w:rsid w:val="005A600E"/>
    <w:rsid w:val="005A69EB"/>
    <w:rsid w:val="005A74C9"/>
    <w:rsid w:val="005A7AEA"/>
    <w:rsid w:val="005B4A31"/>
    <w:rsid w:val="005B4E0E"/>
    <w:rsid w:val="005B509A"/>
    <w:rsid w:val="005B5471"/>
    <w:rsid w:val="005B577D"/>
    <w:rsid w:val="005B6B68"/>
    <w:rsid w:val="005C0B26"/>
    <w:rsid w:val="005C1773"/>
    <w:rsid w:val="005C24F2"/>
    <w:rsid w:val="005C261B"/>
    <w:rsid w:val="005C37AC"/>
    <w:rsid w:val="005C5291"/>
    <w:rsid w:val="005C7648"/>
    <w:rsid w:val="005C782C"/>
    <w:rsid w:val="005D05EF"/>
    <w:rsid w:val="005D09F5"/>
    <w:rsid w:val="005D0D3D"/>
    <w:rsid w:val="005D3197"/>
    <w:rsid w:val="005D3E15"/>
    <w:rsid w:val="005D3EB4"/>
    <w:rsid w:val="005D4850"/>
    <w:rsid w:val="005D622D"/>
    <w:rsid w:val="005D781D"/>
    <w:rsid w:val="005D78A4"/>
    <w:rsid w:val="005E0035"/>
    <w:rsid w:val="005E06B4"/>
    <w:rsid w:val="005E1633"/>
    <w:rsid w:val="005E1B0B"/>
    <w:rsid w:val="005E214E"/>
    <w:rsid w:val="005E3EE9"/>
    <w:rsid w:val="005E4A99"/>
    <w:rsid w:val="005E4CFB"/>
    <w:rsid w:val="005F1326"/>
    <w:rsid w:val="005F143D"/>
    <w:rsid w:val="005F160F"/>
    <w:rsid w:val="005F29AB"/>
    <w:rsid w:val="005F3763"/>
    <w:rsid w:val="005F3990"/>
    <w:rsid w:val="005F4221"/>
    <w:rsid w:val="005F4442"/>
    <w:rsid w:val="005F45B0"/>
    <w:rsid w:val="005F4A51"/>
    <w:rsid w:val="005F66B3"/>
    <w:rsid w:val="005F67BB"/>
    <w:rsid w:val="005F6F6B"/>
    <w:rsid w:val="00600A03"/>
    <w:rsid w:val="00600E49"/>
    <w:rsid w:val="00601C16"/>
    <w:rsid w:val="00602282"/>
    <w:rsid w:val="006026A3"/>
    <w:rsid w:val="006034C0"/>
    <w:rsid w:val="00607932"/>
    <w:rsid w:val="00607EE4"/>
    <w:rsid w:val="00607FA2"/>
    <w:rsid w:val="006108F0"/>
    <w:rsid w:val="00610B9F"/>
    <w:rsid w:val="00611AFB"/>
    <w:rsid w:val="00611CD8"/>
    <w:rsid w:val="006127F5"/>
    <w:rsid w:val="006130D3"/>
    <w:rsid w:val="006141A2"/>
    <w:rsid w:val="00615451"/>
    <w:rsid w:val="0061586E"/>
    <w:rsid w:val="00615E94"/>
    <w:rsid w:val="00616246"/>
    <w:rsid w:val="00616957"/>
    <w:rsid w:val="006174DB"/>
    <w:rsid w:val="00617847"/>
    <w:rsid w:val="00621734"/>
    <w:rsid w:val="006223E3"/>
    <w:rsid w:val="00622584"/>
    <w:rsid w:val="006237CD"/>
    <w:rsid w:val="006258D5"/>
    <w:rsid w:val="00625DEE"/>
    <w:rsid w:val="006279E0"/>
    <w:rsid w:val="006334E1"/>
    <w:rsid w:val="00634A94"/>
    <w:rsid w:val="0063511D"/>
    <w:rsid w:val="0063551F"/>
    <w:rsid w:val="00635553"/>
    <w:rsid w:val="00635E28"/>
    <w:rsid w:val="0063647C"/>
    <w:rsid w:val="00636887"/>
    <w:rsid w:val="00637646"/>
    <w:rsid w:val="0063794C"/>
    <w:rsid w:val="006406CA"/>
    <w:rsid w:val="00642E5D"/>
    <w:rsid w:val="00645786"/>
    <w:rsid w:val="006460C4"/>
    <w:rsid w:val="006463A1"/>
    <w:rsid w:val="00646D2B"/>
    <w:rsid w:val="00646F86"/>
    <w:rsid w:val="0064781D"/>
    <w:rsid w:val="00650146"/>
    <w:rsid w:val="00650508"/>
    <w:rsid w:val="00650B1A"/>
    <w:rsid w:val="00650C25"/>
    <w:rsid w:val="00651868"/>
    <w:rsid w:val="006531B9"/>
    <w:rsid w:val="00653E62"/>
    <w:rsid w:val="00653F68"/>
    <w:rsid w:val="00655A7D"/>
    <w:rsid w:val="00656B93"/>
    <w:rsid w:val="00661F92"/>
    <w:rsid w:val="006639E0"/>
    <w:rsid w:val="00663A52"/>
    <w:rsid w:val="00664240"/>
    <w:rsid w:val="0066644D"/>
    <w:rsid w:val="00667000"/>
    <w:rsid w:val="00670F58"/>
    <w:rsid w:val="00671010"/>
    <w:rsid w:val="00676016"/>
    <w:rsid w:val="00677529"/>
    <w:rsid w:val="0068477D"/>
    <w:rsid w:val="006847E0"/>
    <w:rsid w:val="0068532D"/>
    <w:rsid w:val="0068565C"/>
    <w:rsid w:val="00685EC2"/>
    <w:rsid w:val="0068669B"/>
    <w:rsid w:val="00686C10"/>
    <w:rsid w:val="00687299"/>
    <w:rsid w:val="0068778A"/>
    <w:rsid w:val="00690265"/>
    <w:rsid w:val="00690926"/>
    <w:rsid w:val="00690F58"/>
    <w:rsid w:val="006922F0"/>
    <w:rsid w:val="0069235E"/>
    <w:rsid w:val="00693D68"/>
    <w:rsid w:val="00694165"/>
    <w:rsid w:val="00696754"/>
    <w:rsid w:val="006972CB"/>
    <w:rsid w:val="00697574"/>
    <w:rsid w:val="00697723"/>
    <w:rsid w:val="006A1CE9"/>
    <w:rsid w:val="006A23BE"/>
    <w:rsid w:val="006A4675"/>
    <w:rsid w:val="006A5152"/>
    <w:rsid w:val="006A7351"/>
    <w:rsid w:val="006B0E59"/>
    <w:rsid w:val="006B2807"/>
    <w:rsid w:val="006B28F2"/>
    <w:rsid w:val="006B3452"/>
    <w:rsid w:val="006B41AF"/>
    <w:rsid w:val="006B61AF"/>
    <w:rsid w:val="006B7800"/>
    <w:rsid w:val="006C16F1"/>
    <w:rsid w:val="006C26EF"/>
    <w:rsid w:val="006C2F1B"/>
    <w:rsid w:val="006C67FB"/>
    <w:rsid w:val="006C6DBF"/>
    <w:rsid w:val="006C7013"/>
    <w:rsid w:val="006D1D4B"/>
    <w:rsid w:val="006D2058"/>
    <w:rsid w:val="006E483F"/>
    <w:rsid w:val="006E669C"/>
    <w:rsid w:val="006E6AF1"/>
    <w:rsid w:val="006E74E9"/>
    <w:rsid w:val="006E7CB1"/>
    <w:rsid w:val="006F075E"/>
    <w:rsid w:val="006F68EC"/>
    <w:rsid w:val="006F7B7B"/>
    <w:rsid w:val="007003E3"/>
    <w:rsid w:val="007005E9"/>
    <w:rsid w:val="00700684"/>
    <w:rsid w:val="00700808"/>
    <w:rsid w:val="00700DAD"/>
    <w:rsid w:val="007017DC"/>
    <w:rsid w:val="007019B2"/>
    <w:rsid w:val="00701DCB"/>
    <w:rsid w:val="00702302"/>
    <w:rsid w:val="00702612"/>
    <w:rsid w:val="007034C5"/>
    <w:rsid w:val="00703EC5"/>
    <w:rsid w:val="0070405F"/>
    <w:rsid w:val="00704405"/>
    <w:rsid w:val="007066E7"/>
    <w:rsid w:val="00706B0A"/>
    <w:rsid w:val="00706D2F"/>
    <w:rsid w:val="00707BB9"/>
    <w:rsid w:val="0071234B"/>
    <w:rsid w:val="00713339"/>
    <w:rsid w:val="00713587"/>
    <w:rsid w:val="0071462F"/>
    <w:rsid w:val="00714E5E"/>
    <w:rsid w:val="0071560D"/>
    <w:rsid w:val="00715C67"/>
    <w:rsid w:val="00716068"/>
    <w:rsid w:val="007176F7"/>
    <w:rsid w:val="007209D8"/>
    <w:rsid w:val="0072267A"/>
    <w:rsid w:val="00722EEE"/>
    <w:rsid w:val="00723D2E"/>
    <w:rsid w:val="00723E12"/>
    <w:rsid w:val="00724232"/>
    <w:rsid w:val="00724593"/>
    <w:rsid w:val="007255A6"/>
    <w:rsid w:val="007256B2"/>
    <w:rsid w:val="00725B37"/>
    <w:rsid w:val="00725DF1"/>
    <w:rsid w:val="00726451"/>
    <w:rsid w:val="00726690"/>
    <w:rsid w:val="007269B0"/>
    <w:rsid w:val="007269F2"/>
    <w:rsid w:val="00726A2A"/>
    <w:rsid w:val="00730072"/>
    <w:rsid w:val="00730756"/>
    <w:rsid w:val="00731A21"/>
    <w:rsid w:val="00732FC1"/>
    <w:rsid w:val="0073317A"/>
    <w:rsid w:val="00734D17"/>
    <w:rsid w:val="007364F6"/>
    <w:rsid w:val="007372A7"/>
    <w:rsid w:val="00737C06"/>
    <w:rsid w:val="00743846"/>
    <w:rsid w:val="00744EF3"/>
    <w:rsid w:val="00745999"/>
    <w:rsid w:val="0074644B"/>
    <w:rsid w:val="00746F70"/>
    <w:rsid w:val="00747F6F"/>
    <w:rsid w:val="00750790"/>
    <w:rsid w:val="007547C7"/>
    <w:rsid w:val="00754BBF"/>
    <w:rsid w:val="007562F8"/>
    <w:rsid w:val="00757D00"/>
    <w:rsid w:val="0076003C"/>
    <w:rsid w:val="007609C3"/>
    <w:rsid w:val="007617D6"/>
    <w:rsid w:val="007621A8"/>
    <w:rsid w:val="007651D5"/>
    <w:rsid w:val="007660EB"/>
    <w:rsid w:val="00767453"/>
    <w:rsid w:val="00772829"/>
    <w:rsid w:val="00774C5A"/>
    <w:rsid w:val="007750C0"/>
    <w:rsid w:val="0077568A"/>
    <w:rsid w:val="00776548"/>
    <w:rsid w:val="007767E2"/>
    <w:rsid w:val="00776D1A"/>
    <w:rsid w:val="00780BF7"/>
    <w:rsid w:val="007811A1"/>
    <w:rsid w:val="00784720"/>
    <w:rsid w:val="007862BA"/>
    <w:rsid w:val="00790164"/>
    <w:rsid w:val="00791348"/>
    <w:rsid w:val="007923FE"/>
    <w:rsid w:val="00792464"/>
    <w:rsid w:val="00793722"/>
    <w:rsid w:val="00793CAF"/>
    <w:rsid w:val="00795F26"/>
    <w:rsid w:val="00795F66"/>
    <w:rsid w:val="00796ED4"/>
    <w:rsid w:val="00797596"/>
    <w:rsid w:val="007A24E7"/>
    <w:rsid w:val="007A359F"/>
    <w:rsid w:val="007A428F"/>
    <w:rsid w:val="007A440F"/>
    <w:rsid w:val="007A63F0"/>
    <w:rsid w:val="007A6832"/>
    <w:rsid w:val="007A6CCE"/>
    <w:rsid w:val="007A741F"/>
    <w:rsid w:val="007B1AEC"/>
    <w:rsid w:val="007B2842"/>
    <w:rsid w:val="007B441A"/>
    <w:rsid w:val="007B444D"/>
    <w:rsid w:val="007B45DE"/>
    <w:rsid w:val="007B6226"/>
    <w:rsid w:val="007B632F"/>
    <w:rsid w:val="007B78A6"/>
    <w:rsid w:val="007B79A8"/>
    <w:rsid w:val="007C052E"/>
    <w:rsid w:val="007C0BB9"/>
    <w:rsid w:val="007C1666"/>
    <w:rsid w:val="007C2DD3"/>
    <w:rsid w:val="007C4F72"/>
    <w:rsid w:val="007C541C"/>
    <w:rsid w:val="007C7BD3"/>
    <w:rsid w:val="007D0F6A"/>
    <w:rsid w:val="007D16FA"/>
    <w:rsid w:val="007D1E13"/>
    <w:rsid w:val="007D2DE0"/>
    <w:rsid w:val="007D3F54"/>
    <w:rsid w:val="007D4233"/>
    <w:rsid w:val="007D46EB"/>
    <w:rsid w:val="007E081D"/>
    <w:rsid w:val="007E1A60"/>
    <w:rsid w:val="007E206D"/>
    <w:rsid w:val="007E38C5"/>
    <w:rsid w:val="007E5523"/>
    <w:rsid w:val="007E5F60"/>
    <w:rsid w:val="007E7701"/>
    <w:rsid w:val="007F04C4"/>
    <w:rsid w:val="007F10F3"/>
    <w:rsid w:val="007F1FBE"/>
    <w:rsid w:val="007F3401"/>
    <w:rsid w:val="007F6C55"/>
    <w:rsid w:val="007F78F9"/>
    <w:rsid w:val="00802F9A"/>
    <w:rsid w:val="008030E7"/>
    <w:rsid w:val="008036A9"/>
    <w:rsid w:val="00805B54"/>
    <w:rsid w:val="0080748D"/>
    <w:rsid w:val="00810632"/>
    <w:rsid w:val="00810B69"/>
    <w:rsid w:val="0081378B"/>
    <w:rsid w:val="00814D8C"/>
    <w:rsid w:val="00816081"/>
    <w:rsid w:val="00817CB3"/>
    <w:rsid w:val="0082278D"/>
    <w:rsid w:val="00824FDC"/>
    <w:rsid w:val="008253EC"/>
    <w:rsid w:val="00825487"/>
    <w:rsid w:val="008254F1"/>
    <w:rsid w:val="008255D8"/>
    <w:rsid w:val="008258BF"/>
    <w:rsid w:val="0082651B"/>
    <w:rsid w:val="00827786"/>
    <w:rsid w:val="00827947"/>
    <w:rsid w:val="008300FF"/>
    <w:rsid w:val="0083024B"/>
    <w:rsid w:val="00830545"/>
    <w:rsid w:val="00830751"/>
    <w:rsid w:val="00830990"/>
    <w:rsid w:val="00834A99"/>
    <w:rsid w:val="00836BCC"/>
    <w:rsid w:val="00837516"/>
    <w:rsid w:val="00841573"/>
    <w:rsid w:val="00842C8E"/>
    <w:rsid w:val="00842E7A"/>
    <w:rsid w:val="0084439A"/>
    <w:rsid w:val="008443ED"/>
    <w:rsid w:val="008446C2"/>
    <w:rsid w:val="00847ACB"/>
    <w:rsid w:val="00850227"/>
    <w:rsid w:val="008506BB"/>
    <w:rsid w:val="00850E4F"/>
    <w:rsid w:val="008512B1"/>
    <w:rsid w:val="00851532"/>
    <w:rsid w:val="00851E29"/>
    <w:rsid w:val="008529DE"/>
    <w:rsid w:val="00854751"/>
    <w:rsid w:val="008548D1"/>
    <w:rsid w:val="0085493A"/>
    <w:rsid w:val="00854E51"/>
    <w:rsid w:val="00855303"/>
    <w:rsid w:val="0085767A"/>
    <w:rsid w:val="00860F90"/>
    <w:rsid w:val="00861A56"/>
    <w:rsid w:val="00861A75"/>
    <w:rsid w:val="00861FA6"/>
    <w:rsid w:val="00862069"/>
    <w:rsid w:val="008622D5"/>
    <w:rsid w:val="008626C2"/>
    <w:rsid w:val="00863256"/>
    <w:rsid w:val="00864277"/>
    <w:rsid w:val="00866B10"/>
    <w:rsid w:val="00867DA8"/>
    <w:rsid w:val="0087038A"/>
    <w:rsid w:val="00870415"/>
    <w:rsid w:val="00870579"/>
    <w:rsid w:val="00870DDC"/>
    <w:rsid w:val="00873305"/>
    <w:rsid w:val="0087330B"/>
    <w:rsid w:val="008739CF"/>
    <w:rsid w:val="00874115"/>
    <w:rsid w:val="008743CE"/>
    <w:rsid w:val="008755E6"/>
    <w:rsid w:val="00875BDF"/>
    <w:rsid w:val="00877BB1"/>
    <w:rsid w:val="008805E8"/>
    <w:rsid w:val="008854A5"/>
    <w:rsid w:val="008854B7"/>
    <w:rsid w:val="00885898"/>
    <w:rsid w:val="00885D8B"/>
    <w:rsid w:val="00885F69"/>
    <w:rsid w:val="00890686"/>
    <w:rsid w:val="00890A88"/>
    <w:rsid w:val="008924E6"/>
    <w:rsid w:val="00892C30"/>
    <w:rsid w:val="00892C89"/>
    <w:rsid w:val="00894494"/>
    <w:rsid w:val="008954D2"/>
    <w:rsid w:val="00896966"/>
    <w:rsid w:val="00896ADC"/>
    <w:rsid w:val="00897967"/>
    <w:rsid w:val="008A1120"/>
    <w:rsid w:val="008A13A6"/>
    <w:rsid w:val="008A1BF0"/>
    <w:rsid w:val="008A1C37"/>
    <w:rsid w:val="008A48B4"/>
    <w:rsid w:val="008A566F"/>
    <w:rsid w:val="008A6073"/>
    <w:rsid w:val="008A720A"/>
    <w:rsid w:val="008B2404"/>
    <w:rsid w:val="008B28F3"/>
    <w:rsid w:val="008B342C"/>
    <w:rsid w:val="008B37D6"/>
    <w:rsid w:val="008B5A73"/>
    <w:rsid w:val="008C0359"/>
    <w:rsid w:val="008C03E9"/>
    <w:rsid w:val="008C08B9"/>
    <w:rsid w:val="008C2397"/>
    <w:rsid w:val="008C26BE"/>
    <w:rsid w:val="008C383F"/>
    <w:rsid w:val="008C4442"/>
    <w:rsid w:val="008C50B3"/>
    <w:rsid w:val="008C5C1A"/>
    <w:rsid w:val="008C7939"/>
    <w:rsid w:val="008C7B08"/>
    <w:rsid w:val="008D1B77"/>
    <w:rsid w:val="008D2667"/>
    <w:rsid w:val="008D38A1"/>
    <w:rsid w:val="008D3FC8"/>
    <w:rsid w:val="008D47C5"/>
    <w:rsid w:val="008D758A"/>
    <w:rsid w:val="008E1250"/>
    <w:rsid w:val="008E256B"/>
    <w:rsid w:val="008E3727"/>
    <w:rsid w:val="008E3F1E"/>
    <w:rsid w:val="008E53E8"/>
    <w:rsid w:val="008E75E2"/>
    <w:rsid w:val="008E7C4E"/>
    <w:rsid w:val="008F0AFC"/>
    <w:rsid w:val="008F15E3"/>
    <w:rsid w:val="008F21F6"/>
    <w:rsid w:val="008F2CBB"/>
    <w:rsid w:val="008F3440"/>
    <w:rsid w:val="008F402C"/>
    <w:rsid w:val="008F42F4"/>
    <w:rsid w:val="008F5CAF"/>
    <w:rsid w:val="008F5E2D"/>
    <w:rsid w:val="00900320"/>
    <w:rsid w:val="0090086F"/>
    <w:rsid w:val="009008EA"/>
    <w:rsid w:val="00900FDC"/>
    <w:rsid w:val="0090183C"/>
    <w:rsid w:val="00901A49"/>
    <w:rsid w:val="009027C5"/>
    <w:rsid w:val="00902C19"/>
    <w:rsid w:val="00903B04"/>
    <w:rsid w:val="00903EE6"/>
    <w:rsid w:val="00904033"/>
    <w:rsid w:val="009045BC"/>
    <w:rsid w:val="00905748"/>
    <w:rsid w:val="0090642C"/>
    <w:rsid w:val="00906729"/>
    <w:rsid w:val="009105C9"/>
    <w:rsid w:val="00912DD1"/>
    <w:rsid w:val="0091303B"/>
    <w:rsid w:val="00914256"/>
    <w:rsid w:val="00914A9B"/>
    <w:rsid w:val="00914CBA"/>
    <w:rsid w:val="009156DD"/>
    <w:rsid w:val="00916265"/>
    <w:rsid w:val="009166E4"/>
    <w:rsid w:val="00917E9B"/>
    <w:rsid w:val="0092127E"/>
    <w:rsid w:val="00921B67"/>
    <w:rsid w:val="00921EC3"/>
    <w:rsid w:val="0092401B"/>
    <w:rsid w:val="00924D5F"/>
    <w:rsid w:val="00925518"/>
    <w:rsid w:val="00930049"/>
    <w:rsid w:val="00932610"/>
    <w:rsid w:val="0093320B"/>
    <w:rsid w:val="0093383C"/>
    <w:rsid w:val="009343ED"/>
    <w:rsid w:val="009347B5"/>
    <w:rsid w:val="00935C87"/>
    <w:rsid w:val="00936833"/>
    <w:rsid w:val="009377F9"/>
    <w:rsid w:val="00937902"/>
    <w:rsid w:val="00937C89"/>
    <w:rsid w:val="00942F8E"/>
    <w:rsid w:val="00943985"/>
    <w:rsid w:val="009455B1"/>
    <w:rsid w:val="00945BBF"/>
    <w:rsid w:val="00945FC6"/>
    <w:rsid w:val="00946CCB"/>
    <w:rsid w:val="00946E04"/>
    <w:rsid w:val="0094752B"/>
    <w:rsid w:val="00950858"/>
    <w:rsid w:val="009510EF"/>
    <w:rsid w:val="00952DC2"/>
    <w:rsid w:val="009546D9"/>
    <w:rsid w:val="00954EAB"/>
    <w:rsid w:val="00954F5A"/>
    <w:rsid w:val="009554FA"/>
    <w:rsid w:val="00955AA1"/>
    <w:rsid w:val="00957180"/>
    <w:rsid w:val="009576D9"/>
    <w:rsid w:val="00957EF4"/>
    <w:rsid w:val="00963837"/>
    <w:rsid w:val="00963AC2"/>
    <w:rsid w:val="00964272"/>
    <w:rsid w:val="00964977"/>
    <w:rsid w:val="009656A3"/>
    <w:rsid w:val="00965828"/>
    <w:rsid w:val="00965DD6"/>
    <w:rsid w:val="00967A9D"/>
    <w:rsid w:val="0097149D"/>
    <w:rsid w:val="00973618"/>
    <w:rsid w:val="009737C3"/>
    <w:rsid w:val="0097443C"/>
    <w:rsid w:val="009744F8"/>
    <w:rsid w:val="00975365"/>
    <w:rsid w:val="00976EA9"/>
    <w:rsid w:val="009812D9"/>
    <w:rsid w:val="009813D4"/>
    <w:rsid w:val="00981C8C"/>
    <w:rsid w:val="00983E2E"/>
    <w:rsid w:val="00987992"/>
    <w:rsid w:val="009905F2"/>
    <w:rsid w:val="00991C97"/>
    <w:rsid w:val="009921CD"/>
    <w:rsid w:val="00992854"/>
    <w:rsid w:val="00992BE1"/>
    <w:rsid w:val="00996354"/>
    <w:rsid w:val="009968AB"/>
    <w:rsid w:val="00997D3C"/>
    <w:rsid w:val="009A24C8"/>
    <w:rsid w:val="009A2B64"/>
    <w:rsid w:val="009A3ADA"/>
    <w:rsid w:val="009A4E96"/>
    <w:rsid w:val="009A4E9A"/>
    <w:rsid w:val="009A6689"/>
    <w:rsid w:val="009B2FC3"/>
    <w:rsid w:val="009B3E23"/>
    <w:rsid w:val="009B66F6"/>
    <w:rsid w:val="009B66F7"/>
    <w:rsid w:val="009B7BDC"/>
    <w:rsid w:val="009C07BC"/>
    <w:rsid w:val="009C0C36"/>
    <w:rsid w:val="009C17AD"/>
    <w:rsid w:val="009C28E7"/>
    <w:rsid w:val="009C4047"/>
    <w:rsid w:val="009C5AF3"/>
    <w:rsid w:val="009C68A7"/>
    <w:rsid w:val="009C7143"/>
    <w:rsid w:val="009D117E"/>
    <w:rsid w:val="009D168B"/>
    <w:rsid w:val="009D20AA"/>
    <w:rsid w:val="009D4903"/>
    <w:rsid w:val="009D5D52"/>
    <w:rsid w:val="009D6CFB"/>
    <w:rsid w:val="009D7B16"/>
    <w:rsid w:val="009E1188"/>
    <w:rsid w:val="009E1B47"/>
    <w:rsid w:val="009E1DFA"/>
    <w:rsid w:val="009E3E75"/>
    <w:rsid w:val="009E3EEE"/>
    <w:rsid w:val="009E4AB2"/>
    <w:rsid w:val="009E6397"/>
    <w:rsid w:val="009E64CB"/>
    <w:rsid w:val="009E77B0"/>
    <w:rsid w:val="009E7CFE"/>
    <w:rsid w:val="009F04C0"/>
    <w:rsid w:val="009F305D"/>
    <w:rsid w:val="009F388C"/>
    <w:rsid w:val="009F42CA"/>
    <w:rsid w:val="009F50CB"/>
    <w:rsid w:val="009F5347"/>
    <w:rsid w:val="009F77AC"/>
    <w:rsid w:val="009F7FBB"/>
    <w:rsid w:val="00A029AA"/>
    <w:rsid w:val="00A043C9"/>
    <w:rsid w:val="00A059B1"/>
    <w:rsid w:val="00A0670F"/>
    <w:rsid w:val="00A068D1"/>
    <w:rsid w:val="00A06995"/>
    <w:rsid w:val="00A07DC4"/>
    <w:rsid w:val="00A10A65"/>
    <w:rsid w:val="00A10A6F"/>
    <w:rsid w:val="00A1185B"/>
    <w:rsid w:val="00A11F0F"/>
    <w:rsid w:val="00A13002"/>
    <w:rsid w:val="00A134AD"/>
    <w:rsid w:val="00A13CFC"/>
    <w:rsid w:val="00A1502A"/>
    <w:rsid w:val="00A15562"/>
    <w:rsid w:val="00A1736B"/>
    <w:rsid w:val="00A175BF"/>
    <w:rsid w:val="00A20DF7"/>
    <w:rsid w:val="00A22BE4"/>
    <w:rsid w:val="00A2442D"/>
    <w:rsid w:val="00A30AD7"/>
    <w:rsid w:val="00A33410"/>
    <w:rsid w:val="00A33BC7"/>
    <w:rsid w:val="00A34E83"/>
    <w:rsid w:val="00A35C0D"/>
    <w:rsid w:val="00A363F1"/>
    <w:rsid w:val="00A37745"/>
    <w:rsid w:val="00A37AB6"/>
    <w:rsid w:val="00A41250"/>
    <w:rsid w:val="00A421B6"/>
    <w:rsid w:val="00A4228E"/>
    <w:rsid w:val="00A42BDC"/>
    <w:rsid w:val="00A440FF"/>
    <w:rsid w:val="00A44181"/>
    <w:rsid w:val="00A4444F"/>
    <w:rsid w:val="00A446BE"/>
    <w:rsid w:val="00A452B7"/>
    <w:rsid w:val="00A45B2F"/>
    <w:rsid w:val="00A46E35"/>
    <w:rsid w:val="00A47EFC"/>
    <w:rsid w:val="00A51554"/>
    <w:rsid w:val="00A519AE"/>
    <w:rsid w:val="00A52005"/>
    <w:rsid w:val="00A52144"/>
    <w:rsid w:val="00A53EDE"/>
    <w:rsid w:val="00A54BF4"/>
    <w:rsid w:val="00A54D83"/>
    <w:rsid w:val="00A5644E"/>
    <w:rsid w:val="00A56553"/>
    <w:rsid w:val="00A60190"/>
    <w:rsid w:val="00A6093E"/>
    <w:rsid w:val="00A610F4"/>
    <w:rsid w:val="00A61D2F"/>
    <w:rsid w:val="00A62057"/>
    <w:rsid w:val="00A62154"/>
    <w:rsid w:val="00A621F4"/>
    <w:rsid w:val="00A62CD2"/>
    <w:rsid w:val="00A63232"/>
    <w:rsid w:val="00A63835"/>
    <w:rsid w:val="00A648E7"/>
    <w:rsid w:val="00A65461"/>
    <w:rsid w:val="00A65C5F"/>
    <w:rsid w:val="00A7122F"/>
    <w:rsid w:val="00A716A9"/>
    <w:rsid w:val="00A7612B"/>
    <w:rsid w:val="00A7658F"/>
    <w:rsid w:val="00A7689F"/>
    <w:rsid w:val="00A80D80"/>
    <w:rsid w:val="00A82C95"/>
    <w:rsid w:val="00A82D92"/>
    <w:rsid w:val="00A82F13"/>
    <w:rsid w:val="00A84A53"/>
    <w:rsid w:val="00A84B9D"/>
    <w:rsid w:val="00A8542F"/>
    <w:rsid w:val="00A86D76"/>
    <w:rsid w:val="00A923BD"/>
    <w:rsid w:val="00A93895"/>
    <w:rsid w:val="00A9474A"/>
    <w:rsid w:val="00A96F4A"/>
    <w:rsid w:val="00A97132"/>
    <w:rsid w:val="00AA0C2E"/>
    <w:rsid w:val="00AA5ADF"/>
    <w:rsid w:val="00AA6518"/>
    <w:rsid w:val="00AB1034"/>
    <w:rsid w:val="00AB2223"/>
    <w:rsid w:val="00AB29D8"/>
    <w:rsid w:val="00AB2DC9"/>
    <w:rsid w:val="00AB3C96"/>
    <w:rsid w:val="00AB4ED2"/>
    <w:rsid w:val="00AB51FB"/>
    <w:rsid w:val="00AB6FD0"/>
    <w:rsid w:val="00AC22F0"/>
    <w:rsid w:val="00AC27A7"/>
    <w:rsid w:val="00AC35AB"/>
    <w:rsid w:val="00AC3BA5"/>
    <w:rsid w:val="00AC608B"/>
    <w:rsid w:val="00AC6239"/>
    <w:rsid w:val="00AC6DF7"/>
    <w:rsid w:val="00AC7494"/>
    <w:rsid w:val="00AC75FB"/>
    <w:rsid w:val="00AD2B21"/>
    <w:rsid w:val="00AD2CC7"/>
    <w:rsid w:val="00AD3057"/>
    <w:rsid w:val="00AD4B2E"/>
    <w:rsid w:val="00AD4F4D"/>
    <w:rsid w:val="00AE0A8A"/>
    <w:rsid w:val="00AE1984"/>
    <w:rsid w:val="00AE1CE1"/>
    <w:rsid w:val="00AE664B"/>
    <w:rsid w:val="00AE6E32"/>
    <w:rsid w:val="00AF0607"/>
    <w:rsid w:val="00AF167D"/>
    <w:rsid w:val="00AF1F63"/>
    <w:rsid w:val="00AF372D"/>
    <w:rsid w:val="00AF3DFA"/>
    <w:rsid w:val="00AF57EB"/>
    <w:rsid w:val="00AF61AE"/>
    <w:rsid w:val="00B0124F"/>
    <w:rsid w:val="00B013FB"/>
    <w:rsid w:val="00B03087"/>
    <w:rsid w:val="00B030AE"/>
    <w:rsid w:val="00B049B3"/>
    <w:rsid w:val="00B05DD0"/>
    <w:rsid w:val="00B06B04"/>
    <w:rsid w:val="00B07301"/>
    <w:rsid w:val="00B10E8E"/>
    <w:rsid w:val="00B110A2"/>
    <w:rsid w:val="00B12C05"/>
    <w:rsid w:val="00B1304C"/>
    <w:rsid w:val="00B14391"/>
    <w:rsid w:val="00B14728"/>
    <w:rsid w:val="00B16257"/>
    <w:rsid w:val="00B204CE"/>
    <w:rsid w:val="00B20617"/>
    <w:rsid w:val="00B20A4C"/>
    <w:rsid w:val="00B20D6D"/>
    <w:rsid w:val="00B2172C"/>
    <w:rsid w:val="00B2173A"/>
    <w:rsid w:val="00B217CE"/>
    <w:rsid w:val="00B22F3E"/>
    <w:rsid w:val="00B2319E"/>
    <w:rsid w:val="00B23283"/>
    <w:rsid w:val="00B24CB7"/>
    <w:rsid w:val="00B301DA"/>
    <w:rsid w:val="00B3038D"/>
    <w:rsid w:val="00B3126D"/>
    <w:rsid w:val="00B322E2"/>
    <w:rsid w:val="00B32B4A"/>
    <w:rsid w:val="00B32C5A"/>
    <w:rsid w:val="00B3619C"/>
    <w:rsid w:val="00B372F4"/>
    <w:rsid w:val="00B373FA"/>
    <w:rsid w:val="00B4032E"/>
    <w:rsid w:val="00B406B2"/>
    <w:rsid w:val="00B408CC"/>
    <w:rsid w:val="00B40946"/>
    <w:rsid w:val="00B422B2"/>
    <w:rsid w:val="00B425E4"/>
    <w:rsid w:val="00B42673"/>
    <w:rsid w:val="00B42A78"/>
    <w:rsid w:val="00B42E43"/>
    <w:rsid w:val="00B453D9"/>
    <w:rsid w:val="00B45CD3"/>
    <w:rsid w:val="00B45E57"/>
    <w:rsid w:val="00B467BF"/>
    <w:rsid w:val="00B47B55"/>
    <w:rsid w:val="00B50705"/>
    <w:rsid w:val="00B50E68"/>
    <w:rsid w:val="00B5130C"/>
    <w:rsid w:val="00B52CCB"/>
    <w:rsid w:val="00B54462"/>
    <w:rsid w:val="00B54B36"/>
    <w:rsid w:val="00B54C5F"/>
    <w:rsid w:val="00B551B1"/>
    <w:rsid w:val="00B562A2"/>
    <w:rsid w:val="00B5784F"/>
    <w:rsid w:val="00B578E1"/>
    <w:rsid w:val="00B6047B"/>
    <w:rsid w:val="00B604E9"/>
    <w:rsid w:val="00B6148C"/>
    <w:rsid w:val="00B6197B"/>
    <w:rsid w:val="00B632E3"/>
    <w:rsid w:val="00B6500E"/>
    <w:rsid w:val="00B65556"/>
    <w:rsid w:val="00B74815"/>
    <w:rsid w:val="00B76040"/>
    <w:rsid w:val="00B761A7"/>
    <w:rsid w:val="00B80796"/>
    <w:rsid w:val="00B82DD1"/>
    <w:rsid w:val="00B841A7"/>
    <w:rsid w:val="00B84990"/>
    <w:rsid w:val="00B849A3"/>
    <w:rsid w:val="00B851B0"/>
    <w:rsid w:val="00B86F20"/>
    <w:rsid w:val="00B87933"/>
    <w:rsid w:val="00B87DAC"/>
    <w:rsid w:val="00B91054"/>
    <w:rsid w:val="00B91E45"/>
    <w:rsid w:val="00B92398"/>
    <w:rsid w:val="00B93DEB"/>
    <w:rsid w:val="00B9494E"/>
    <w:rsid w:val="00B957EC"/>
    <w:rsid w:val="00BA08E8"/>
    <w:rsid w:val="00BA0947"/>
    <w:rsid w:val="00BA0E7D"/>
    <w:rsid w:val="00BA2D85"/>
    <w:rsid w:val="00BA360A"/>
    <w:rsid w:val="00BA42D9"/>
    <w:rsid w:val="00BA4D48"/>
    <w:rsid w:val="00BA59F9"/>
    <w:rsid w:val="00BA6198"/>
    <w:rsid w:val="00BB0C5F"/>
    <w:rsid w:val="00BB1F03"/>
    <w:rsid w:val="00BB24BD"/>
    <w:rsid w:val="00BB2A26"/>
    <w:rsid w:val="00BB3B45"/>
    <w:rsid w:val="00BB3B8B"/>
    <w:rsid w:val="00BB5D2A"/>
    <w:rsid w:val="00BB6D97"/>
    <w:rsid w:val="00BB76BC"/>
    <w:rsid w:val="00BC24B5"/>
    <w:rsid w:val="00BC28F5"/>
    <w:rsid w:val="00BC3137"/>
    <w:rsid w:val="00BC44D3"/>
    <w:rsid w:val="00BC4FF3"/>
    <w:rsid w:val="00BC5434"/>
    <w:rsid w:val="00BC58F0"/>
    <w:rsid w:val="00BC5A09"/>
    <w:rsid w:val="00BC5D8E"/>
    <w:rsid w:val="00BC6CF8"/>
    <w:rsid w:val="00BC7674"/>
    <w:rsid w:val="00BD3A60"/>
    <w:rsid w:val="00BD5095"/>
    <w:rsid w:val="00BD5815"/>
    <w:rsid w:val="00BE14B8"/>
    <w:rsid w:val="00BE2315"/>
    <w:rsid w:val="00BE28E9"/>
    <w:rsid w:val="00BE30DF"/>
    <w:rsid w:val="00BE6050"/>
    <w:rsid w:val="00BE60AB"/>
    <w:rsid w:val="00BE6627"/>
    <w:rsid w:val="00BF038E"/>
    <w:rsid w:val="00BF2DDB"/>
    <w:rsid w:val="00BF55A5"/>
    <w:rsid w:val="00BF6D44"/>
    <w:rsid w:val="00BF72EB"/>
    <w:rsid w:val="00C00252"/>
    <w:rsid w:val="00C0425F"/>
    <w:rsid w:val="00C06EFA"/>
    <w:rsid w:val="00C07FA4"/>
    <w:rsid w:val="00C10B12"/>
    <w:rsid w:val="00C10CC9"/>
    <w:rsid w:val="00C14422"/>
    <w:rsid w:val="00C16C21"/>
    <w:rsid w:val="00C23087"/>
    <w:rsid w:val="00C24531"/>
    <w:rsid w:val="00C2497E"/>
    <w:rsid w:val="00C25904"/>
    <w:rsid w:val="00C2665F"/>
    <w:rsid w:val="00C30EA6"/>
    <w:rsid w:val="00C32F03"/>
    <w:rsid w:val="00C33F8F"/>
    <w:rsid w:val="00C346BB"/>
    <w:rsid w:val="00C367FA"/>
    <w:rsid w:val="00C368FD"/>
    <w:rsid w:val="00C37807"/>
    <w:rsid w:val="00C37DBE"/>
    <w:rsid w:val="00C4272E"/>
    <w:rsid w:val="00C42DFD"/>
    <w:rsid w:val="00C43095"/>
    <w:rsid w:val="00C43329"/>
    <w:rsid w:val="00C4363C"/>
    <w:rsid w:val="00C448AC"/>
    <w:rsid w:val="00C45395"/>
    <w:rsid w:val="00C4555B"/>
    <w:rsid w:val="00C459E2"/>
    <w:rsid w:val="00C45C15"/>
    <w:rsid w:val="00C45FB7"/>
    <w:rsid w:val="00C46CB7"/>
    <w:rsid w:val="00C47804"/>
    <w:rsid w:val="00C479D4"/>
    <w:rsid w:val="00C52AF2"/>
    <w:rsid w:val="00C53702"/>
    <w:rsid w:val="00C540B5"/>
    <w:rsid w:val="00C54EC0"/>
    <w:rsid w:val="00C57DFE"/>
    <w:rsid w:val="00C60318"/>
    <w:rsid w:val="00C604D7"/>
    <w:rsid w:val="00C60CD8"/>
    <w:rsid w:val="00C62D5C"/>
    <w:rsid w:val="00C642BC"/>
    <w:rsid w:val="00C646D9"/>
    <w:rsid w:val="00C6474B"/>
    <w:rsid w:val="00C65163"/>
    <w:rsid w:val="00C65168"/>
    <w:rsid w:val="00C670DF"/>
    <w:rsid w:val="00C674F7"/>
    <w:rsid w:val="00C67CF6"/>
    <w:rsid w:val="00C67D48"/>
    <w:rsid w:val="00C67F78"/>
    <w:rsid w:val="00C715D7"/>
    <w:rsid w:val="00C71850"/>
    <w:rsid w:val="00C71862"/>
    <w:rsid w:val="00C73D75"/>
    <w:rsid w:val="00C74DDA"/>
    <w:rsid w:val="00C74F76"/>
    <w:rsid w:val="00C75780"/>
    <w:rsid w:val="00C76470"/>
    <w:rsid w:val="00C76D0E"/>
    <w:rsid w:val="00C80402"/>
    <w:rsid w:val="00C81668"/>
    <w:rsid w:val="00C829E7"/>
    <w:rsid w:val="00C83061"/>
    <w:rsid w:val="00C833BC"/>
    <w:rsid w:val="00C84A23"/>
    <w:rsid w:val="00C858DF"/>
    <w:rsid w:val="00C87470"/>
    <w:rsid w:val="00C879E9"/>
    <w:rsid w:val="00C929A9"/>
    <w:rsid w:val="00C92C93"/>
    <w:rsid w:val="00C945E6"/>
    <w:rsid w:val="00C95726"/>
    <w:rsid w:val="00C96337"/>
    <w:rsid w:val="00C97A26"/>
    <w:rsid w:val="00CA1C7B"/>
    <w:rsid w:val="00CA1FFD"/>
    <w:rsid w:val="00CA4930"/>
    <w:rsid w:val="00CA5220"/>
    <w:rsid w:val="00CA5716"/>
    <w:rsid w:val="00CB016E"/>
    <w:rsid w:val="00CB1A16"/>
    <w:rsid w:val="00CB1D23"/>
    <w:rsid w:val="00CB22C4"/>
    <w:rsid w:val="00CB6024"/>
    <w:rsid w:val="00CB6293"/>
    <w:rsid w:val="00CC1B98"/>
    <w:rsid w:val="00CC1DF8"/>
    <w:rsid w:val="00CC2A9D"/>
    <w:rsid w:val="00CC35FC"/>
    <w:rsid w:val="00CC3F9C"/>
    <w:rsid w:val="00CC4AA1"/>
    <w:rsid w:val="00CC51DB"/>
    <w:rsid w:val="00CC56D9"/>
    <w:rsid w:val="00CC6C73"/>
    <w:rsid w:val="00CD093B"/>
    <w:rsid w:val="00CD1287"/>
    <w:rsid w:val="00CD12CB"/>
    <w:rsid w:val="00CD3751"/>
    <w:rsid w:val="00CD385D"/>
    <w:rsid w:val="00CD3FE7"/>
    <w:rsid w:val="00CD454C"/>
    <w:rsid w:val="00CD5203"/>
    <w:rsid w:val="00CD5A8D"/>
    <w:rsid w:val="00CD5B6E"/>
    <w:rsid w:val="00CD5CF6"/>
    <w:rsid w:val="00CD624D"/>
    <w:rsid w:val="00CD651A"/>
    <w:rsid w:val="00CE01B4"/>
    <w:rsid w:val="00CE0577"/>
    <w:rsid w:val="00CE4790"/>
    <w:rsid w:val="00CE5E1E"/>
    <w:rsid w:val="00CE7E45"/>
    <w:rsid w:val="00CF0591"/>
    <w:rsid w:val="00CF1412"/>
    <w:rsid w:val="00CF510D"/>
    <w:rsid w:val="00CF5217"/>
    <w:rsid w:val="00CF5BEC"/>
    <w:rsid w:val="00CF5CE6"/>
    <w:rsid w:val="00CF6DAD"/>
    <w:rsid w:val="00D007D2"/>
    <w:rsid w:val="00D00DB2"/>
    <w:rsid w:val="00D025D0"/>
    <w:rsid w:val="00D03ED0"/>
    <w:rsid w:val="00D050DE"/>
    <w:rsid w:val="00D06F6F"/>
    <w:rsid w:val="00D11667"/>
    <w:rsid w:val="00D11DF7"/>
    <w:rsid w:val="00D12C8E"/>
    <w:rsid w:val="00D12D8D"/>
    <w:rsid w:val="00D14249"/>
    <w:rsid w:val="00D16791"/>
    <w:rsid w:val="00D171AD"/>
    <w:rsid w:val="00D21128"/>
    <w:rsid w:val="00D22B2D"/>
    <w:rsid w:val="00D23166"/>
    <w:rsid w:val="00D231ED"/>
    <w:rsid w:val="00D23623"/>
    <w:rsid w:val="00D2453D"/>
    <w:rsid w:val="00D24C41"/>
    <w:rsid w:val="00D24EC0"/>
    <w:rsid w:val="00D27426"/>
    <w:rsid w:val="00D2797E"/>
    <w:rsid w:val="00D31860"/>
    <w:rsid w:val="00D34E9B"/>
    <w:rsid w:val="00D34EE6"/>
    <w:rsid w:val="00D34FC0"/>
    <w:rsid w:val="00D3721C"/>
    <w:rsid w:val="00D40133"/>
    <w:rsid w:val="00D40626"/>
    <w:rsid w:val="00D408D8"/>
    <w:rsid w:val="00D43475"/>
    <w:rsid w:val="00D43B85"/>
    <w:rsid w:val="00D4508A"/>
    <w:rsid w:val="00D459D6"/>
    <w:rsid w:val="00D5073F"/>
    <w:rsid w:val="00D509FF"/>
    <w:rsid w:val="00D51270"/>
    <w:rsid w:val="00D513C8"/>
    <w:rsid w:val="00D53418"/>
    <w:rsid w:val="00D53B71"/>
    <w:rsid w:val="00D5401D"/>
    <w:rsid w:val="00D5463B"/>
    <w:rsid w:val="00D547BC"/>
    <w:rsid w:val="00D560E8"/>
    <w:rsid w:val="00D561F9"/>
    <w:rsid w:val="00D60422"/>
    <w:rsid w:val="00D61EDC"/>
    <w:rsid w:val="00D62936"/>
    <w:rsid w:val="00D62CBC"/>
    <w:rsid w:val="00D62D44"/>
    <w:rsid w:val="00D64AB8"/>
    <w:rsid w:val="00D64F1B"/>
    <w:rsid w:val="00D661CF"/>
    <w:rsid w:val="00D663B2"/>
    <w:rsid w:val="00D664AE"/>
    <w:rsid w:val="00D66DA2"/>
    <w:rsid w:val="00D70621"/>
    <w:rsid w:val="00D70C32"/>
    <w:rsid w:val="00D71A86"/>
    <w:rsid w:val="00D71CAF"/>
    <w:rsid w:val="00D71F15"/>
    <w:rsid w:val="00D7254C"/>
    <w:rsid w:val="00D7421C"/>
    <w:rsid w:val="00D7473A"/>
    <w:rsid w:val="00D74DBB"/>
    <w:rsid w:val="00D765C9"/>
    <w:rsid w:val="00D768BC"/>
    <w:rsid w:val="00D772DD"/>
    <w:rsid w:val="00D77746"/>
    <w:rsid w:val="00D8023E"/>
    <w:rsid w:val="00D80261"/>
    <w:rsid w:val="00D81055"/>
    <w:rsid w:val="00D81977"/>
    <w:rsid w:val="00D83CF4"/>
    <w:rsid w:val="00D83D82"/>
    <w:rsid w:val="00D87355"/>
    <w:rsid w:val="00D90B9E"/>
    <w:rsid w:val="00D90C2B"/>
    <w:rsid w:val="00D917C3"/>
    <w:rsid w:val="00D934D1"/>
    <w:rsid w:val="00D95948"/>
    <w:rsid w:val="00D95E5A"/>
    <w:rsid w:val="00D96AED"/>
    <w:rsid w:val="00DA1700"/>
    <w:rsid w:val="00DA2272"/>
    <w:rsid w:val="00DA2CDB"/>
    <w:rsid w:val="00DA524A"/>
    <w:rsid w:val="00DA58F5"/>
    <w:rsid w:val="00DA5C4D"/>
    <w:rsid w:val="00DB0F6F"/>
    <w:rsid w:val="00DB3C53"/>
    <w:rsid w:val="00DB417A"/>
    <w:rsid w:val="00DB5F2F"/>
    <w:rsid w:val="00DB62E6"/>
    <w:rsid w:val="00DB7F2B"/>
    <w:rsid w:val="00DC0365"/>
    <w:rsid w:val="00DC36C0"/>
    <w:rsid w:val="00DC3FFF"/>
    <w:rsid w:val="00DC5C58"/>
    <w:rsid w:val="00DC7EF1"/>
    <w:rsid w:val="00DD06DA"/>
    <w:rsid w:val="00DD0D76"/>
    <w:rsid w:val="00DD10B4"/>
    <w:rsid w:val="00DD10DF"/>
    <w:rsid w:val="00DD12DC"/>
    <w:rsid w:val="00DD27F5"/>
    <w:rsid w:val="00DD2A47"/>
    <w:rsid w:val="00DD2CF0"/>
    <w:rsid w:val="00DD73FC"/>
    <w:rsid w:val="00DE0F45"/>
    <w:rsid w:val="00DE1A7C"/>
    <w:rsid w:val="00DE25B5"/>
    <w:rsid w:val="00DE2901"/>
    <w:rsid w:val="00DE534A"/>
    <w:rsid w:val="00DF0E8D"/>
    <w:rsid w:val="00DF11ED"/>
    <w:rsid w:val="00DF2936"/>
    <w:rsid w:val="00DF2D06"/>
    <w:rsid w:val="00DF3962"/>
    <w:rsid w:val="00DF5664"/>
    <w:rsid w:val="00DF717C"/>
    <w:rsid w:val="00DF764C"/>
    <w:rsid w:val="00E0171B"/>
    <w:rsid w:val="00E0236D"/>
    <w:rsid w:val="00E02BA1"/>
    <w:rsid w:val="00E037BF"/>
    <w:rsid w:val="00E041C8"/>
    <w:rsid w:val="00E04830"/>
    <w:rsid w:val="00E04D96"/>
    <w:rsid w:val="00E066AD"/>
    <w:rsid w:val="00E077CE"/>
    <w:rsid w:val="00E104C7"/>
    <w:rsid w:val="00E1075C"/>
    <w:rsid w:val="00E1092E"/>
    <w:rsid w:val="00E10EB1"/>
    <w:rsid w:val="00E10F99"/>
    <w:rsid w:val="00E11487"/>
    <w:rsid w:val="00E1155B"/>
    <w:rsid w:val="00E129B1"/>
    <w:rsid w:val="00E1605D"/>
    <w:rsid w:val="00E175D0"/>
    <w:rsid w:val="00E17C00"/>
    <w:rsid w:val="00E20220"/>
    <w:rsid w:val="00E21320"/>
    <w:rsid w:val="00E22617"/>
    <w:rsid w:val="00E2747B"/>
    <w:rsid w:val="00E30A76"/>
    <w:rsid w:val="00E31449"/>
    <w:rsid w:val="00E31E5E"/>
    <w:rsid w:val="00E32278"/>
    <w:rsid w:val="00E32976"/>
    <w:rsid w:val="00E32AE3"/>
    <w:rsid w:val="00E33686"/>
    <w:rsid w:val="00E33B2D"/>
    <w:rsid w:val="00E340BC"/>
    <w:rsid w:val="00E344F6"/>
    <w:rsid w:val="00E36B89"/>
    <w:rsid w:val="00E42492"/>
    <w:rsid w:val="00E425BB"/>
    <w:rsid w:val="00E43F1F"/>
    <w:rsid w:val="00E5057A"/>
    <w:rsid w:val="00E52521"/>
    <w:rsid w:val="00E533DC"/>
    <w:rsid w:val="00E53D9A"/>
    <w:rsid w:val="00E5430E"/>
    <w:rsid w:val="00E543BA"/>
    <w:rsid w:val="00E57710"/>
    <w:rsid w:val="00E618B6"/>
    <w:rsid w:val="00E61CA9"/>
    <w:rsid w:val="00E6401C"/>
    <w:rsid w:val="00E64C37"/>
    <w:rsid w:val="00E64C73"/>
    <w:rsid w:val="00E65297"/>
    <w:rsid w:val="00E661EF"/>
    <w:rsid w:val="00E66646"/>
    <w:rsid w:val="00E668CC"/>
    <w:rsid w:val="00E67723"/>
    <w:rsid w:val="00E71BF2"/>
    <w:rsid w:val="00E7226B"/>
    <w:rsid w:val="00E72BE4"/>
    <w:rsid w:val="00E73C2C"/>
    <w:rsid w:val="00E75CE7"/>
    <w:rsid w:val="00E77508"/>
    <w:rsid w:val="00E77790"/>
    <w:rsid w:val="00E77833"/>
    <w:rsid w:val="00E810E6"/>
    <w:rsid w:val="00E8255C"/>
    <w:rsid w:val="00E82788"/>
    <w:rsid w:val="00E843CE"/>
    <w:rsid w:val="00E84C79"/>
    <w:rsid w:val="00E85ACD"/>
    <w:rsid w:val="00E8638D"/>
    <w:rsid w:val="00E870F4"/>
    <w:rsid w:val="00E90141"/>
    <w:rsid w:val="00E90A59"/>
    <w:rsid w:val="00E91384"/>
    <w:rsid w:val="00E92B13"/>
    <w:rsid w:val="00E949E8"/>
    <w:rsid w:val="00E949F4"/>
    <w:rsid w:val="00E95962"/>
    <w:rsid w:val="00E962A0"/>
    <w:rsid w:val="00E96F34"/>
    <w:rsid w:val="00E97B94"/>
    <w:rsid w:val="00EA321F"/>
    <w:rsid w:val="00EA33ED"/>
    <w:rsid w:val="00EA44A7"/>
    <w:rsid w:val="00EA4D72"/>
    <w:rsid w:val="00EA507D"/>
    <w:rsid w:val="00EA796B"/>
    <w:rsid w:val="00EB0200"/>
    <w:rsid w:val="00EB1EBC"/>
    <w:rsid w:val="00EB5256"/>
    <w:rsid w:val="00EC0558"/>
    <w:rsid w:val="00EC2F7C"/>
    <w:rsid w:val="00EC477F"/>
    <w:rsid w:val="00EC4AD4"/>
    <w:rsid w:val="00EC4F21"/>
    <w:rsid w:val="00EC5C05"/>
    <w:rsid w:val="00EC5D0E"/>
    <w:rsid w:val="00EC5D22"/>
    <w:rsid w:val="00EC668F"/>
    <w:rsid w:val="00ED0910"/>
    <w:rsid w:val="00ED289F"/>
    <w:rsid w:val="00ED298E"/>
    <w:rsid w:val="00ED4E1F"/>
    <w:rsid w:val="00ED61DB"/>
    <w:rsid w:val="00ED66AB"/>
    <w:rsid w:val="00EE0BED"/>
    <w:rsid w:val="00EE11DD"/>
    <w:rsid w:val="00EE2082"/>
    <w:rsid w:val="00EE33F6"/>
    <w:rsid w:val="00EE7282"/>
    <w:rsid w:val="00EE76A8"/>
    <w:rsid w:val="00EE7F43"/>
    <w:rsid w:val="00EF11D7"/>
    <w:rsid w:val="00EF12E2"/>
    <w:rsid w:val="00EF40F9"/>
    <w:rsid w:val="00EF41CC"/>
    <w:rsid w:val="00EF4DF8"/>
    <w:rsid w:val="00EF52E7"/>
    <w:rsid w:val="00EF7C0A"/>
    <w:rsid w:val="00F02A93"/>
    <w:rsid w:val="00F02AFD"/>
    <w:rsid w:val="00F038D0"/>
    <w:rsid w:val="00F03E06"/>
    <w:rsid w:val="00F0414C"/>
    <w:rsid w:val="00F042EA"/>
    <w:rsid w:val="00F05236"/>
    <w:rsid w:val="00F05EE0"/>
    <w:rsid w:val="00F07387"/>
    <w:rsid w:val="00F07A2A"/>
    <w:rsid w:val="00F12BB6"/>
    <w:rsid w:val="00F14C8C"/>
    <w:rsid w:val="00F16DF4"/>
    <w:rsid w:val="00F16FD5"/>
    <w:rsid w:val="00F17AF9"/>
    <w:rsid w:val="00F2009C"/>
    <w:rsid w:val="00F21097"/>
    <w:rsid w:val="00F22249"/>
    <w:rsid w:val="00F22849"/>
    <w:rsid w:val="00F22D8C"/>
    <w:rsid w:val="00F231E2"/>
    <w:rsid w:val="00F248F1"/>
    <w:rsid w:val="00F31774"/>
    <w:rsid w:val="00F3656F"/>
    <w:rsid w:val="00F3780A"/>
    <w:rsid w:val="00F40777"/>
    <w:rsid w:val="00F41002"/>
    <w:rsid w:val="00F410B4"/>
    <w:rsid w:val="00F413A2"/>
    <w:rsid w:val="00F4661E"/>
    <w:rsid w:val="00F47955"/>
    <w:rsid w:val="00F47988"/>
    <w:rsid w:val="00F50467"/>
    <w:rsid w:val="00F504D6"/>
    <w:rsid w:val="00F525AB"/>
    <w:rsid w:val="00F5429F"/>
    <w:rsid w:val="00F54A1C"/>
    <w:rsid w:val="00F54DFE"/>
    <w:rsid w:val="00F55E05"/>
    <w:rsid w:val="00F5612E"/>
    <w:rsid w:val="00F572B1"/>
    <w:rsid w:val="00F60113"/>
    <w:rsid w:val="00F60FB7"/>
    <w:rsid w:val="00F629C9"/>
    <w:rsid w:val="00F6682B"/>
    <w:rsid w:val="00F66E3F"/>
    <w:rsid w:val="00F66F57"/>
    <w:rsid w:val="00F66FB0"/>
    <w:rsid w:val="00F676ED"/>
    <w:rsid w:val="00F67889"/>
    <w:rsid w:val="00F70D17"/>
    <w:rsid w:val="00F70D23"/>
    <w:rsid w:val="00F7124C"/>
    <w:rsid w:val="00F71D6F"/>
    <w:rsid w:val="00F7597A"/>
    <w:rsid w:val="00F773F7"/>
    <w:rsid w:val="00F7757C"/>
    <w:rsid w:val="00F84B6D"/>
    <w:rsid w:val="00F84C36"/>
    <w:rsid w:val="00F84DCC"/>
    <w:rsid w:val="00F8612F"/>
    <w:rsid w:val="00F90C5F"/>
    <w:rsid w:val="00F922D8"/>
    <w:rsid w:val="00F92966"/>
    <w:rsid w:val="00F93269"/>
    <w:rsid w:val="00F95676"/>
    <w:rsid w:val="00F97F37"/>
    <w:rsid w:val="00FA01D4"/>
    <w:rsid w:val="00FA034B"/>
    <w:rsid w:val="00FA1745"/>
    <w:rsid w:val="00FA2252"/>
    <w:rsid w:val="00FA2E9C"/>
    <w:rsid w:val="00FA409C"/>
    <w:rsid w:val="00FA4687"/>
    <w:rsid w:val="00FA4A4A"/>
    <w:rsid w:val="00FA5515"/>
    <w:rsid w:val="00FB07D3"/>
    <w:rsid w:val="00FB1C3D"/>
    <w:rsid w:val="00FB5110"/>
    <w:rsid w:val="00FB70D2"/>
    <w:rsid w:val="00FC0E13"/>
    <w:rsid w:val="00FC217C"/>
    <w:rsid w:val="00FC3593"/>
    <w:rsid w:val="00FC3E20"/>
    <w:rsid w:val="00FC4227"/>
    <w:rsid w:val="00FC5891"/>
    <w:rsid w:val="00FC7724"/>
    <w:rsid w:val="00FC7949"/>
    <w:rsid w:val="00FD343D"/>
    <w:rsid w:val="00FD6FE6"/>
    <w:rsid w:val="00FD7967"/>
    <w:rsid w:val="00FD7CA2"/>
    <w:rsid w:val="00FE083E"/>
    <w:rsid w:val="00FE18B1"/>
    <w:rsid w:val="00FE229B"/>
    <w:rsid w:val="00FE2349"/>
    <w:rsid w:val="00FE28E9"/>
    <w:rsid w:val="00FE3A93"/>
    <w:rsid w:val="00FE4364"/>
    <w:rsid w:val="00FE4684"/>
    <w:rsid w:val="00FE550F"/>
    <w:rsid w:val="00FE5AD1"/>
    <w:rsid w:val="00FE690C"/>
    <w:rsid w:val="00FE6F35"/>
    <w:rsid w:val="00FE79DC"/>
    <w:rsid w:val="00FE7ECD"/>
    <w:rsid w:val="00FF0166"/>
    <w:rsid w:val="00FF135C"/>
    <w:rsid w:val="00FF3756"/>
    <w:rsid w:val="00FF41F0"/>
    <w:rsid w:val="00FF4832"/>
    <w:rsid w:val="00FF4DD5"/>
    <w:rsid w:val="00FF5D88"/>
    <w:rsid w:val="00FF5DFE"/>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BA59F9"/>
    <w:pPr>
      <w:keepNext/>
      <w:bidi w:val="0"/>
      <w:jc w:val="center"/>
      <w:outlineLvl w:val="1"/>
    </w:pPr>
    <w:rPr>
      <w:rFonts w:ascii="Cambria" w:hAnsi="Cambria"/>
      <w:b/>
      <w:bCs/>
      <w:i/>
      <w:iCs/>
      <w:sz w:val="28"/>
      <w:szCs w:val="28"/>
    </w:rPr>
  </w:style>
  <w:style w:type="paragraph" w:styleId="Heading3">
    <w:name w:val="heading 3"/>
    <w:basedOn w:val="Normal"/>
    <w:next w:val="Normal"/>
    <w:link w:val="Heading3Char"/>
    <w:uiPriority w:val="99"/>
    <w:qFormat/>
    <w:rsid w:val="00BA59F9"/>
    <w:pPr>
      <w:keepNext/>
      <w:outlineLvl w:val="2"/>
    </w:pPr>
    <w:rPr>
      <w:rFonts w:ascii="Cambria" w:hAnsi="Cambria"/>
      <w:b/>
      <w:bCs/>
      <w:sz w:val="26"/>
      <w:szCs w:val="26"/>
    </w:rPr>
  </w:style>
  <w:style w:type="paragraph" w:styleId="Heading4">
    <w:name w:val="heading 4"/>
    <w:basedOn w:val="Normal"/>
    <w:next w:val="Normal"/>
    <w:link w:val="Heading4Char"/>
    <w:uiPriority w:val="99"/>
    <w:qFormat/>
    <w:rsid w:val="00BA59F9"/>
    <w:pPr>
      <w:keepNext/>
      <w:jc w:val="center"/>
      <w:outlineLvl w:val="3"/>
    </w:pPr>
    <w:rPr>
      <w:rFonts w:ascii="Calibri" w:hAnsi="Calibri" w:cs="Arial"/>
      <w:b/>
      <w:bCs/>
      <w:sz w:val="28"/>
      <w:szCs w:val="28"/>
    </w:rPr>
  </w:style>
  <w:style w:type="paragraph" w:styleId="Heading5">
    <w:name w:val="heading 5"/>
    <w:basedOn w:val="Normal"/>
    <w:next w:val="Normal"/>
    <w:link w:val="Heading5Char"/>
    <w:uiPriority w:val="99"/>
    <w:qFormat/>
    <w:rsid w:val="00BA59F9"/>
    <w:pPr>
      <w:keepNext/>
      <w:jc w:val="center"/>
      <w:outlineLvl w:val="4"/>
    </w:pPr>
    <w:rPr>
      <w:rFonts w:ascii="Calibri" w:hAnsi="Calibri" w:cs="Arial"/>
      <w:b/>
      <w:bCs/>
      <w:i/>
      <w:iCs/>
      <w:sz w:val="26"/>
      <w:szCs w:val="26"/>
    </w:rPr>
  </w:style>
  <w:style w:type="paragraph" w:styleId="Heading6">
    <w:name w:val="heading 6"/>
    <w:basedOn w:val="Normal"/>
    <w:next w:val="Normal"/>
    <w:link w:val="Heading6Char"/>
    <w:qFormat/>
    <w:rsid w:val="00BA59F9"/>
    <w:pPr>
      <w:keepNext/>
      <w:jc w:val="center"/>
      <w:outlineLvl w:val="5"/>
    </w:pPr>
    <w:rPr>
      <w:rFonts w:ascii="Calibri" w:hAnsi="Calibri" w:cs="Arial"/>
      <w:b/>
      <w:bCs/>
      <w:sz w:val="20"/>
      <w:szCs w:val="20"/>
    </w:rPr>
  </w:style>
  <w:style w:type="paragraph" w:styleId="Heading7">
    <w:name w:val="heading 7"/>
    <w:basedOn w:val="Normal"/>
    <w:next w:val="Normal"/>
    <w:link w:val="Heading7Char"/>
    <w:qFormat/>
    <w:rsid w:val="00BA59F9"/>
    <w:pPr>
      <w:keepNext/>
      <w:jc w:val="center"/>
      <w:outlineLvl w:val="6"/>
    </w:pPr>
    <w:rPr>
      <w:rFonts w:ascii="Calibri" w:hAnsi="Calibri" w:cs="Arial"/>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ascii="Calibri" w:hAnsi="Calibri" w:cs="Arial"/>
      <w:i/>
      <w:iCs/>
    </w:rPr>
  </w:style>
  <w:style w:type="paragraph" w:styleId="Heading9">
    <w:name w:val="heading 9"/>
    <w:basedOn w:val="Normal"/>
    <w:next w:val="Normal"/>
    <w:link w:val="Heading9Char"/>
    <w:uiPriority w:val="99"/>
    <w:qFormat/>
    <w:rsid w:val="00BA59F9"/>
    <w:pPr>
      <w:keepNext/>
      <w:jc w:val="cente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link w:val="Heading6"/>
    <w:locked/>
    <w:rsid w:val="005D4850"/>
    <w:rPr>
      <w:rFonts w:ascii="Calibri" w:hAnsi="Calibri" w:cs="Arial"/>
      <w:b/>
      <w:bCs/>
      <w:lang w:eastAsia="ar-SA" w:bidi="ar-SA"/>
    </w:rPr>
  </w:style>
  <w:style w:type="character" w:customStyle="1" w:styleId="Heading7Char">
    <w:name w:val="Heading 7 Char"/>
    <w:link w:val="Heading7"/>
    <w:locked/>
    <w:rsid w:val="005D4850"/>
    <w:rPr>
      <w:rFonts w:ascii="Calibri" w:hAnsi="Calibri" w:cs="Arial"/>
      <w:sz w:val="24"/>
      <w:szCs w:val="24"/>
      <w:lang w:eastAsia="ar-SA" w:bidi="ar-SA"/>
    </w:rPr>
  </w:style>
  <w:style w:type="character" w:customStyle="1" w:styleId="Heading8Char">
    <w:name w:val="Heading 8 Char"/>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link w:val="Heading9"/>
    <w:uiPriority w:val="99"/>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rPr>
  </w:style>
  <w:style w:type="character" w:customStyle="1" w:styleId="BodyTextChar">
    <w:name w:val="Body Text Char"/>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style>
  <w:style w:type="character" w:customStyle="1" w:styleId="BodyTextIndentChar">
    <w:name w:val="Body Text Indent Char"/>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semiHidden/>
    <w:rsid w:val="00BA59F9"/>
    <w:pPr>
      <w:jc w:val="lowKashida"/>
    </w:pPr>
  </w:style>
  <w:style w:type="character" w:customStyle="1" w:styleId="BodyText2Char">
    <w:name w:val="Body Text 2 Char"/>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uiPriority w:val="99"/>
    <w:qFormat/>
    <w:rsid w:val="00BA59F9"/>
    <w:pPr>
      <w:jc w:val="center"/>
    </w:pPr>
    <w:rPr>
      <w:rFonts w:ascii="Cambria" w:hAnsi="Cambria"/>
      <w:b/>
      <w:bCs/>
      <w:kern w:val="28"/>
      <w:sz w:val="32"/>
      <w:szCs w:val="32"/>
    </w:rPr>
  </w:style>
  <w:style w:type="character" w:customStyle="1" w:styleId="TitleChar">
    <w:name w:val="Title Char"/>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uiPriority w:val="99"/>
    <w:semiHidden/>
    <w:rsid w:val="00BA59F9"/>
    <w:rPr>
      <w:rFonts w:cs="Times New Roman"/>
      <w:color w:val="800080"/>
      <w:u w:val="single"/>
    </w:rPr>
  </w:style>
  <w:style w:type="character" w:styleId="PageNumber">
    <w:name w:val="page number"/>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style>
  <w:style w:type="character" w:customStyle="1" w:styleId="BodyTextIndent2Char">
    <w:name w:val="Body Text Indent 2 Char"/>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sz w:val="16"/>
      <w:szCs w:val="16"/>
    </w:rPr>
  </w:style>
  <w:style w:type="character" w:customStyle="1" w:styleId="BodyText3Char">
    <w:name w:val="Body Text 3 Char"/>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sz w:val="16"/>
      <w:szCs w:val="16"/>
    </w:rPr>
  </w:style>
  <w:style w:type="character" w:customStyle="1" w:styleId="BodyTextIndent3Char">
    <w:name w:val="Body Text Indent 3 Char"/>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locked/>
    <w:rsid w:val="0005523C"/>
    <w:pPr>
      <w:overflowPunct w:val="0"/>
      <w:autoSpaceDE w:val="0"/>
      <w:autoSpaceDN w:val="0"/>
      <w:bidi w:val="0"/>
      <w:adjustRightInd w:val="0"/>
      <w:textAlignment w:val="baseline"/>
    </w:pPr>
    <w:rPr>
      <w:sz w:val="20"/>
      <w:szCs w:val="20"/>
    </w:rPr>
  </w:style>
  <w:style w:type="character" w:customStyle="1" w:styleId="FootnoteTextChar">
    <w:name w:val="Footnote Text Char"/>
    <w:link w:val="FootnoteText"/>
    <w:uiPriority w:val="99"/>
    <w:semiHidden/>
    <w:rsid w:val="0005523C"/>
    <w:rPr>
      <w:sz w:val="20"/>
      <w:szCs w:val="20"/>
    </w:rPr>
  </w:style>
  <w:style w:type="character" w:styleId="FootnoteReference">
    <w:name w:val="footnote reference"/>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b/>
      <w:bCs/>
    </w:rPr>
  </w:style>
  <w:style w:type="character" w:customStyle="1" w:styleId="SubtitleChar">
    <w:name w:val="Subtitle Char"/>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style>
  <w:style w:type="paragraph" w:styleId="CommentSubject">
    <w:name w:val="annotation subject"/>
    <w:basedOn w:val="CommentText"/>
    <w:next w:val="CommentText"/>
    <w:link w:val="CommentSubjectChar"/>
    <w:uiPriority w:val="99"/>
    <w:semiHidden/>
    <w:unhideWhenUsed/>
    <w:locked/>
    <w:rsid w:val="00696754"/>
    <w:pPr>
      <w:spacing w:after="200"/>
    </w:pPr>
    <w:rPr>
      <w:b/>
      <w:bCs/>
    </w:rPr>
  </w:style>
  <w:style w:type="character" w:customStyle="1" w:styleId="CommentSubjectChar1">
    <w:name w:val="Comment Subject Char1"/>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color w:val="365F91"/>
      <w:sz w:val="28"/>
      <w:szCs w:val="28"/>
      <w:lang w:eastAsia="en-US"/>
    </w:rPr>
  </w:style>
  <w:style w:type="paragraph" w:styleId="HTMLPreformatted">
    <w:name w:val="HTML Preformatted"/>
    <w:basedOn w:val="Normal"/>
    <w:link w:val="HTMLPreformattedChar"/>
    <w:uiPriority w:val="99"/>
    <w:semiHidden/>
    <w:locked/>
    <w:rsid w:val="00194802"/>
    <w:rPr>
      <w:rFonts w:ascii="Courier New" w:hAnsi="Courier New"/>
      <w:snapToGrid w:val="0"/>
      <w:sz w:val="20"/>
      <w:szCs w:val="20"/>
    </w:rPr>
  </w:style>
  <w:style w:type="character" w:customStyle="1" w:styleId="HTMLPreformattedChar">
    <w:name w:val="HTML Preformatted Char"/>
    <w:link w:val="HTMLPreformatted"/>
    <w:uiPriority w:val="99"/>
    <w:semiHidden/>
    <w:rsid w:val="00194802"/>
    <w:rPr>
      <w:rFonts w:ascii="Courier New" w:hAnsi="Courier New" w:cs="Courier New"/>
      <w:snapToGrid w:val="0"/>
    </w:r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chart" Target="charts/chart28.xml"/><Relationship Id="rId21" Type="http://schemas.openxmlformats.org/officeDocument/2006/relationships/chart" Target="charts/chart10.xml"/><Relationship Id="rId34" Type="http://schemas.openxmlformats.org/officeDocument/2006/relationships/chart" Target="charts/chart23.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chart" Target="charts/chart39.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chart" Target="charts/chart18.xml"/><Relationship Id="rId41" Type="http://schemas.openxmlformats.org/officeDocument/2006/relationships/chart" Target="charts/chart30.xm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3.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10" Type="http://schemas.openxmlformats.org/officeDocument/2006/relationships/chart" Target="charts/chart1.xml"/><Relationship Id="rId19" Type="http://schemas.openxmlformats.org/officeDocument/2006/relationships/chart" Target="charts/chart8.xml"/><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chart" Target="charts/chart40.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Office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Office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Office_Excel_Worksheet41.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Office_Excel_Worksheet4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3639575971734543E-2"/>
          <c:y val="0.2088888888888889"/>
          <c:w val="0.869300568198206"/>
          <c:h val="0.68688827923659068"/>
        </c:manualLayout>
      </c:layout>
      <c:barChart>
        <c:barDir val="col"/>
        <c:grouping val="percentStacked"/>
        <c:ser>
          <c:idx val="0"/>
          <c:order val="0"/>
          <c:tx>
            <c:strRef>
              <c:f>Sheet1!$A$2</c:f>
              <c:strCache>
                <c:ptCount val="1"/>
                <c:pt idx="0">
                  <c:v>0-14 years</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39.4</c:v>
                </c:pt>
                <c:pt idx="1">
                  <c:v>37.1</c:v>
                </c:pt>
                <c:pt idx="2">
                  <c:v>42.8</c:v>
                </c:pt>
              </c:numCache>
            </c:numRef>
          </c:val>
        </c:ser>
        <c:ser>
          <c:idx val="1"/>
          <c:order val="1"/>
          <c:tx>
            <c:strRef>
              <c:f>Sheet1!$A$3</c:f>
              <c:strCache>
                <c:ptCount val="1"/>
                <c:pt idx="0">
                  <c:v>15-29 years</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General</c:formatCode>
                <c:ptCount val="3"/>
                <c:pt idx="0">
                  <c:v>30</c:v>
                </c:pt>
                <c:pt idx="1">
                  <c:v>30.1</c:v>
                </c:pt>
                <c:pt idx="2">
                  <c:v>29.8</c:v>
                </c:pt>
              </c:numCache>
            </c:numRef>
          </c:val>
        </c:ser>
        <c:ser>
          <c:idx val="2"/>
          <c:order val="2"/>
          <c:tx>
            <c:strRef>
              <c:f>Sheet1!$A$4</c:f>
              <c:strCache>
                <c:ptCount val="1"/>
                <c:pt idx="0">
                  <c:v>30-49 years</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Sheet1!$B$4:$D$4</c:f>
              <c:numCache>
                <c:formatCode>General</c:formatCode>
                <c:ptCount val="3"/>
                <c:pt idx="0">
                  <c:v>20.5</c:v>
                </c:pt>
                <c:pt idx="1">
                  <c:v>21.8</c:v>
                </c:pt>
                <c:pt idx="2">
                  <c:v>18.7</c:v>
                </c:pt>
              </c:numCache>
            </c:numRef>
          </c:val>
        </c:ser>
        <c:ser>
          <c:idx val="3"/>
          <c:order val="3"/>
          <c:tx>
            <c:strRef>
              <c:f>Sheet1!$A$5</c:f>
              <c:strCache>
                <c:ptCount val="1"/>
                <c:pt idx="0">
                  <c:v>50-64 years</c:v>
                </c:pt>
              </c:strCache>
            </c:strRef>
          </c:tx>
          <c:spPr>
            <a:noFill/>
          </c:spPr>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Sheet1!$B$5:$D$5</c:f>
              <c:numCache>
                <c:formatCode>General</c:formatCode>
                <c:ptCount val="3"/>
                <c:pt idx="0">
                  <c:v>7.1</c:v>
                </c:pt>
                <c:pt idx="1">
                  <c:v>7.7</c:v>
                </c:pt>
                <c:pt idx="2">
                  <c:v>6.2</c:v>
                </c:pt>
              </c:numCache>
            </c:numRef>
          </c:val>
        </c:ser>
        <c:ser>
          <c:idx val="4"/>
          <c:order val="4"/>
          <c:tx>
            <c:strRef>
              <c:f>Sheet1!$A$6</c:f>
              <c:strCache>
                <c:ptCount val="1"/>
                <c:pt idx="0">
                  <c:v>65 years and above
</c:v>
                </c:pt>
              </c:strCache>
            </c:strRef>
          </c:tx>
          <c:dLbls>
            <c:dLbl>
              <c:idx val="0"/>
              <c:layout>
                <c:manualLayout>
                  <c:x val="0"/>
                  <c:y val="-3.9716312056737611E-2"/>
                </c:manualLayout>
              </c:layout>
              <c:dLblPos val="ctr"/>
              <c:showVal val="1"/>
            </c:dLbl>
            <c:dLbl>
              <c:idx val="1"/>
              <c:layout>
                <c:manualLayout>
                  <c:x val="0"/>
                  <c:y val="-3.4042553191489362E-2"/>
                </c:manualLayout>
              </c:layout>
              <c:dLblPos val="ctr"/>
              <c:showVal val="1"/>
            </c:dLbl>
            <c:dLbl>
              <c:idx val="2"/>
              <c:layout>
                <c:manualLayout>
                  <c:x val="-2.3068050749711637E-3"/>
                  <c:y val="-4.5390070921987317E-2"/>
                </c:manualLayout>
              </c:layout>
              <c:dLblPos val="ctr"/>
              <c:showVal val="1"/>
            </c:dLbl>
            <c:numFmt formatCode="#,##0.0" sourceLinked="0"/>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Sheet1!$B$6:$D$6</c:f>
              <c:numCache>
                <c:formatCode>General</c:formatCode>
                <c:ptCount val="3"/>
                <c:pt idx="0">
                  <c:v>3</c:v>
                </c:pt>
                <c:pt idx="1">
                  <c:v>3.3</c:v>
                </c:pt>
                <c:pt idx="2">
                  <c:v>2.5</c:v>
                </c:pt>
              </c:numCache>
            </c:numRef>
          </c:val>
        </c:ser>
        <c:overlap val="100"/>
        <c:axId val="128401792"/>
        <c:axId val="128403328"/>
      </c:barChart>
      <c:catAx>
        <c:axId val="128401792"/>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28403328"/>
        <c:crosses val="autoZero"/>
        <c:auto val="1"/>
        <c:lblAlgn val="ctr"/>
        <c:lblOffset val="100"/>
      </c:catAx>
      <c:valAx>
        <c:axId val="128403328"/>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28401792"/>
        <c:crosses val="autoZero"/>
        <c:crossBetween val="between"/>
      </c:valAx>
    </c:plotArea>
    <c:legend>
      <c:legendPos val="t"/>
      <c:layout>
        <c:manualLayout>
          <c:xMode val="edge"/>
          <c:yMode val="edge"/>
          <c:x val="4.838597422513212E-2"/>
          <c:y val="2.3809693471574064E-2"/>
          <c:w val="0.92396551554651163"/>
          <c:h val="9.5890072564459305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noFill/>
    <a:ln>
      <a:noFill/>
    </a:ln>
  </c:spPr>
  <c:txPr>
    <a:bodyPr/>
    <a:lstStyle/>
    <a:p>
      <a:pPr>
        <a:defRPr sz="899"/>
      </a:pPr>
      <a:endParaRPr lang="en-US"/>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41724621771676135"/>
          <c:y val="7.2765756132335505E-2"/>
          <c:w val="0.55749856569133649"/>
          <c:h val="0.77427489984804565"/>
        </c:manualLayout>
      </c:layout>
      <c:barChart>
        <c:barDir val="bar"/>
        <c:grouping val="clustered"/>
        <c:ser>
          <c:idx val="0"/>
          <c:order val="0"/>
          <c:tx>
            <c:strRef>
              <c:f>Sheet1!$B$1</c:f>
              <c:strCache>
                <c:ptCount val="1"/>
                <c:pt idx="0">
                  <c:v>Palestine</c:v>
                </c:pt>
              </c:strCache>
            </c:strRef>
          </c:tx>
          <c:dLbls>
            <c:dLbl>
              <c:idx val="5"/>
              <c:layout>
                <c:manualLayout>
                  <c:x val="9.0348242552155209E-3"/>
                  <c:y val="1.3818483215913847E-2"/>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Sheet1!$B$2:$B$8</c:f>
              <c:numCache>
                <c:formatCode>0.0</c:formatCode>
                <c:ptCount val="7"/>
                <c:pt idx="0">
                  <c:v>37.700000000000003</c:v>
                </c:pt>
                <c:pt idx="1">
                  <c:v>7.3</c:v>
                </c:pt>
                <c:pt idx="2">
                  <c:v>10.7</c:v>
                </c:pt>
                <c:pt idx="3">
                  <c:v>30.3</c:v>
                </c:pt>
                <c:pt idx="4">
                  <c:v>13.3</c:v>
                </c:pt>
                <c:pt idx="5">
                  <c:v>0.30000000000000032</c:v>
                </c:pt>
                <c:pt idx="6">
                  <c:v>0.4</c:v>
                </c:pt>
              </c:numCache>
            </c:numRef>
          </c:val>
        </c:ser>
        <c:ser>
          <c:idx val="1"/>
          <c:order val="1"/>
          <c:tx>
            <c:strRef>
              <c:f>Sheet1!$C$1</c:f>
              <c:strCache>
                <c:ptCount val="1"/>
                <c:pt idx="0">
                  <c:v>West Bank</c:v>
                </c:pt>
              </c:strCache>
            </c:strRef>
          </c:tx>
          <c:dLbls>
            <c:dLbl>
              <c:idx val="1"/>
              <c:layout>
                <c:manualLayout>
                  <c:x val="7.104795737122558E-3"/>
                  <c:y val="-5.1063829787234095E-2"/>
                </c:manualLayout>
              </c:layout>
              <c:dLblPos val="outEnd"/>
              <c:showVal val="1"/>
            </c:dLbl>
            <c:dLbl>
              <c:idx val="2"/>
              <c:layout>
                <c:manualLayout>
                  <c:x val="-2.3682652457075286E-3"/>
                  <c:y val="-5.106382978723404E-2"/>
                </c:manualLayout>
              </c:layout>
              <c:dLblPos val="outEnd"/>
              <c:showVal val="1"/>
            </c:dLbl>
            <c:dLbl>
              <c:idx val="6"/>
              <c:layout>
                <c:manualLayout>
                  <c:x val="0"/>
                  <c:y val="-7.8333171316548635E-3"/>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Sheet1!$C$2:$C$8</c:f>
              <c:numCache>
                <c:formatCode>0.0</c:formatCode>
                <c:ptCount val="7"/>
                <c:pt idx="0">
                  <c:v>56.3</c:v>
                </c:pt>
                <c:pt idx="1">
                  <c:v>10.4</c:v>
                </c:pt>
                <c:pt idx="2">
                  <c:v>14.2</c:v>
                </c:pt>
                <c:pt idx="3">
                  <c:v>16.5</c:v>
                </c:pt>
                <c:pt idx="4">
                  <c:v>1.7</c:v>
                </c:pt>
                <c:pt idx="5">
                  <c:v>0.30000000000000032</c:v>
                </c:pt>
                <c:pt idx="6">
                  <c:v>0.60000000000000064</c:v>
                </c:pt>
              </c:numCache>
            </c:numRef>
          </c:val>
        </c:ser>
        <c:ser>
          <c:idx val="2"/>
          <c:order val="2"/>
          <c:tx>
            <c:strRef>
              <c:f>Sheet1!$D$1</c:f>
              <c:strCache>
                <c:ptCount val="1"/>
                <c:pt idx="0">
                  <c:v>Gaza strip</c:v>
                </c:pt>
              </c:strCache>
            </c:strRef>
          </c:tx>
          <c:dLbls>
            <c:dLbl>
              <c:idx val="5"/>
              <c:layout>
                <c:manualLayout>
                  <c:x val="4.6941039586546529E-3"/>
                  <c:y val="-1.0526315789473684E-2"/>
                </c:manualLayout>
              </c:layout>
              <c:dLblPos val="outEnd"/>
              <c:showVal val="1"/>
            </c:dLbl>
            <c:dLbl>
              <c:idx val="6"/>
              <c:layout>
                <c:manualLayout>
                  <c:x val="2.2948938611589299E-3"/>
                  <c:y val="-1.9753086419753131E-2"/>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Sheet1!$D$2:$D$8</c:f>
              <c:numCache>
                <c:formatCode>0.0</c:formatCode>
                <c:ptCount val="7"/>
                <c:pt idx="0">
                  <c:v>5.8</c:v>
                </c:pt>
                <c:pt idx="1">
                  <c:v>2.1</c:v>
                </c:pt>
                <c:pt idx="2">
                  <c:v>4.5999999999999996</c:v>
                </c:pt>
                <c:pt idx="3">
                  <c:v>54</c:v>
                </c:pt>
                <c:pt idx="4">
                  <c:v>33.300000000000004</c:v>
                </c:pt>
                <c:pt idx="5">
                  <c:v>0.2</c:v>
                </c:pt>
                <c:pt idx="6">
                  <c:v>0</c:v>
                </c:pt>
              </c:numCache>
            </c:numRef>
          </c:val>
        </c:ser>
        <c:dLbls>
          <c:showVal val="1"/>
        </c:dLbls>
        <c:axId val="166418688"/>
        <c:axId val="166432768"/>
      </c:barChart>
      <c:catAx>
        <c:axId val="166418688"/>
        <c:scaling>
          <c:orientation val="minMax"/>
        </c:scaling>
        <c:axPos val="l"/>
        <c:numFmt formatCode="General" sourceLinked="1"/>
        <c:tickLblPos val="nextTo"/>
        <c:txPr>
          <a:bodyPr/>
          <a:lstStyle/>
          <a:p>
            <a:pPr>
              <a:defRPr sz="899">
                <a:latin typeface="Arial" pitchFamily="34" charset="0"/>
                <a:cs typeface="Arial" pitchFamily="34" charset="0"/>
              </a:defRPr>
            </a:pPr>
            <a:endParaRPr lang="en-US"/>
          </a:p>
        </c:txPr>
        <c:crossAx val="166432768"/>
        <c:crosses val="autoZero"/>
        <c:auto val="1"/>
        <c:lblAlgn val="ctr"/>
        <c:lblOffset val="100"/>
      </c:catAx>
      <c:valAx>
        <c:axId val="166432768"/>
        <c:scaling>
          <c:orientation val="minMax"/>
        </c:scaling>
        <c:axPos val="b"/>
        <c:numFmt formatCode="General" sourceLinked="0"/>
        <c:tickLblPos val="nextTo"/>
        <c:txPr>
          <a:bodyPr/>
          <a:lstStyle/>
          <a:p>
            <a:pPr>
              <a:defRPr>
                <a:latin typeface="Arial" pitchFamily="34" charset="0"/>
                <a:cs typeface="Arial" pitchFamily="34" charset="0"/>
              </a:defRPr>
            </a:pPr>
            <a:endParaRPr lang="en-US"/>
          </a:p>
        </c:txPr>
        <c:crossAx val="166418688"/>
        <c:crosses val="autoZero"/>
        <c:crossBetween val="between"/>
      </c:valAx>
    </c:plotArea>
    <c:legend>
      <c:legendPos val="t"/>
      <c:layout>
        <c:manualLayout>
          <c:xMode val="edge"/>
          <c:yMode val="edge"/>
          <c:x val="0.54345935353971164"/>
          <c:y val="2.3938336821821386E-2"/>
          <c:w val="0.38539891417682504"/>
          <c:h val="5.2508721219974082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899"/>
      </a:pPr>
      <a:endParaRPr lang="en-US"/>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38320987654320987"/>
          <c:y val="2.4673575882066253E-2"/>
          <c:w val="0.54564189577313116"/>
          <c:h val="0.90493331190743853"/>
        </c:manualLayout>
      </c:layout>
      <c:barChart>
        <c:barDir val="bar"/>
        <c:grouping val="clustered"/>
        <c:ser>
          <c:idx val="0"/>
          <c:order val="0"/>
          <c:tx>
            <c:strRef>
              <c:f>Sheet1!$B$1</c:f>
              <c:strCache>
                <c:ptCount val="1"/>
                <c:pt idx="0">
                  <c:v>Palestine</c:v>
                </c:pt>
              </c:strCache>
            </c:strRef>
          </c:tx>
          <c:dLbls>
            <c:dLbl>
              <c:idx val="3"/>
              <c:layout>
                <c:manualLayout>
                  <c:x val="0"/>
                  <c:y val="-4.7430830039525897E-2"/>
                </c:manualLayout>
              </c:layout>
              <c:dLblPos val="outEnd"/>
              <c:showVal val="1"/>
            </c:dLbl>
            <c:dLbl>
              <c:idx val="5"/>
              <c:layout>
                <c:manualLayout>
                  <c:x val="-1.3914107955948159E-2"/>
                  <c:y val="-8.9077315534713193E-17"/>
                </c:manualLayout>
              </c:layout>
              <c:dLblPos val="outEnd"/>
              <c:showVal val="1"/>
            </c:dLbl>
            <c:dLbl>
              <c:idx val="6"/>
              <c:layout>
                <c:manualLayout>
                  <c:x val="-8.9786679349645321E-3"/>
                  <c:y val="1.2534147517274626E-4"/>
                </c:manualLayout>
              </c:layout>
              <c:dLblPos val="outEnd"/>
              <c:showVal val="1"/>
            </c:dLbl>
            <c:txPr>
              <a:bodyPr rot="0" vert="horz" anchor="t" anchorCtr="0"/>
              <a:lstStyle/>
              <a:p>
                <a:pPr>
                  <a:defRPr sz="800">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Sheet1!$B$2:$B$8</c:f>
              <c:numCache>
                <c:formatCode>0.0</c:formatCode>
                <c:ptCount val="7"/>
                <c:pt idx="0">
                  <c:v>61.8</c:v>
                </c:pt>
                <c:pt idx="1">
                  <c:v>3</c:v>
                </c:pt>
                <c:pt idx="2">
                  <c:v>0.8</c:v>
                </c:pt>
                <c:pt idx="3">
                  <c:v>1</c:v>
                </c:pt>
                <c:pt idx="4">
                  <c:v>33.300000000000004</c:v>
                </c:pt>
                <c:pt idx="5">
                  <c:v>0</c:v>
                </c:pt>
                <c:pt idx="6">
                  <c:v>0.1</c:v>
                </c:pt>
              </c:numCache>
            </c:numRef>
          </c:val>
        </c:ser>
        <c:ser>
          <c:idx val="1"/>
          <c:order val="1"/>
          <c:tx>
            <c:strRef>
              <c:f>Sheet1!$C$1</c:f>
              <c:strCache>
                <c:ptCount val="1"/>
                <c:pt idx="0">
                  <c:v>West Bank</c:v>
                </c:pt>
              </c:strCache>
            </c:strRef>
          </c:tx>
          <c:dLbls>
            <c:dLbl>
              <c:idx val="1"/>
              <c:layout>
                <c:manualLayout>
                  <c:x val="0"/>
                  <c:y val="-6.3241106719367349E-2"/>
                </c:manualLayout>
              </c:layout>
              <c:dLblPos val="outEnd"/>
              <c:showVal val="1"/>
            </c:dLbl>
            <c:dLbl>
              <c:idx val="2"/>
              <c:layout>
                <c:manualLayout>
                  <c:x val="0"/>
                  <c:y val="-4.7430830039525897E-2"/>
                </c:manualLayout>
              </c:layout>
              <c:dLblPos val="outEnd"/>
              <c:showVal val="1"/>
            </c:dLbl>
            <c:dLbl>
              <c:idx val="3"/>
              <c:layout>
                <c:manualLayout>
                  <c:x val="0"/>
                  <c:y val="2.2675736961451313E-2"/>
                </c:manualLayout>
              </c:layout>
              <c:dLblPos val="outEnd"/>
              <c:showVal val="1"/>
            </c:dLbl>
            <c:dLbl>
              <c:idx val="6"/>
              <c:layout>
                <c:manualLayout>
                  <c:x val="0"/>
                  <c:y val="-1.0688663917010373E-2"/>
                </c:manualLayout>
              </c:layout>
              <c:dLblPos val="outEnd"/>
              <c:showVal val="1"/>
            </c:dLbl>
            <c:txPr>
              <a:bodyPr rot="0" vert="horz" anchor="t" anchorCtr="0"/>
              <a:lstStyle/>
              <a:p>
                <a:pPr>
                  <a:defRPr sz="800">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Sheet1!$C$2:$C$8</c:f>
              <c:numCache>
                <c:formatCode>0.0</c:formatCode>
                <c:ptCount val="7"/>
                <c:pt idx="0">
                  <c:v>93.3</c:v>
                </c:pt>
                <c:pt idx="1">
                  <c:v>4.4000000000000004</c:v>
                </c:pt>
                <c:pt idx="2">
                  <c:v>1.1000000000000001</c:v>
                </c:pt>
                <c:pt idx="3">
                  <c:v>0.9</c:v>
                </c:pt>
                <c:pt idx="4">
                  <c:v>0.2</c:v>
                </c:pt>
                <c:pt idx="5">
                  <c:v>0</c:v>
                </c:pt>
                <c:pt idx="6">
                  <c:v>0.1</c:v>
                </c:pt>
              </c:numCache>
            </c:numRef>
          </c:val>
        </c:ser>
        <c:ser>
          <c:idx val="2"/>
          <c:order val="2"/>
          <c:tx>
            <c:strRef>
              <c:f>Sheet1!$D$1</c:f>
              <c:strCache>
                <c:ptCount val="1"/>
                <c:pt idx="0">
                  <c:v>Gaza strip</c:v>
                </c:pt>
              </c:strCache>
            </c:strRef>
          </c:tx>
          <c:dLbls>
            <c:dLbl>
              <c:idx val="2"/>
              <c:layout>
                <c:manualLayout>
                  <c:x val="3.1425364758698095E-2"/>
                  <c:y val="5.2700922266139798E-3"/>
                </c:manualLayout>
              </c:layout>
              <c:dLblPos val="outEnd"/>
              <c:showVal val="1"/>
            </c:dLbl>
            <c:dLbl>
              <c:idx val="3"/>
              <c:layout>
                <c:manualLayout>
                  <c:x val="2.0202020202020211E-2"/>
                  <c:y val="-7.9051383399209488E-2"/>
                </c:manualLayout>
              </c:layout>
              <c:dLblPos val="outEnd"/>
              <c:showVal val="1"/>
            </c:dLbl>
            <c:dLbl>
              <c:idx val="5"/>
              <c:layout>
                <c:manualLayout>
                  <c:x val="4.8017403864785537E-3"/>
                  <c:y val="-1.3605442176870748E-2"/>
                </c:manualLayout>
              </c:layout>
              <c:dLblPos val="outEnd"/>
              <c:showVal val="1"/>
            </c:dLbl>
            <c:dLbl>
              <c:idx val="6"/>
              <c:layout>
                <c:manualLayout>
                  <c:x val="4.4742729306487825E-3"/>
                  <c:y val="-3.1746031746031744E-2"/>
                </c:manualLayout>
              </c:layout>
              <c:dLblPos val="outEnd"/>
              <c:showVal val="1"/>
            </c:dLbl>
            <c:txPr>
              <a:bodyPr rot="0" vert="horz" anchor="t" anchorCtr="0"/>
              <a:lstStyle/>
              <a:p>
                <a:pPr>
                  <a:defRPr sz="800">
                    <a:latin typeface="Arial" pitchFamily="34" charset="0"/>
                    <a:cs typeface="Arial" pitchFamily="34" charset="0"/>
                  </a:defRPr>
                </a:pPr>
                <a:endParaRPr lang="en-US"/>
              </a:p>
            </c:txPr>
            <c:showVal val="1"/>
          </c:dLbls>
          <c:cat>
            <c:strRef>
              <c:f>Sheet1!$A$2:$A$8</c:f>
              <c:strCache>
                <c:ptCount val="7"/>
                <c:pt idx="0">
                  <c:v>Service continuously available</c:v>
                </c:pt>
                <c:pt idx="1">
                  <c:v>Service disrupted once a month</c:v>
                </c:pt>
                <c:pt idx="2">
                  <c:v>Service disrupted once a week</c:v>
                </c:pt>
                <c:pt idx="3">
                  <c:v>Service disrupted more than once a week</c:v>
                </c:pt>
                <c:pt idx="4">
                  <c:v>Service disrupted on daily basis</c:v>
                </c:pt>
                <c:pt idx="5">
                  <c:v>Network not operating</c:v>
                </c:pt>
                <c:pt idx="6">
                  <c:v>Other</c:v>
                </c:pt>
              </c:strCache>
            </c:strRef>
          </c:cat>
          <c:val>
            <c:numRef>
              <c:f>Sheet1!$D$2:$D$8</c:f>
              <c:numCache>
                <c:formatCode>0.0</c:formatCode>
                <c:ptCount val="7"/>
                <c:pt idx="0">
                  <c:v>1.7</c:v>
                </c:pt>
                <c:pt idx="1">
                  <c:v>0.2</c:v>
                </c:pt>
                <c:pt idx="2">
                  <c:v>0.30000000000000032</c:v>
                </c:pt>
                <c:pt idx="3">
                  <c:v>1.1000000000000001</c:v>
                </c:pt>
                <c:pt idx="4">
                  <c:v>96.6</c:v>
                </c:pt>
                <c:pt idx="5">
                  <c:v>0.1</c:v>
                </c:pt>
                <c:pt idx="6">
                  <c:v>0</c:v>
                </c:pt>
              </c:numCache>
            </c:numRef>
          </c:val>
        </c:ser>
        <c:dLbls>
          <c:showVal val="1"/>
        </c:dLbls>
        <c:axId val="166475648"/>
        <c:axId val="166477184"/>
      </c:barChart>
      <c:catAx>
        <c:axId val="166475648"/>
        <c:scaling>
          <c:orientation val="minMax"/>
        </c:scaling>
        <c:axPos val="l"/>
        <c:numFmt formatCode="General" sourceLinked="1"/>
        <c:tickLblPos val="nextTo"/>
        <c:txPr>
          <a:bodyPr/>
          <a:lstStyle/>
          <a:p>
            <a:pPr>
              <a:defRPr sz="800">
                <a:latin typeface="Arial" pitchFamily="34" charset="0"/>
                <a:cs typeface="Arial" pitchFamily="34" charset="0"/>
              </a:defRPr>
            </a:pPr>
            <a:endParaRPr lang="en-US"/>
          </a:p>
        </c:txPr>
        <c:crossAx val="166477184"/>
        <c:crosses val="autoZero"/>
        <c:auto val="1"/>
        <c:lblAlgn val="ctr"/>
        <c:lblOffset val="100"/>
      </c:catAx>
      <c:valAx>
        <c:axId val="166477184"/>
        <c:scaling>
          <c:orientation val="minMax"/>
        </c:scaling>
        <c:axPos val="b"/>
        <c:numFmt formatCode="General" sourceLinked="0"/>
        <c:tickLblPos val="nextTo"/>
        <c:txPr>
          <a:bodyPr/>
          <a:lstStyle/>
          <a:p>
            <a:pPr>
              <a:defRPr sz="800">
                <a:latin typeface="Arial" pitchFamily="34" charset="0"/>
                <a:cs typeface="Arial" pitchFamily="34" charset="0"/>
              </a:defRPr>
            </a:pPr>
            <a:endParaRPr lang="en-US"/>
          </a:p>
        </c:txPr>
        <c:crossAx val="166475648"/>
        <c:crosses val="autoZero"/>
        <c:crossBetween val="between"/>
      </c:valAx>
    </c:plotArea>
    <c:legend>
      <c:legendPos val="t"/>
      <c:layout>
        <c:manualLayout>
          <c:xMode val="edge"/>
          <c:yMode val="edge"/>
          <c:x val="0.60997955657553182"/>
          <c:y val="4.2484433971301236E-2"/>
          <c:w val="0.37283407413269365"/>
          <c:h val="8.8933463609020075E-2"/>
        </c:manualLayout>
      </c:layout>
      <c:spPr>
        <a:ln>
          <a:solidFill>
            <a:srgbClr val="4F81BD"/>
          </a:solidFill>
        </a:ln>
      </c:spPr>
      <c:txPr>
        <a:bodyPr/>
        <a:lstStyle/>
        <a:p>
          <a:pPr>
            <a:defRPr sz="800">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31436405743399731"/>
          <c:y val="4.5971330506763566E-2"/>
          <c:w val="0.65536707911511061"/>
          <c:h val="0.86543912780133248"/>
        </c:manualLayout>
      </c:layout>
      <c:barChart>
        <c:barDir val="bar"/>
        <c:grouping val="clustered"/>
        <c:ser>
          <c:idx val="0"/>
          <c:order val="0"/>
          <c:tx>
            <c:strRef>
              <c:f>Sheet1!$B$1</c:f>
              <c:strCache>
                <c:ptCount val="1"/>
                <c:pt idx="0">
                  <c:v>Palestine</c:v>
                </c:pt>
              </c:strCache>
            </c:strRef>
          </c:tx>
          <c:dLbls>
            <c:dLbl>
              <c:idx val="4"/>
              <c:layout>
                <c:manualLayout>
                  <c:x val="0"/>
                  <c:y val="2.564102564102573E-2"/>
                </c:manualLayout>
              </c:layout>
              <c:dLblPos val="outEnd"/>
              <c:showVal val="1"/>
            </c:dLbl>
            <c:dLbl>
              <c:idx val="5"/>
              <c:layout>
                <c:manualLayout>
                  <c:x val="-1.3914107955948159E-2"/>
                  <c:y val="-8.9077315534713378E-17"/>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Sheet1!$A$2:$A$6</c:f>
              <c:strCache>
                <c:ptCount val="5"/>
                <c:pt idx="0">
                  <c:v>Transported via pipelines to the residence</c:v>
                </c:pt>
                <c:pt idx="1">
                  <c:v>Protected dug well</c:v>
                </c:pt>
                <c:pt idx="2">
                  <c:v>Rain water collection well</c:v>
                </c:pt>
                <c:pt idx="3">
                  <c:v>Tanks/ vehicle with small tank/ barrel</c:v>
                </c:pt>
                <c:pt idx="4">
                  <c:v>Bottled/ mineral water</c:v>
                </c:pt>
              </c:strCache>
            </c:strRef>
          </c:cat>
          <c:val>
            <c:numRef>
              <c:f>Sheet1!$B$2:$B$6</c:f>
              <c:numCache>
                <c:formatCode>0.0</c:formatCode>
                <c:ptCount val="5"/>
                <c:pt idx="0">
                  <c:v>63.2</c:v>
                </c:pt>
                <c:pt idx="1">
                  <c:v>9.2000000000000011</c:v>
                </c:pt>
                <c:pt idx="2">
                  <c:v>16.7</c:v>
                </c:pt>
                <c:pt idx="3">
                  <c:v>36.1</c:v>
                </c:pt>
                <c:pt idx="4">
                  <c:v>5.9</c:v>
                </c:pt>
              </c:numCache>
            </c:numRef>
          </c:val>
        </c:ser>
        <c:ser>
          <c:idx val="1"/>
          <c:order val="1"/>
          <c:tx>
            <c:strRef>
              <c:f>Sheet1!$C$1</c:f>
              <c:strCache>
                <c:ptCount val="1"/>
                <c:pt idx="0">
                  <c:v>West Bank</c:v>
                </c:pt>
              </c:strCache>
            </c:strRef>
          </c:tx>
          <c:dLbls>
            <c:dLbl>
              <c:idx val="6"/>
              <c:layout>
                <c:manualLayout>
                  <c:x val="0"/>
                  <c:y val="-2.4294093971850991E-2"/>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Sheet1!$A$2:$A$6</c:f>
              <c:strCache>
                <c:ptCount val="5"/>
                <c:pt idx="0">
                  <c:v>Transported via pipelines to the residence</c:v>
                </c:pt>
                <c:pt idx="1">
                  <c:v>Protected dug well</c:v>
                </c:pt>
                <c:pt idx="2">
                  <c:v>Rain water collection well</c:v>
                </c:pt>
                <c:pt idx="3">
                  <c:v>Tanks/ vehicle with small tank/ barrel</c:v>
                </c:pt>
                <c:pt idx="4">
                  <c:v>Bottled/ mineral water</c:v>
                </c:pt>
              </c:strCache>
            </c:strRef>
          </c:cat>
          <c:val>
            <c:numRef>
              <c:f>Sheet1!$C$2:$C$6</c:f>
              <c:numCache>
                <c:formatCode>0.0</c:formatCode>
                <c:ptCount val="5"/>
                <c:pt idx="0">
                  <c:v>92.9</c:v>
                </c:pt>
                <c:pt idx="1">
                  <c:v>13.6</c:v>
                </c:pt>
                <c:pt idx="2">
                  <c:v>25.2</c:v>
                </c:pt>
                <c:pt idx="3">
                  <c:v>10.7</c:v>
                </c:pt>
                <c:pt idx="4">
                  <c:v>8</c:v>
                </c:pt>
              </c:numCache>
            </c:numRef>
          </c:val>
        </c:ser>
        <c:ser>
          <c:idx val="2"/>
          <c:order val="2"/>
          <c:tx>
            <c:strRef>
              <c:f>Sheet1!$D$1</c:f>
              <c:strCache>
                <c:ptCount val="1"/>
                <c:pt idx="0">
                  <c:v>Gaza strip</c:v>
                </c:pt>
              </c:strCache>
            </c:strRef>
          </c:tx>
          <c:dLbls>
            <c:dLbl>
              <c:idx val="4"/>
              <c:layout>
                <c:manualLayout>
                  <c:x val="-2.2408963585434714E-3"/>
                  <c:y val="-2.564102564102573E-2"/>
                </c:manualLayout>
              </c:layout>
              <c:dLblPos val="outEnd"/>
              <c:showVal val="1"/>
            </c:dLbl>
            <c:dLbl>
              <c:idx val="5"/>
              <c:layout>
                <c:manualLayout>
                  <c:x val="9.2760719706321011E-3"/>
                  <c:y val="0"/>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Sheet1!$A$2:$A$6</c:f>
              <c:strCache>
                <c:ptCount val="5"/>
                <c:pt idx="0">
                  <c:v>Transported via pipelines to the residence</c:v>
                </c:pt>
                <c:pt idx="1">
                  <c:v>Protected dug well</c:v>
                </c:pt>
                <c:pt idx="2">
                  <c:v>Rain water collection well</c:v>
                </c:pt>
                <c:pt idx="3">
                  <c:v>Tanks/ vehicle with small tank/ barrel</c:v>
                </c:pt>
                <c:pt idx="4">
                  <c:v>Bottled/ mineral water</c:v>
                </c:pt>
              </c:strCache>
            </c:strRef>
          </c:cat>
          <c:val>
            <c:numRef>
              <c:f>Sheet1!$D$2:$D$6</c:f>
              <c:numCache>
                <c:formatCode>0.0</c:formatCode>
                <c:ptCount val="5"/>
                <c:pt idx="0">
                  <c:v>6.1</c:v>
                </c:pt>
                <c:pt idx="1">
                  <c:v>0.70000000000000062</c:v>
                </c:pt>
                <c:pt idx="2">
                  <c:v>0.2</c:v>
                </c:pt>
                <c:pt idx="3">
                  <c:v>84.8</c:v>
                </c:pt>
                <c:pt idx="4">
                  <c:v>2</c:v>
                </c:pt>
              </c:numCache>
            </c:numRef>
          </c:val>
        </c:ser>
        <c:dLbls>
          <c:showVal val="1"/>
        </c:dLbls>
        <c:axId val="166553088"/>
        <c:axId val="166554624"/>
      </c:barChart>
      <c:catAx>
        <c:axId val="166553088"/>
        <c:scaling>
          <c:orientation val="minMax"/>
        </c:scaling>
        <c:axPos val="l"/>
        <c:numFmt formatCode="General" sourceLinked="1"/>
        <c:tickLblPos val="nextTo"/>
        <c:txPr>
          <a:bodyPr/>
          <a:lstStyle/>
          <a:p>
            <a:pPr>
              <a:defRPr sz="901">
                <a:latin typeface="Arial" pitchFamily="34" charset="0"/>
                <a:cs typeface="Arial" pitchFamily="34" charset="0"/>
              </a:defRPr>
            </a:pPr>
            <a:endParaRPr lang="en-US"/>
          </a:p>
        </c:txPr>
        <c:crossAx val="166554624"/>
        <c:crosses val="autoZero"/>
        <c:auto val="1"/>
        <c:lblAlgn val="ctr"/>
        <c:lblOffset val="100"/>
      </c:catAx>
      <c:valAx>
        <c:axId val="166554624"/>
        <c:scaling>
          <c:orientation val="minMax"/>
        </c:scaling>
        <c:axPos val="b"/>
        <c:numFmt formatCode="General" sourceLinked="0"/>
        <c:tickLblPos val="nextTo"/>
        <c:txPr>
          <a:bodyPr/>
          <a:lstStyle/>
          <a:p>
            <a:pPr>
              <a:defRPr>
                <a:latin typeface="Arial" pitchFamily="34" charset="0"/>
                <a:cs typeface="Arial" pitchFamily="34" charset="0"/>
              </a:defRPr>
            </a:pPr>
            <a:endParaRPr lang="en-US"/>
          </a:p>
        </c:txPr>
        <c:crossAx val="166553088"/>
        <c:crosses val="autoZero"/>
        <c:crossBetween val="between"/>
      </c:valAx>
    </c:plotArea>
    <c:legend>
      <c:legendPos val="t"/>
      <c:layout>
        <c:manualLayout>
          <c:xMode val="edge"/>
          <c:yMode val="edge"/>
          <c:x val="0.59480676680120648"/>
          <c:y val="1.5461336563698769E-2"/>
          <c:w val="0.36548472617393546"/>
          <c:h val="8.6539067231980668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1"/>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41086956521740103"/>
          <c:y val="4.5312500000001497E-2"/>
          <c:w val="0.53695652173912956"/>
          <c:h val="0.88749999999999996"/>
        </c:manualLayout>
      </c:layout>
      <c:barChart>
        <c:barDir val="bar"/>
        <c:grouping val="clustered"/>
        <c:ser>
          <c:idx val="0"/>
          <c:order val="0"/>
          <c:tx>
            <c:strRef>
              <c:f>Sheet1!$B$1</c:f>
              <c:strCache>
                <c:ptCount val="1"/>
                <c:pt idx="0">
                  <c:v>Palestine</c:v>
                </c:pt>
              </c:strCache>
            </c:strRef>
          </c:tx>
          <c:dLbls>
            <c:txPr>
              <a:bodyPr/>
              <a:lstStyle/>
              <a:p>
                <a:pPr>
                  <a:defRPr>
                    <a:latin typeface="Arial" pitchFamily="34" charset="0"/>
                    <a:cs typeface="Arial" pitchFamily="34" charset="0"/>
                  </a:defRPr>
                </a:pPr>
                <a:endParaRPr lang="en-US"/>
              </a:p>
            </c:txPr>
            <c:showVal val="1"/>
          </c:dLbls>
          <c:cat>
            <c:strRef>
              <c:f>Sheet1!$A$2:$A$35</c:f>
              <c:strCache>
                <c:ptCount val="34"/>
                <c:pt idx="0">
                  <c:v>Gas/ electric cooker</c:v>
                </c:pt>
                <c:pt idx="1">
                  <c:v>Electric fridge</c:v>
                </c:pt>
                <c:pt idx="2">
                  <c:v>Satellite dish</c:v>
                </c:pt>
                <c:pt idx="3">
                  <c:v>Palestinian mobile line</c:v>
                </c:pt>
                <c:pt idx="4">
                  <c:v>Electric fan</c:v>
                </c:pt>
                <c:pt idx="5">
                  <c:v>Gas/ electric oven</c:v>
                </c:pt>
                <c:pt idx="6">
                  <c:v>regular TV</c:v>
                </c:pt>
                <c:pt idx="7">
                  <c:v>Heater</c:v>
                </c:pt>
                <c:pt idx="8">
                  <c:v>Solar heater</c:v>
                </c:pt>
                <c:pt idx="9">
                  <c:v> smart mobile phones</c:v>
                </c:pt>
                <c:pt idx="10">
                  <c:v>Regular washing machine</c:v>
                </c:pt>
                <c:pt idx="11">
                  <c:v>Water heater (wooden or boiler)</c:v>
                </c:pt>
                <c:pt idx="12">
                  <c:v>Automatic washing machine</c:v>
                </c:pt>
                <c:pt idx="13">
                  <c:v>Vacuum cleaner</c:v>
                </c:pt>
                <c:pt idx="14">
                  <c:v>Microwave</c:v>
                </c:pt>
                <c:pt idx="15">
                  <c:v> phone line</c:v>
                </c:pt>
                <c:pt idx="16">
                  <c:v>TV/ LCD/ LED/ S-D screen</c:v>
                </c:pt>
                <c:pt idx="17">
                  <c:v>computer (PC)</c:v>
                </c:pt>
                <c:pt idx="18">
                  <c:v>Computer (laptop)</c:v>
                </c:pt>
                <c:pt idx="19">
                  <c:v>Radio</c:v>
                </c:pt>
                <c:pt idx="20">
                  <c:v> Israeli mobile</c:v>
                </c:pt>
                <c:pt idx="21">
                  <c:v>Private car</c:v>
                </c:pt>
                <c:pt idx="22">
                  <c:v> home library</c:v>
                </c:pt>
                <c:pt idx="23">
                  <c:v>LC</c:v>
                </c:pt>
                <c:pt idx="24">
                  <c:v>IPAD/ Tablet</c:v>
                </c:pt>
                <c:pt idx="25">
                  <c:v>VCR/ DVD</c:v>
                </c:pt>
                <c:pt idx="26">
                  <c:v> Freezer</c:v>
                </c:pt>
                <c:pt idx="27">
                  <c:v>Kerosene cooker (babour)</c:v>
                </c:pt>
                <c:pt idx="28">
                  <c:v>Water Filter</c:v>
                </c:pt>
                <c:pt idx="29">
                  <c:v>Dryer</c:v>
                </c:pt>
                <c:pt idx="30">
                  <c:v>Dishwasher </c:v>
                </c:pt>
                <c:pt idx="31">
                  <c:v>Play station/ X-Box</c:v>
                </c:pt>
                <c:pt idx="32">
                  <c:v>Central heating</c:v>
                </c:pt>
                <c:pt idx="33">
                  <c:v> LC split unit</c:v>
                </c:pt>
              </c:strCache>
            </c:strRef>
          </c:cat>
          <c:val>
            <c:numRef>
              <c:f>Sheet1!$B$2:$B$35</c:f>
              <c:numCache>
                <c:formatCode>0.0</c:formatCode>
                <c:ptCount val="34"/>
                <c:pt idx="0">
                  <c:v>96.5</c:v>
                </c:pt>
                <c:pt idx="1">
                  <c:v>96.1</c:v>
                </c:pt>
                <c:pt idx="2">
                  <c:v>94.1</c:v>
                </c:pt>
                <c:pt idx="3">
                  <c:v>90.2</c:v>
                </c:pt>
                <c:pt idx="4">
                  <c:v>81</c:v>
                </c:pt>
                <c:pt idx="5">
                  <c:v>71.7</c:v>
                </c:pt>
                <c:pt idx="6">
                  <c:v>69.7</c:v>
                </c:pt>
                <c:pt idx="7">
                  <c:v>66.5</c:v>
                </c:pt>
                <c:pt idx="8">
                  <c:v>59.9</c:v>
                </c:pt>
                <c:pt idx="9">
                  <c:v>58.8</c:v>
                </c:pt>
                <c:pt idx="10">
                  <c:v>57.9</c:v>
                </c:pt>
                <c:pt idx="11">
                  <c:v>52.4</c:v>
                </c:pt>
                <c:pt idx="12">
                  <c:v>40</c:v>
                </c:pt>
                <c:pt idx="13">
                  <c:v>35</c:v>
                </c:pt>
                <c:pt idx="14">
                  <c:v>34.4</c:v>
                </c:pt>
                <c:pt idx="15">
                  <c:v>33.6</c:v>
                </c:pt>
                <c:pt idx="16">
                  <c:v>33.200000000000003</c:v>
                </c:pt>
                <c:pt idx="17">
                  <c:v>29.1</c:v>
                </c:pt>
                <c:pt idx="18">
                  <c:v>27</c:v>
                </c:pt>
                <c:pt idx="19">
                  <c:v>26.2</c:v>
                </c:pt>
                <c:pt idx="20">
                  <c:v>20.100000000000001</c:v>
                </c:pt>
                <c:pt idx="21">
                  <c:v>19.7</c:v>
                </c:pt>
                <c:pt idx="22">
                  <c:v>13.8</c:v>
                </c:pt>
                <c:pt idx="23">
                  <c:v>13.3</c:v>
                </c:pt>
                <c:pt idx="24">
                  <c:v>13.1</c:v>
                </c:pt>
                <c:pt idx="25">
                  <c:v>9</c:v>
                </c:pt>
                <c:pt idx="26">
                  <c:v>7.3</c:v>
                </c:pt>
                <c:pt idx="27">
                  <c:v>6.4</c:v>
                </c:pt>
                <c:pt idx="28">
                  <c:v>5</c:v>
                </c:pt>
                <c:pt idx="29">
                  <c:v>4</c:v>
                </c:pt>
                <c:pt idx="30">
                  <c:v>2</c:v>
                </c:pt>
                <c:pt idx="31">
                  <c:v>1.8</c:v>
                </c:pt>
                <c:pt idx="32">
                  <c:v>1.2</c:v>
                </c:pt>
                <c:pt idx="33">
                  <c:v>0.5</c:v>
                </c:pt>
              </c:numCache>
            </c:numRef>
          </c:val>
        </c:ser>
        <c:ser>
          <c:idx val="1"/>
          <c:order val="1"/>
          <c:tx>
            <c:strRef>
              <c:f>Sheet1!$C$1</c:f>
              <c:strCache>
                <c:ptCount val="1"/>
                <c:pt idx="0">
                  <c:v>الضفة الغربية</c:v>
                </c:pt>
              </c:strCache>
            </c:strRef>
          </c:tx>
          <c:cat>
            <c:strRef>
              <c:f>Sheet1!$A$2:$A$35</c:f>
              <c:strCache>
                <c:ptCount val="34"/>
                <c:pt idx="0">
                  <c:v>Gas/ electric cooker</c:v>
                </c:pt>
                <c:pt idx="1">
                  <c:v>Electric fridge</c:v>
                </c:pt>
                <c:pt idx="2">
                  <c:v>Satellite dish</c:v>
                </c:pt>
                <c:pt idx="3">
                  <c:v>Palestinian mobile line</c:v>
                </c:pt>
                <c:pt idx="4">
                  <c:v>Electric fan</c:v>
                </c:pt>
                <c:pt idx="5">
                  <c:v>Gas/ electric oven</c:v>
                </c:pt>
                <c:pt idx="6">
                  <c:v>regular TV</c:v>
                </c:pt>
                <c:pt idx="7">
                  <c:v>Heater</c:v>
                </c:pt>
                <c:pt idx="8">
                  <c:v>Solar heater</c:v>
                </c:pt>
                <c:pt idx="9">
                  <c:v> smart mobile phones</c:v>
                </c:pt>
                <c:pt idx="10">
                  <c:v>Regular washing machine</c:v>
                </c:pt>
                <c:pt idx="11">
                  <c:v>Water heater (wooden or boiler)</c:v>
                </c:pt>
                <c:pt idx="12">
                  <c:v>Automatic washing machine</c:v>
                </c:pt>
                <c:pt idx="13">
                  <c:v>Vacuum cleaner</c:v>
                </c:pt>
                <c:pt idx="14">
                  <c:v>Microwave</c:v>
                </c:pt>
                <c:pt idx="15">
                  <c:v> phone line</c:v>
                </c:pt>
                <c:pt idx="16">
                  <c:v>TV/ LCD/ LED/ S-D screen</c:v>
                </c:pt>
                <c:pt idx="17">
                  <c:v>computer (PC)</c:v>
                </c:pt>
                <c:pt idx="18">
                  <c:v>Computer (laptop)</c:v>
                </c:pt>
                <c:pt idx="19">
                  <c:v>Radio</c:v>
                </c:pt>
                <c:pt idx="20">
                  <c:v> Israeli mobile</c:v>
                </c:pt>
                <c:pt idx="21">
                  <c:v>Private car</c:v>
                </c:pt>
                <c:pt idx="22">
                  <c:v> home library</c:v>
                </c:pt>
                <c:pt idx="23">
                  <c:v>LC</c:v>
                </c:pt>
                <c:pt idx="24">
                  <c:v>IPAD/ Tablet</c:v>
                </c:pt>
                <c:pt idx="25">
                  <c:v>VCR/ DVD</c:v>
                </c:pt>
                <c:pt idx="26">
                  <c:v> Freezer</c:v>
                </c:pt>
                <c:pt idx="27">
                  <c:v>Kerosene cooker (babour)</c:v>
                </c:pt>
                <c:pt idx="28">
                  <c:v>Water Filter</c:v>
                </c:pt>
                <c:pt idx="29">
                  <c:v>Dryer</c:v>
                </c:pt>
                <c:pt idx="30">
                  <c:v>Dishwasher </c:v>
                </c:pt>
                <c:pt idx="31">
                  <c:v>Play station/ X-Box</c:v>
                </c:pt>
                <c:pt idx="32">
                  <c:v>Central heating</c:v>
                </c:pt>
                <c:pt idx="33">
                  <c:v> LC split unit</c:v>
                </c:pt>
              </c:strCache>
            </c:strRef>
          </c:cat>
          <c:val>
            <c:numRef>
              <c:f>Sheet1!$C$2:$C$35</c:f>
            </c:numRef>
          </c:val>
        </c:ser>
        <c:ser>
          <c:idx val="2"/>
          <c:order val="2"/>
          <c:tx>
            <c:strRef>
              <c:f>Sheet1!$D$1</c:f>
              <c:strCache>
                <c:ptCount val="1"/>
                <c:pt idx="0">
                  <c:v>قطاع غزة</c:v>
                </c:pt>
              </c:strCache>
            </c:strRef>
          </c:tx>
          <c:cat>
            <c:strRef>
              <c:f>Sheet1!$A$2:$A$35</c:f>
              <c:strCache>
                <c:ptCount val="34"/>
                <c:pt idx="0">
                  <c:v>Gas/ electric cooker</c:v>
                </c:pt>
                <c:pt idx="1">
                  <c:v>Electric fridge</c:v>
                </c:pt>
                <c:pt idx="2">
                  <c:v>Satellite dish</c:v>
                </c:pt>
                <c:pt idx="3">
                  <c:v>Palestinian mobile line</c:v>
                </c:pt>
                <c:pt idx="4">
                  <c:v>Electric fan</c:v>
                </c:pt>
                <c:pt idx="5">
                  <c:v>Gas/ electric oven</c:v>
                </c:pt>
                <c:pt idx="6">
                  <c:v>regular TV</c:v>
                </c:pt>
                <c:pt idx="7">
                  <c:v>Heater</c:v>
                </c:pt>
                <c:pt idx="8">
                  <c:v>Solar heater</c:v>
                </c:pt>
                <c:pt idx="9">
                  <c:v> smart mobile phones</c:v>
                </c:pt>
                <c:pt idx="10">
                  <c:v>Regular washing machine</c:v>
                </c:pt>
                <c:pt idx="11">
                  <c:v>Water heater (wooden or boiler)</c:v>
                </c:pt>
                <c:pt idx="12">
                  <c:v>Automatic washing machine</c:v>
                </c:pt>
                <c:pt idx="13">
                  <c:v>Vacuum cleaner</c:v>
                </c:pt>
                <c:pt idx="14">
                  <c:v>Microwave</c:v>
                </c:pt>
                <c:pt idx="15">
                  <c:v> phone line</c:v>
                </c:pt>
                <c:pt idx="16">
                  <c:v>TV/ LCD/ LED/ S-D screen</c:v>
                </c:pt>
                <c:pt idx="17">
                  <c:v>computer (PC)</c:v>
                </c:pt>
                <c:pt idx="18">
                  <c:v>Computer (laptop)</c:v>
                </c:pt>
                <c:pt idx="19">
                  <c:v>Radio</c:v>
                </c:pt>
                <c:pt idx="20">
                  <c:v> Israeli mobile</c:v>
                </c:pt>
                <c:pt idx="21">
                  <c:v>Private car</c:v>
                </c:pt>
                <c:pt idx="22">
                  <c:v> home library</c:v>
                </c:pt>
                <c:pt idx="23">
                  <c:v>LC</c:v>
                </c:pt>
                <c:pt idx="24">
                  <c:v>IPAD/ Tablet</c:v>
                </c:pt>
                <c:pt idx="25">
                  <c:v>VCR/ DVD</c:v>
                </c:pt>
                <c:pt idx="26">
                  <c:v> Freezer</c:v>
                </c:pt>
                <c:pt idx="27">
                  <c:v>Kerosene cooker (babour)</c:v>
                </c:pt>
                <c:pt idx="28">
                  <c:v>Water Filter</c:v>
                </c:pt>
                <c:pt idx="29">
                  <c:v>Dryer</c:v>
                </c:pt>
                <c:pt idx="30">
                  <c:v>Dishwasher </c:v>
                </c:pt>
                <c:pt idx="31">
                  <c:v>Play station/ X-Box</c:v>
                </c:pt>
                <c:pt idx="32">
                  <c:v>Central heating</c:v>
                </c:pt>
                <c:pt idx="33">
                  <c:v> LC split unit</c:v>
                </c:pt>
              </c:strCache>
            </c:strRef>
          </c:cat>
          <c:val>
            <c:numRef>
              <c:f>Sheet1!$D$2:$D$35</c:f>
            </c:numRef>
          </c:val>
        </c:ser>
        <c:dLbls>
          <c:showVal val="1"/>
        </c:dLbls>
        <c:axId val="166663296"/>
        <c:axId val="166664832"/>
      </c:barChart>
      <c:catAx>
        <c:axId val="166663296"/>
        <c:scaling>
          <c:orientation val="minMax"/>
        </c:scaling>
        <c:axPos val="l"/>
        <c:numFmt formatCode="General" sourceLinked="1"/>
        <c:tickLblPos val="nextTo"/>
        <c:txPr>
          <a:bodyPr/>
          <a:lstStyle/>
          <a:p>
            <a:pPr>
              <a:defRPr>
                <a:latin typeface="Arial" pitchFamily="34" charset="0"/>
                <a:cs typeface="Arial" pitchFamily="34" charset="0"/>
              </a:defRPr>
            </a:pPr>
            <a:endParaRPr lang="en-US"/>
          </a:p>
        </c:txPr>
        <c:crossAx val="166664832"/>
        <c:crosses val="autoZero"/>
        <c:auto val="1"/>
        <c:lblAlgn val="ctr"/>
        <c:lblOffset val="100"/>
      </c:catAx>
      <c:valAx>
        <c:axId val="166664832"/>
        <c:scaling>
          <c:orientation val="minMax"/>
          <c:max val="100"/>
        </c:scaling>
        <c:axPos val="b"/>
        <c:numFmt formatCode="0.0" sourceLinked="1"/>
        <c:tickLblPos val="nextTo"/>
        <c:crossAx val="166663296"/>
        <c:crosses val="autoZero"/>
        <c:crossBetween val="between"/>
        <c:majorUnit val="20"/>
        <c:minorUnit val="10"/>
      </c:valAx>
    </c:plotArea>
    <c:plotVisOnly val="1"/>
    <c:dispBlanksAs val="gap"/>
  </c:chart>
  <c:spPr>
    <a:ln>
      <a:noFill/>
    </a:ln>
  </c:spPr>
  <c:txPr>
    <a:bodyPr/>
    <a:lstStyle/>
    <a:p>
      <a:pPr>
        <a:defRPr sz="901"/>
      </a:pPr>
      <a:endParaRPr lang="en-US"/>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24013477802454167"/>
          <c:y val="4.7619047619047623E-2"/>
          <c:w val="0.72907894205532064"/>
          <c:h val="0.8775975730306439"/>
        </c:manualLayout>
      </c:layout>
      <c:barChart>
        <c:barDir val="bar"/>
        <c:grouping val="clustered"/>
        <c:ser>
          <c:idx val="0"/>
          <c:order val="0"/>
          <c:tx>
            <c:strRef>
              <c:f>Sheet1!$B$1</c:f>
              <c:strCache>
                <c:ptCount val="1"/>
                <c:pt idx="0">
                  <c:v>Series 1</c:v>
                </c:pt>
              </c:strCache>
            </c:strRef>
          </c:tx>
          <c:dLbls>
            <c:txPr>
              <a:bodyPr rot="0" vert="horz" anchor="t" anchorCtr="0"/>
              <a:lstStyle/>
              <a:p>
                <a:pPr>
                  <a:defRPr>
                    <a:latin typeface="Arial" pitchFamily="34" charset="0"/>
                    <a:cs typeface="Arial" pitchFamily="34" charset="0"/>
                  </a:defRPr>
                </a:pPr>
                <a:endParaRPr lang="en-US"/>
              </a:p>
            </c:txPr>
            <c:showVal val="1"/>
          </c:dLbls>
          <c:cat>
            <c:strRef>
              <c:f>Sheet1!$A$2:$A$17</c:f>
              <c:strCache>
                <c:ptCount val="16"/>
                <c:pt idx="0">
                  <c:v>Rafah</c:v>
                </c:pt>
                <c:pt idx="1">
                  <c:v>Dier Al-Balah</c:v>
                </c:pt>
                <c:pt idx="2">
                  <c:v>North Gaza</c:v>
                </c:pt>
                <c:pt idx="3">
                  <c:v>Khanyunis</c:v>
                </c:pt>
                <c:pt idx="4">
                  <c:v>Gaza</c:v>
                </c:pt>
                <c:pt idx="5">
                  <c:v>Tubas</c:v>
                </c:pt>
                <c:pt idx="6">
                  <c:v>Jericho &amp; AL Aghwar</c:v>
                </c:pt>
                <c:pt idx="7">
                  <c:v>Qalqiliya</c:v>
                </c:pt>
                <c:pt idx="8">
                  <c:v>Hebron</c:v>
                </c:pt>
                <c:pt idx="9">
                  <c:v>Nablus</c:v>
                </c:pt>
                <c:pt idx="10">
                  <c:v>Bethlehem</c:v>
                </c:pt>
                <c:pt idx="11">
                  <c:v>Salfit</c:v>
                </c:pt>
                <c:pt idx="12">
                  <c:v>Tulkarm</c:v>
                </c:pt>
                <c:pt idx="13">
                  <c:v>Jenin</c:v>
                </c:pt>
                <c:pt idx="14">
                  <c:v>Ramallah &amp; Al-Bireh</c:v>
                </c:pt>
                <c:pt idx="15">
                  <c:v>Jerusalem</c:v>
                </c:pt>
              </c:strCache>
            </c:strRef>
          </c:cat>
          <c:val>
            <c:numRef>
              <c:f>Sheet1!$B$2:$B$17</c:f>
              <c:numCache>
                <c:formatCode>0.0</c:formatCode>
                <c:ptCount val="16"/>
                <c:pt idx="0">
                  <c:v>92.6</c:v>
                </c:pt>
                <c:pt idx="1">
                  <c:v>88.4</c:v>
                </c:pt>
                <c:pt idx="2">
                  <c:v>84.4</c:v>
                </c:pt>
                <c:pt idx="3">
                  <c:v>84</c:v>
                </c:pt>
                <c:pt idx="4">
                  <c:v>79.2</c:v>
                </c:pt>
                <c:pt idx="5">
                  <c:v>32.800000000000004</c:v>
                </c:pt>
                <c:pt idx="6">
                  <c:v>26.7</c:v>
                </c:pt>
                <c:pt idx="7">
                  <c:v>25.6</c:v>
                </c:pt>
                <c:pt idx="8">
                  <c:v>23.7</c:v>
                </c:pt>
                <c:pt idx="9">
                  <c:v>18.5</c:v>
                </c:pt>
                <c:pt idx="10">
                  <c:v>16.3</c:v>
                </c:pt>
                <c:pt idx="11">
                  <c:v>13.1</c:v>
                </c:pt>
                <c:pt idx="12">
                  <c:v>12.8</c:v>
                </c:pt>
                <c:pt idx="13">
                  <c:v>12.4</c:v>
                </c:pt>
                <c:pt idx="14">
                  <c:v>9.2000000000000011</c:v>
                </c:pt>
                <c:pt idx="15">
                  <c:v>6.4</c:v>
                </c:pt>
              </c:numCache>
            </c:numRef>
          </c:val>
        </c:ser>
        <c:dLbls>
          <c:showVal val="1"/>
        </c:dLbls>
        <c:axId val="166733696"/>
        <c:axId val="166735232"/>
      </c:barChart>
      <c:catAx>
        <c:axId val="166733696"/>
        <c:scaling>
          <c:orientation val="minMax"/>
        </c:scaling>
        <c:axPos val="l"/>
        <c:numFmt formatCode="General" sourceLinked="1"/>
        <c:tickLblPos val="nextTo"/>
        <c:txPr>
          <a:bodyPr rot="0" vert="horz" anchor="ctr" anchorCtr="0"/>
          <a:lstStyle/>
          <a:p>
            <a:pPr>
              <a:defRPr sz="900">
                <a:latin typeface="Arial" pitchFamily="34" charset="0"/>
                <a:cs typeface="Arial" pitchFamily="34" charset="0"/>
              </a:defRPr>
            </a:pPr>
            <a:endParaRPr lang="en-US"/>
          </a:p>
        </c:txPr>
        <c:crossAx val="166735232"/>
        <c:crosses val="autoZero"/>
        <c:auto val="1"/>
        <c:lblAlgn val="ctr"/>
        <c:lblOffset val="100"/>
      </c:catAx>
      <c:valAx>
        <c:axId val="166735232"/>
        <c:scaling>
          <c:orientation val="minMax"/>
        </c:scaling>
        <c:axPos val="b"/>
        <c:numFmt formatCode="0" sourceLinked="0"/>
        <c:tickLblPos val="nextTo"/>
        <c:txPr>
          <a:bodyPr/>
          <a:lstStyle/>
          <a:p>
            <a:pPr>
              <a:defRPr>
                <a:latin typeface="Arial" pitchFamily="34" charset="0"/>
                <a:cs typeface="Arial" pitchFamily="34" charset="0"/>
              </a:defRPr>
            </a:pPr>
            <a:endParaRPr lang="en-US"/>
          </a:p>
        </c:txPr>
        <c:crossAx val="166733696"/>
        <c:crosses val="autoZero"/>
        <c:crossBetween val="between"/>
      </c:valAx>
    </c:plotArea>
    <c:plotVisOnly val="1"/>
    <c:dispBlanksAs val="gap"/>
  </c:chart>
  <c:spPr>
    <a:ln>
      <a:noFill/>
    </a:ln>
  </c:spPr>
  <c:txPr>
    <a:bodyPr/>
    <a:lstStyle/>
    <a:p>
      <a:pPr>
        <a:defRPr sz="900"/>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2693503601657971"/>
          <c:y val="0.05"/>
          <c:w val="0.87306496398342071"/>
          <c:h val="0.84624624624624623"/>
        </c:manualLayout>
      </c:layout>
      <c:barChart>
        <c:barDir val="col"/>
        <c:grouping val="clustered"/>
        <c:ser>
          <c:idx val="0"/>
          <c:order val="0"/>
          <c:tx>
            <c:strRef>
              <c:f>Sheet1!$B$1</c:f>
              <c:strCache>
                <c:ptCount val="1"/>
                <c:pt idx="0">
                  <c:v>2013</c:v>
                </c:pt>
              </c:strCache>
            </c:strRef>
          </c:tx>
          <c:dLbls>
            <c:txPr>
              <a:bodyPr/>
              <a:lstStyle/>
              <a:p>
                <a:pPr>
                  <a:defRPr sz="737">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Sheet1!$B$2:$B$4</c:f>
              <c:numCache>
                <c:formatCode>General</c:formatCode>
                <c:ptCount val="3"/>
                <c:pt idx="0">
                  <c:v>32.300000000000004</c:v>
                </c:pt>
                <c:pt idx="1">
                  <c:v>15.1</c:v>
                </c:pt>
                <c:pt idx="2">
                  <c:v>65.7</c:v>
                </c:pt>
              </c:numCache>
            </c:numRef>
          </c:val>
        </c:ser>
        <c:ser>
          <c:idx val="1"/>
          <c:order val="1"/>
          <c:tx>
            <c:strRef>
              <c:f>Sheet1!$C$1</c:f>
              <c:strCache>
                <c:ptCount val="1"/>
                <c:pt idx="0">
                  <c:v>2014</c:v>
                </c:pt>
              </c:strCache>
            </c:strRef>
          </c:tx>
          <c:spPr>
            <a:solidFill>
              <a:schemeClr val="accent3">
                <a:lumMod val="60000"/>
                <a:lumOff val="40000"/>
              </a:schemeClr>
            </a:solidFill>
          </c:spPr>
          <c:dLbls>
            <c:dLbl>
              <c:idx val="1"/>
              <c:layout>
                <c:manualLayout>
                  <c:x val="-4.9202429032164834E-3"/>
                  <c:y val="-0.10644257703081272"/>
                </c:manualLayout>
              </c:layout>
              <c:spPr/>
              <c:txPr>
                <a:bodyPr/>
                <a:lstStyle/>
                <a:p>
                  <a:pPr>
                    <a:defRPr/>
                  </a:pPr>
                  <a:endParaRPr lang="en-US"/>
                </a:p>
              </c:txPr>
              <c:dLblPos val="outEnd"/>
              <c:showVal val="1"/>
            </c:dLbl>
            <c:showVal val="1"/>
          </c:dLbls>
          <c:cat>
            <c:strRef>
              <c:f>Sheet1!$A$2:$A$4</c:f>
              <c:strCache>
                <c:ptCount val="3"/>
                <c:pt idx="0">
                  <c:v>Palestine</c:v>
                </c:pt>
                <c:pt idx="1">
                  <c:v>West Bank</c:v>
                </c:pt>
                <c:pt idx="2">
                  <c:v>Gaza Strip</c:v>
                </c:pt>
              </c:strCache>
            </c:strRef>
          </c:cat>
          <c:val>
            <c:numRef>
              <c:f>Sheet1!$C$2:$C$4</c:f>
            </c:numRef>
          </c:val>
        </c:ser>
        <c:ser>
          <c:idx val="2"/>
          <c:order val="2"/>
          <c:tx>
            <c:strRef>
              <c:f>Sheet1!$D$1</c:f>
              <c:strCache>
                <c:ptCount val="1"/>
                <c:pt idx="0">
                  <c:v>20142</c:v>
                </c:pt>
              </c:strCache>
            </c:strRef>
          </c:tx>
          <c:dLbls>
            <c:txPr>
              <a:bodyPr/>
              <a:lstStyle/>
              <a:p>
                <a:pPr>
                  <a:defRPr sz="737">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39.5</c:v>
                </c:pt>
                <c:pt idx="1">
                  <c:v>16.3</c:v>
                </c:pt>
                <c:pt idx="2">
                  <c:v>84.1</c:v>
                </c:pt>
              </c:numCache>
            </c:numRef>
          </c:val>
        </c:ser>
        <c:axId val="166778368"/>
        <c:axId val="166779904"/>
      </c:barChart>
      <c:catAx>
        <c:axId val="166778368"/>
        <c:scaling>
          <c:orientation val="minMax"/>
        </c:scaling>
        <c:axPos val="b"/>
        <c:numFmt formatCode="General" sourceLinked="1"/>
        <c:tickLblPos val="nextTo"/>
        <c:txPr>
          <a:bodyPr/>
          <a:lstStyle/>
          <a:p>
            <a:pPr>
              <a:defRPr sz="737">
                <a:latin typeface="Arial" pitchFamily="34" charset="0"/>
                <a:cs typeface="Arial" pitchFamily="34" charset="0"/>
              </a:defRPr>
            </a:pPr>
            <a:endParaRPr lang="en-US"/>
          </a:p>
        </c:txPr>
        <c:crossAx val="166779904"/>
        <c:crosses val="autoZero"/>
        <c:auto val="1"/>
        <c:lblAlgn val="ctr"/>
        <c:lblOffset val="100"/>
      </c:catAx>
      <c:valAx>
        <c:axId val="166779904"/>
        <c:scaling>
          <c:orientation val="minMax"/>
        </c:scaling>
        <c:axPos val="l"/>
        <c:numFmt formatCode="General" sourceLinked="1"/>
        <c:tickLblPos val="nextTo"/>
        <c:txPr>
          <a:bodyPr/>
          <a:lstStyle/>
          <a:p>
            <a:pPr>
              <a:defRPr sz="737">
                <a:latin typeface="Arial" pitchFamily="34" charset="0"/>
                <a:cs typeface="Arial" pitchFamily="34" charset="0"/>
              </a:defRPr>
            </a:pPr>
            <a:endParaRPr lang="en-US"/>
          </a:p>
        </c:txPr>
        <c:crossAx val="166778368"/>
        <c:crosses val="autoZero"/>
        <c:crossBetween val="between"/>
      </c:valAx>
      <c:spPr>
        <a:noFill/>
        <a:ln w="20787">
          <a:noFill/>
        </a:ln>
      </c:spPr>
    </c:plotArea>
    <c:plotVisOnly val="1"/>
    <c:dispBlanksAs val="zero"/>
  </c:chart>
  <c:spPr>
    <a:noFill/>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51328903654485225"/>
          <c:y val="3.2258064516129129E-2"/>
          <c:w val="0.47508305647840526"/>
          <c:h val="0.88387096774193386"/>
        </c:manualLayout>
      </c:layout>
      <c:barChart>
        <c:barDir val="bar"/>
        <c:grouping val="clustered"/>
        <c:ser>
          <c:idx val="0"/>
          <c:order val="0"/>
          <c:tx>
            <c:strRef>
              <c:f>Sheet1!$B$1</c:f>
              <c:strCache>
                <c:ptCount val="1"/>
                <c:pt idx="0">
                  <c:v>2013</c:v>
                </c:pt>
              </c:strCache>
            </c:strRef>
          </c:tx>
          <c:spPr>
            <a:solidFill>
              <a:srgbClr val="9999FF"/>
            </a:solidFill>
            <a:ln w="12721">
              <a:solidFill>
                <a:srgbClr val="000000"/>
              </a:solidFill>
              <a:prstDash val="solid"/>
            </a:ln>
          </c:spPr>
          <c:dLbls>
            <c:dLbl>
              <c:idx val="3"/>
              <c:layout>
                <c:manualLayout>
                  <c:x val="1.3021996629191426E-2"/>
                  <c:y val="3.3220945361929805E-3"/>
                </c:manualLayout>
              </c:layout>
              <c:dLblPos val="outEnd"/>
              <c:showVal val="1"/>
            </c:dLbl>
            <c:dLbl>
              <c:idx val="5"/>
              <c:layout>
                <c:manualLayout>
                  <c:x val="4.6035637290094453E-2"/>
                  <c:y val="1.7838421388161683E-2"/>
                </c:manualLayout>
              </c:layout>
              <c:dLblPos val="outEnd"/>
              <c:showVal val="1"/>
            </c:dLbl>
            <c:dLbl>
              <c:idx val="7"/>
              <c:layout>
                <c:manualLayout>
                  <c:x val="1.3748035848870755E-2"/>
                  <c:y val="3.3221631136928094E-3"/>
                </c:manualLayout>
              </c:layout>
              <c:dLblPos val="outEnd"/>
              <c:showVal val="1"/>
            </c:dLbl>
            <c:spPr>
              <a:noFill/>
              <a:ln w="25442">
                <a:noFill/>
              </a:ln>
            </c:spPr>
            <c:txPr>
              <a:bodyPr/>
              <a:lstStyle/>
              <a:p>
                <a:pPr>
                  <a:defRPr sz="826" b="0" i="0" u="none" strike="noStrike" baseline="0">
                    <a:solidFill>
                      <a:srgbClr val="000000"/>
                    </a:solidFill>
                    <a:latin typeface="Arial"/>
                    <a:ea typeface="Arial"/>
                    <a:cs typeface="Arial"/>
                  </a:defRPr>
                </a:pPr>
                <a:endParaRPr lang="en-US"/>
              </a:p>
            </c:txPr>
            <c:showVal val="1"/>
          </c:dLbls>
          <c:cat>
            <c:strRef>
              <c:f>Sheet1!$A$2:$A$9</c:f>
              <c:strCache>
                <c:ptCount val="8"/>
                <c:pt idx="0">
                  <c:v>Other PNA institutions</c:v>
                </c:pt>
                <c:pt idx="1">
                  <c:v>Charitable/ Religions associations</c:v>
                </c:pt>
                <c:pt idx="2">
                  <c:v>Friends/ Acquaintance/ neighbors/doers of good deed</c:v>
                </c:pt>
                <c:pt idx="3">
                  <c:v>International/ development agency</c:v>
                </c:pt>
                <c:pt idx="4">
                  <c:v>Family and relatives</c:v>
                </c:pt>
                <c:pt idx="5">
                  <c:v>Ministry of social affairs</c:v>
                </c:pt>
                <c:pt idx="6">
                  <c:v>Labor unions</c:v>
                </c:pt>
                <c:pt idx="7">
                  <c:v>UNRWA</c:v>
                </c:pt>
              </c:strCache>
            </c:strRef>
          </c:cat>
          <c:val>
            <c:numRef>
              <c:f>Sheet1!$B$2:$B$9</c:f>
              <c:numCache>
                <c:formatCode>General</c:formatCode>
                <c:ptCount val="8"/>
                <c:pt idx="0">
                  <c:v>2.7</c:v>
                </c:pt>
                <c:pt idx="1">
                  <c:v>3.1</c:v>
                </c:pt>
                <c:pt idx="2">
                  <c:v>3.3</c:v>
                </c:pt>
                <c:pt idx="3">
                  <c:v>5.9</c:v>
                </c:pt>
                <c:pt idx="4">
                  <c:v>14.6</c:v>
                </c:pt>
                <c:pt idx="5">
                  <c:v>16.7</c:v>
                </c:pt>
                <c:pt idx="6">
                  <c:v>22.7</c:v>
                </c:pt>
                <c:pt idx="7">
                  <c:v>28.8</c:v>
                </c:pt>
              </c:numCache>
            </c:numRef>
          </c:val>
        </c:ser>
        <c:ser>
          <c:idx val="1"/>
          <c:order val="1"/>
          <c:tx>
            <c:strRef>
              <c:f>Sheet1!$C$1</c:f>
              <c:strCache>
                <c:ptCount val="1"/>
                <c:pt idx="0">
                  <c:v>2014</c:v>
                </c:pt>
              </c:strCache>
            </c:strRef>
          </c:tx>
          <c:spPr>
            <a:solidFill>
              <a:srgbClr val="993366"/>
            </a:solidFill>
            <a:ln w="12721">
              <a:solidFill>
                <a:srgbClr val="000000"/>
              </a:solidFill>
              <a:prstDash val="solid"/>
            </a:ln>
          </c:spPr>
          <c:dLbls>
            <c:dLbl>
              <c:idx val="2"/>
              <c:layout>
                <c:manualLayout>
                  <c:x val="6.7910332958067504E-2"/>
                  <c:y val="-1.7530487314349606E-2"/>
                </c:manualLayout>
              </c:layout>
              <c:dLblPos val="outEnd"/>
              <c:showVal val="1"/>
            </c:dLbl>
            <c:dLbl>
              <c:idx val="4"/>
              <c:layout>
                <c:manualLayout>
                  <c:x val="8.4514927875755548E-3"/>
                  <c:y val="-2.8820612075284292E-2"/>
                </c:manualLayout>
              </c:layout>
              <c:dLblPos val="outEnd"/>
              <c:showVal val="1"/>
            </c:dLbl>
            <c:dLbl>
              <c:idx val="5"/>
              <c:tx>
                <c:rich>
                  <a:bodyPr/>
                  <a:lstStyle/>
                  <a:p>
                    <a:r>
                      <a:rPr lang="en-GB"/>
                      <a:t>31</a:t>
                    </a:r>
                  </a:p>
                </c:rich>
              </c:tx>
            </c:dLbl>
            <c:dLbl>
              <c:idx val="6"/>
              <c:layout>
                <c:manualLayout>
                  <c:x val="8.987761540619324E-3"/>
                  <c:y val="-3.0433644543301625E-2"/>
                </c:manualLayout>
              </c:layout>
              <c:dLblPos val="outEnd"/>
              <c:showVal val="1"/>
            </c:dLbl>
            <c:spPr>
              <a:noFill/>
              <a:ln w="25442">
                <a:noFill/>
              </a:ln>
            </c:spPr>
            <c:txPr>
              <a:bodyPr/>
              <a:lstStyle/>
              <a:p>
                <a:pPr>
                  <a:defRPr sz="826" b="0" i="0" u="none" strike="noStrike" baseline="0">
                    <a:solidFill>
                      <a:srgbClr val="000000"/>
                    </a:solidFill>
                    <a:latin typeface="Arial"/>
                    <a:ea typeface="Arial"/>
                    <a:cs typeface="Arial"/>
                  </a:defRPr>
                </a:pPr>
                <a:endParaRPr lang="en-US"/>
              </a:p>
            </c:txPr>
            <c:showVal val="1"/>
          </c:dLbls>
          <c:cat>
            <c:strRef>
              <c:f>Sheet1!$A$2:$A$9</c:f>
              <c:strCache>
                <c:ptCount val="8"/>
                <c:pt idx="0">
                  <c:v>Other PNA institutions</c:v>
                </c:pt>
                <c:pt idx="1">
                  <c:v>Charitable/ Religions associations</c:v>
                </c:pt>
                <c:pt idx="2">
                  <c:v>Friends/ Acquaintance/ neighbors/doers of good deed</c:v>
                </c:pt>
                <c:pt idx="3">
                  <c:v>International/ development agency</c:v>
                </c:pt>
                <c:pt idx="4">
                  <c:v>Family and relatives</c:v>
                </c:pt>
                <c:pt idx="5">
                  <c:v>Ministry of social affairs</c:v>
                </c:pt>
                <c:pt idx="6">
                  <c:v>Labor unions</c:v>
                </c:pt>
                <c:pt idx="7">
                  <c:v>UNRWA</c:v>
                </c:pt>
              </c:strCache>
            </c:strRef>
          </c:cat>
          <c:val>
            <c:numRef>
              <c:f>Sheet1!$C$2:$C$9</c:f>
              <c:numCache>
                <c:formatCode>General</c:formatCode>
                <c:ptCount val="8"/>
                <c:pt idx="0">
                  <c:v>10.6</c:v>
                </c:pt>
                <c:pt idx="1">
                  <c:v>17</c:v>
                </c:pt>
                <c:pt idx="2">
                  <c:v>5.4</c:v>
                </c:pt>
                <c:pt idx="3">
                  <c:v>21.1</c:v>
                </c:pt>
                <c:pt idx="4">
                  <c:v>10</c:v>
                </c:pt>
                <c:pt idx="5">
                  <c:v>31</c:v>
                </c:pt>
                <c:pt idx="6">
                  <c:v>10.9</c:v>
                </c:pt>
                <c:pt idx="7">
                  <c:v>60.8</c:v>
                </c:pt>
              </c:numCache>
            </c:numRef>
          </c:val>
        </c:ser>
        <c:axId val="167062912"/>
        <c:axId val="167068800"/>
      </c:barChart>
      <c:catAx>
        <c:axId val="167062912"/>
        <c:scaling>
          <c:orientation val="minMax"/>
        </c:scaling>
        <c:axPos val="l"/>
        <c:numFmt formatCode="General" sourceLinked="1"/>
        <c:tickLblPos val="nextTo"/>
        <c:spPr>
          <a:ln w="3180">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en-US"/>
          </a:p>
        </c:txPr>
        <c:crossAx val="167068800"/>
        <c:crosses val="autoZero"/>
        <c:auto val="1"/>
        <c:lblAlgn val="ctr"/>
        <c:lblOffset val="140"/>
        <c:tickLblSkip val="1"/>
        <c:tickMarkSkip val="1"/>
      </c:catAx>
      <c:valAx>
        <c:axId val="167068800"/>
        <c:scaling>
          <c:orientation val="minMax"/>
        </c:scaling>
        <c:axPos val="b"/>
        <c:numFmt formatCode="General" sourceLinked="1"/>
        <c:tickLblPos val="nextTo"/>
        <c:spPr>
          <a:ln w="3180">
            <a:solidFill>
              <a:srgbClr val="000000"/>
            </a:solidFill>
            <a:prstDash val="solid"/>
          </a:ln>
        </c:spPr>
        <c:txPr>
          <a:bodyPr rot="0" vert="horz"/>
          <a:lstStyle/>
          <a:p>
            <a:pPr>
              <a:defRPr sz="826" b="0" i="0" u="none" strike="noStrike" baseline="0">
                <a:solidFill>
                  <a:srgbClr val="000000"/>
                </a:solidFill>
                <a:latin typeface="Arial"/>
                <a:ea typeface="Arial"/>
                <a:cs typeface="Arial"/>
              </a:defRPr>
            </a:pPr>
            <a:endParaRPr lang="en-US"/>
          </a:p>
        </c:txPr>
        <c:crossAx val="167062912"/>
        <c:crosses val="autoZero"/>
        <c:crossBetween val="between"/>
      </c:valAx>
      <c:spPr>
        <a:noFill/>
        <a:ln w="25442">
          <a:noFill/>
        </a:ln>
      </c:spPr>
    </c:plotArea>
    <c:legend>
      <c:legendPos val="r"/>
      <c:layout>
        <c:manualLayout>
          <c:xMode val="edge"/>
          <c:yMode val="edge"/>
          <c:x val="1.8272425249169527E-2"/>
          <c:y val="0"/>
          <c:w val="0.23920265780730948"/>
          <c:h val="8.3870967741935504E-2"/>
        </c:manualLayout>
      </c:layout>
      <c:spPr>
        <a:noFill/>
        <a:ln w="3180">
          <a:solidFill>
            <a:srgbClr val="000000"/>
          </a:solidFill>
          <a:prstDash val="solid"/>
        </a:ln>
      </c:spPr>
      <c:txPr>
        <a:bodyPr/>
        <a:lstStyle/>
        <a:p>
          <a:pPr>
            <a:defRPr sz="826" b="0" i="0" u="none" strike="noStrike" baseline="0">
              <a:solidFill>
                <a:srgbClr val="000000"/>
              </a:solidFill>
              <a:latin typeface="Arial"/>
              <a:ea typeface="Arial"/>
              <a:cs typeface="Arial"/>
            </a:defRPr>
          </a:pPr>
          <a:endParaRPr lang="en-US"/>
        </a:p>
      </c:txPr>
    </c:legend>
    <c:plotVisOnly val="1"/>
    <c:dispBlanksAs val="gap"/>
  </c:chart>
  <c:spPr>
    <a:noFill/>
    <a:ln>
      <a:noFill/>
    </a:ln>
  </c:spPr>
  <c:txPr>
    <a:bodyPr/>
    <a:lstStyle/>
    <a:p>
      <a:pPr>
        <a:defRPr sz="1202" b="1" i="0" u="none" strike="noStrike" baseline="0">
          <a:solidFill>
            <a:srgbClr val="000000"/>
          </a:solidFill>
          <a:latin typeface="Calibri"/>
          <a:ea typeface="Calibri"/>
          <a:cs typeface="Calibri"/>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1970696362445356"/>
          <c:y val="0.15046206433498141"/>
          <c:w val="0.84639724788221449"/>
          <c:h val="0.76026165333984674"/>
        </c:manualLayout>
      </c:layout>
      <c:barChart>
        <c:barDir val="col"/>
        <c:grouping val="percentStacked"/>
        <c:ser>
          <c:idx val="0"/>
          <c:order val="0"/>
          <c:tx>
            <c:strRef>
              <c:f>Sheet1!$A$2</c:f>
              <c:strCache>
                <c:ptCount val="1"/>
                <c:pt idx="0">
                  <c:v>Periodic</c:v>
                </c:pt>
              </c:strCache>
            </c:strRef>
          </c:tx>
          <c:cat>
            <c:strRef>
              <c:f>Sheet1!$B$1:$D$1</c:f>
              <c:strCache>
                <c:ptCount val="3"/>
                <c:pt idx="0">
                  <c:v>Palestine</c:v>
                </c:pt>
                <c:pt idx="1">
                  <c:v>West Bank</c:v>
                </c:pt>
                <c:pt idx="2">
                  <c:v>Gaza strip</c:v>
                </c:pt>
              </c:strCache>
            </c:strRef>
          </c:cat>
          <c:val>
            <c:numRef>
              <c:f>Sheet1!$B$2:$D$2</c:f>
              <c:numCache>
                <c:formatCode>General</c:formatCode>
                <c:ptCount val="3"/>
                <c:pt idx="0">
                  <c:v>52.3</c:v>
                </c:pt>
                <c:pt idx="1">
                  <c:v>81.3</c:v>
                </c:pt>
                <c:pt idx="2">
                  <c:v>52.5</c:v>
                </c:pt>
              </c:numCache>
            </c:numRef>
          </c:val>
        </c:ser>
        <c:ser>
          <c:idx val="1"/>
          <c:order val="1"/>
          <c:tx>
            <c:strRef>
              <c:f>Sheet1!$A$3</c:f>
              <c:strCache>
                <c:ptCount val="1"/>
                <c:pt idx="0">
                  <c:v>contingency</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General</c:formatCode>
                <c:ptCount val="3"/>
                <c:pt idx="0">
                  <c:v>47.7</c:v>
                </c:pt>
                <c:pt idx="1">
                  <c:v>18.7</c:v>
                </c:pt>
                <c:pt idx="2">
                  <c:v>47.5</c:v>
                </c:pt>
              </c:numCache>
            </c:numRef>
          </c:val>
        </c:ser>
        <c:dLbls>
          <c:showVal val="1"/>
        </c:dLbls>
        <c:overlap val="100"/>
        <c:axId val="166766464"/>
        <c:axId val="166768000"/>
      </c:barChart>
      <c:catAx>
        <c:axId val="16676646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6768000"/>
        <c:crosses val="autoZero"/>
        <c:auto val="1"/>
        <c:lblAlgn val="ctr"/>
        <c:lblOffset val="100"/>
      </c:catAx>
      <c:valAx>
        <c:axId val="166768000"/>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66766464"/>
        <c:crosses val="autoZero"/>
        <c:crossBetween val="between"/>
      </c:valAx>
    </c:plotArea>
    <c:legend>
      <c:legendPos val="r"/>
      <c:layout>
        <c:manualLayout>
          <c:xMode val="edge"/>
          <c:yMode val="edge"/>
          <c:x val="0.34222053358138876"/>
          <c:y val="2.3481250890150386E-2"/>
          <c:w val="0.31923504570248235"/>
          <c:h val="9.1928218275041162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0612459900845729"/>
          <c:y val="0.21597601555035784"/>
          <c:w val="0.85462890055412355"/>
          <c:h val="0.68765042445008384"/>
        </c:manualLayout>
      </c:layout>
      <c:barChart>
        <c:barDir val="col"/>
        <c:grouping val="percentStacked"/>
        <c:ser>
          <c:idx val="0"/>
          <c:order val="0"/>
          <c:tx>
            <c:strRef>
              <c:f>Sheet1!$B$1</c:f>
              <c:strCache>
                <c:ptCount val="1"/>
                <c:pt idx="0">
                  <c:v> very satisfied</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Sheet1!$B$2:$B$4</c:f>
              <c:numCache>
                <c:formatCode>General</c:formatCode>
                <c:ptCount val="3"/>
                <c:pt idx="0">
                  <c:v>8.2000000000000011</c:v>
                </c:pt>
                <c:pt idx="1">
                  <c:v>10.9</c:v>
                </c:pt>
                <c:pt idx="2">
                  <c:v>7.8</c:v>
                </c:pt>
              </c:numCache>
            </c:numRef>
          </c:val>
        </c:ser>
        <c:ser>
          <c:idx val="1"/>
          <c:order val="1"/>
          <c:tx>
            <c:strRef>
              <c:f>Sheet1!$C$1</c:f>
              <c:strCache>
                <c:ptCount val="1"/>
                <c:pt idx="0">
                  <c:v>satisfied</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Sheet1!$C$2:$C$4</c:f>
              <c:numCache>
                <c:formatCode>General</c:formatCode>
                <c:ptCount val="3"/>
                <c:pt idx="0">
                  <c:v>75.2</c:v>
                </c:pt>
                <c:pt idx="1">
                  <c:v>69.900000000000006</c:v>
                </c:pt>
                <c:pt idx="2">
                  <c:v>76</c:v>
                </c:pt>
              </c:numCache>
            </c:numRef>
          </c:val>
        </c:ser>
        <c:ser>
          <c:idx val="2"/>
          <c:order val="2"/>
          <c:tx>
            <c:strRef>
              <c:f>Sheet1!$D$1</c:f>
              <c:strCache>
                <c:ptCount val="1"/>
                <c:pt idx="0">
                  <c:v>dissatisfied</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13.5</c:v>
                </c:pt>
                <c:pt idx="1">
                  <c:v>14.6</c:v>
                </c:pt>
                <c:pt idx="2">
                  <c:v>13.3</c:v>
                </c:pt>
              </c:numCache>
            </c:numRef>
          </c:val>
        </c:ser>
        <c:ser>
          <c:idx val="3"/>
          <c:order val="3"/>
          <c:tx>
            <c:strRef>
              <c:f>Sheet1!$E$1</c:f>
              <c:strCache>
                <c:ptCount val="1"/>
                <c:pt idx="0">
                  <c:v> very dissatisfied</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Sheet1!$E$2:$E$4</c:f>
              <c:numCache>
                <c:formatCode>General</c:formatCode>
                <c:ptCount val="3"/>
                <c:pt idx="0">
                  <c:v>3.1</c:v>
                </c:pt>
                <c:pt idx="1">
                  <c:v>4.5999999999999996</c:v>
                </c:pt>
                <c:pt idx="2">
                  <c:v>2.9</c:v>
                </c:pt>
              </c:numCache>
            </c:numRef>
          </c:val>
        </c:ser>
        <c:dLbls>
          <c:showVal val="1"/>
        </c:dLbls>
        <c:overlap val="100"/>
        <c:axId val="167856768"/>
        <c:axId val="167866752"/>
      </c:barChart>
      <c:catAx>
        <c:axId val="16785676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7866752"/>
        <c:crosses val="autoZero"/>
        <c:auto val="1"/>
        <c:lblAlgn val="ctr"/>
        <c:lblOffset val="100"/>
      </c:catAx>
      <c:valAx>
        <c:axId val="167866752"/>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67856768"/>
        <c:crosses val="autoZero"/>
        <c:crossBetween val="between"/>
      </c:valAx>
    </c:plotArea>
    <c:legend>
      <c:legendPos val="r"/>
      <c:layout>
        <c:manualLayout>
          <c:xMode val="edge"/>
          <c:yMode val="edge"/>
          <c:x val="0.27486749052201831"/>
          <c:y val="2.3480644255261439E-2"/>
          <c:w val="0.63644557451152106"/>
          <c:h val="0.11628478174545551"/>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9546568306868612E-2"/>
          <c:y val="0.13229418662748008"/>
          <c:w val="0.92045343169313165"/>
          <c:h val="0.78271203184472748"/>
        </c:manualLayout>
      </c:layout>
      <c:barChart>
        <c:barDir val="col"/>
        <c:grouping val="percentStacked"/>
        <c:ser>
          <c:idx val="0"/>
          <c:order val="0"/>
          <c:tx>
            <c:strRef>
              <c:f>Sheet1!$B$1</c:f>
              <c:strCache>
                <c:ptCount val="1"/>
                <c:pt idx="0">
                  <c:v>quantity</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Sheet1!$B$2:$B$4</c:f>
              <c:numCache>
                <c:formatCode>General</c:formatCode>
                <c:ptCount val="3"/>
                <c:pt idx="0">
                  <c:v>39.700000000000003</c:v>
                </c:pt>
                <c:pt idx="1">
                  <c:v>41.2</c:v>
                </c:pt>
                <c:pt idx="2">
                  <c:v>39.4</c:v>
                </c:pt>
              </c:numCache>
            </c:numRef>
          </c:val>
        </c:ser>
        <c:ser>
          <c:idx val="1"/>
          <c:order val="1"/>
          <c:tx>
            <c:strRef>
              <c:f>Sheet1!$C$1</c:f>
              <c:strCache>
                <c:ptCount val="1"/>
                <c:pt idx="0">
                  <c:v>quality</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Sheet1!$C$2:$C$4</c:f>
              <c:numCache>
                <c:formatCode>General</c:formatCode>
                <c:ptCount val="3"/>
                <c:pt idx="0">
                  <c:v>6</c:v>
                </c:pt>
                <c:pt idx="1">
                  <c:v>4.0999999999999996</c:v>
                </c:pt>
                <c:pt idx="2">
                  <c:v>6.4</c:v>
                </c:pt>
              </c:numCache>
            </c:numRef>
          </c:val>
        </c:ser>
        <c:ser>
          <c:idx val="2"/>
          <c:order val="2"/>
          <c:tx>
            <c:strRef>
              <c:f>Sheet1!$D$1</c:f>
              <c:strCache>
                <c:ptCount val="1"/>
                <c:pt idx="0">
                  <c:v> quality and quantity</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32</c:v>
                </c:pt>
                <c:pt idx="1">
                  <c:v>32.700000000000003</c:v>
                </c:pt>
                <c:pt idx="2">
                  <c:v>31.8</c:v>
                </c:pt>
              </c:numCache>
            </c:numRef>
          </c:val>
        </c:ser>
        <c:ser>
          <c:idx val="3"/>
          <c:order val="3"/>
          <c:tx>
            <c:strRef>
              <c:f>Sheet1!$E$1</c:f>
              <c:strCache>
                <c:ptCount val="1"/>
                <c:pt idx="0">
                  <c:v>frequency of Assistance</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Sheet1!$E$2:$E$4</c:f>
              <c:numCache>
                <c:formatCode>General</c:formatCode>
                <c:ptCount val="3"/>
                <c:pt idx="0">
                  <c:v>18.600000000000001</c:v>
                </c:pt>
                <c:pt idx="1">
                  <c:v>16.100000000000001</c:v>
                </c:pt>
                <c:pt idx="2">
                  <c:v>19.100000000000001</c:v>
                </c:pt>
              </c:numCache>
            </c:numRef>
          </c:val>
        </c:ser>
        <c:ser>
          <c:idx val="4"/>
          <c:order val="4"/>
          <c:tx>
            <c:strRef>
              <c:f>Sheet1!$F$1</c:f>
              <c:strCache>
                <c:ptCount val="1"/>
                <c:pt idx="0">
                  <c:v> other</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Sheet1!$F$2:$F$4</c:f>
              <c:numCache>
                <c:formatCode>General</c:formatCode>
                <c:ptCount val="3"/>
                <c:pt idx="0">
                  <c:v>3.7</c:v>
                </c:pt>
                <c:pt idx="1">
                  <c:v>5.9</c:v>
                </c:pt>
                <c:pt idx="2">
                  <c:v>3.3</c:v>
                </c:pt>
              </c:numCache>
            </c:numRef>
          </c:val>
        </c:ser>
        <c:dLbls>
          <c:showVal val="1"/>
        </c:dLbls>
        <c:overlap val="100"/>
        <c:axId val="167920384"/>
        <c:axId val="167921920"/>
      </c:barChart>
      <c:catAx>
        <c:axId val="16792038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7921920"/>
        <c:crosses val="autoZero"/>
        <c:auto val="1"/>
        <c:lblAlgn val="ctr"/>
        <c:lblOffset val="100"/>
      </c:catAx>
      <c:valAx>
        <c:axId val="167921920"/>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67920384"/>
        <c:crosses val="autoZero"/>
        <c:crossBetween val="between"/>
      </c:valAx>
    </c:plotArea>
    <c:legend>
      <c:legendPos val="r"/>
      <c:layout>
        <c:manualLayout>
          <c:xMode val="edge"/>
          <c:yMode val="edge"/>
          <c:x val="0.19943701668163966"/>
          <c:y val="2.348027925080794E-2"/>
          <c:w val="0.7658826119889377"/>
          <c:h val="7.2792686628457379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1"/>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4421794591448306"/>
          <c:y val="0.16453567408102221"/>
          <c:w val="0.88515901060071889"/>
          <c:h val="0.65111352320078464"/>
        </c:manualLayout>
      </c:layout>
      <c:barChart>
        <c:barDir val="col"/>
        <c:grouping val="percentStacked"/>
        <c:ser>
          <c:idx val="0"/>
          <c:order val="0"/>
          <c:tx>
            <c:strRef>
              <c:f>Sheet1!$A$2</c:f>
              <c:strCache>
                <c:ptCount val="1"/>
                <c:pt idx="0">
                  <c:v>Refugee</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41.2</c:v>
                </c:pt>
                <c:pt idx="1">
                  <c:v>27.1</c:v>
                </c:pt>
                <c:pt idx="2">
                  <c:v>63.3</c:v>
                </c:pt>
              </c:numCache>
            </c:numRef>
          </c:val>
        </c:ser>
        <c:ser>
          <c:idx val="1"/>
          <c:order val="1"/>
          <c:tx>
            <c:strRef>
              <c:f>Sheet1!$A$3</c:f>
              <c:strCache>
                <c:ptCount val="1"/>
                <c:pt idx="0">
                  <c:v>Not a Refugee</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General</c:formatCode>
                <c:ptCount val="3"/>
                <c:pt idx="0">
                  <c:v>58.8</c:v>
                </c:pt>
                <c:pt idx="1">
                  <c:v>72.900000000000006</c:v>
                </c:pt>
                <c:pt idx="2">
                  <c:v>36.700000000000003</c:v>
                </c:pt>
              </c:numCache>
            </c:numRef>
          </c:val>
        </c:ser>
        <c:overlap val="100"/>
        <c:axId val="128493824"/>
        <c:axId val="128619264"/>
      </c:barChart>
      <c:catAx>
        <c:axId val="12849382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28619264"/>
        <c:crosses val="autoZero"/>
        <c:auto val="1"/>
        <c:lblAlgn val="ctr"/>
        <c:lblOffset val="100"/>
      </c:catAx>
      <c:valAx>
        <c:axId val="128619264"/>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28493824"/>
        <c:crosses val="autoZero"/>
        <c:crossBetween val="between"/>
      </c:valAx>
    </c:plotArea>
    <c:legend>
      <c:legendPos val="t"/>
      <c:layout>
        <c:manualLayout>
          <c:xMode val="edge"/>
          <c:yMode val="edge"/>
          <c:x val="0.20230269986023294"/>
          <c:y val="3.3859641890313451E-2"/>
          <c:w val="0.69186167194829984"/>
          <c:h val="9.2758928694122972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9332212812136986E-2"/>
          <c:y val="2.6525741974560871E-2"/>
          <c:w val="0.90066772007630558"/>
          <c:h val="0.88343185947910363"/>
        </c:manualLayout>
      </c:layout>
      <c:barChart>
        <c:barDir val="col"/>
        <c:grouping val="clustered"/>
        <c:ser>
          <c:idx val="1"/>
          <c:order val="0"/>
          <c:tx>
            <c:strRef>
              <c:f>Sheet1!$B$1</c:f>
              <c:strCache>
                <c:ptCount val="1"/>
                <c:pt idx="0">
                  <c:v>Quantity </c:v>
                </c:pt>
              </c:strCache>
            </c:strRef>
          </c:tx>
          <c:dLbls>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Sheet1!$B$2</c:f>
              <c:numCache>
                <c:formatCode>0.0</c:formatCode>
                <c:ptCount val="1"/>
                <c:pt idx="0">
                  <c:v>-9.5964397663597865</c:v>
                </c:pt>
              </c:numCache>
            </c:numRef>
          </c:val>
        </c:ser>
        <c:ser>
          <c:idx val="0"/>
          <c:order val="1"/>
          <c:tx>
            <c:strRef>
              <c:f>Sheet1!$C$1</c:f>
              <c:strCache>
                <c:ptCount val="1"/>
                <c:pt idx="0">
                  <c:v>Quality </c:v>
                </c:pt>
              </c:strCache>
            </c:strRef>
          </c:tx>
          <c:dLbls>
            <c:dLbl>
              <c:idx val="0"/>
              <c:layout>
                <c:manualLayout>
                  <c:x val="-2.8721621003058467E-3"/>
                  <c:y val="-9.376840138886686E-3"/>
                </c:manualLayout>
              </c:layout>
              <c:spPr/>
              <c:txPr>
                <a:bodyPr/>
                <a:lstStyle/>
                <a:p>
                  <a:pPr>
                    <a:defRPr sz="801">
                      <a:latin typeface="Arial" pitchFamily="34" charset="0"/>
                      <a:cs typeface="Arial" pitchFamily="34" charset="0"/>
                    </a:defRPr>
                  </a:pPr>
                  <a:endParaRPr lang="en-US"/>
                </a:p>
              </c:txPr>
              <c:dLblPos val="outEnd"/>
              <c:showVal val="1"/>
              <c:showSerName val="1"/>
              <c:separator>
</c:separator>
            </c:dLbl>
            <c:txPr>
              <a:bodyPr/>
              <a:lstStyle/>
              <a:p>
                <a:pPr>
                  <a:defRPr>
                    <a:latin typeface="Arial" pitchFamily="34" charset="0"/>
                    <a:cs typeface="Arial" pitchFamily="34" charset="0"/>
                  </a:defRPr>
                </a:pPr>
                <a:endParaRPr lang="en-US"/>
              </a:p>
            </c:txPr>
            <c:dLblPos val="outEnd"/>
            <c:showVal val="1"/>
            <c:showSerName val="1"/>
            <c:separator>
</c:separator>
          </c:dLbls>
          <c:cat>
            <c:strRef>
              <c:f>Sheet1!$A$2</c:f>
              <c:strCache>
                <c:ptCount val="1"/>
                <c:pt idx="0">
                  <c:v>مقدار التغير</c:v>
                </c:pt>
              </c:strCache>
            </c:strRef>
          </c:cat>
          <c:val>
            <c:numRef>
              <c:f>Sheet1!$C$2</c:f>
              <c:numCache>
                <c:formatCode>0.0</c:formatCode>
                <c:ptCount val="1"/>
                <c:pt idx="0">
                  <c:v>3.3088288918584237</c:v>
                </c:pt>
              </c:numCache>
            </c:numRef>
          </c:val>
        </c:ser>
        <c:ser>
          <c:idx val="2"/>
          <c:order val="2"/>
          <c:tx>
            <c:strRef>
              <c:f>Sheet1!$D$1</c:f>
              <c:strCache>
                <c:ptCount val="1"/>
                <c:pt idx="0">
                  <c:v>Quality and quantity</c:v>
                </c:pt>
              </c:strCache>
            </c:strRef>
          </c:tx>
          <c:dLbls>
            <c:txPr>
              <a:bodyPr/>
              <a:lstStyle/>
              <a:p>
                <a:pPr>
                  <a:defRPr>
                    <a:latin typeface="Arial" pitchFamily="34" charset="0"/>
                    <a:cs typeface="Arial" pitchFamily="34" charset="0"/>
                  </a:defRPr>
                </a:pPr>
                <a:endParaRPr lang="en-US"/>
              </a:p>
            </c:txPr>
            <c:dLblPos val="outEnd"/>
            <c:showVal val="1"/>
            <c:showSerName val="1"/>
            <c:separator>
</c:separator>
          </c:dLbls>
          <c:cat>
            <c:strRef>
              <c:f>Sheet1!$A$2</c:f>
              <c:strCache>
                <c:ptCount val="1"/>
                <c:pt idx="0">
                  <c:v>مقدار التغير</c:v>
                </c:pt>
              </c:strCache>
            </c:strRef>
          </c:cat>
          <c:val>
            <c:numRef>
              <c:f>Sheet1!$D$2</c:f>
              <c:numCache>
                <c:formatCode>0.0</c:formatCode>
                <c:ptCount val="1"/>
                <c:pt idx="0">
                  <c:v>10.445952684364475</c:v>
                </c:pt>
              </c:numCache>
            </c:numRef>
          </c:val>
        </c:ser>
        <c:ser>
          <c:idx val="3"/>
          <c:order val="3"/>
          <c:tx>
            <c:strRef>
              <c:f>Sheet1!$E$1</c:f>
              <c:strCache>
                <c:ptCount val="1"/>
                <c:pt idx="0">
                  <c:v>Frequency of Assistance</c:v>
                </c:pt>
              </c:strCache>
            </c:strRef>
          </c:tx>
          <c:dLbls>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Sheet1!$E$2</c:f>
              <c:numCache>
                <c:formatCode>0.0</c:formatCode>
                <c:ptCount val="1"/>
                <c:pt idx="0">
                  <c:v>-9.2969201835203119</c:v>
                </c:pt>
              </c:numCache>
            </c:numRef>
          </c:val>
        </c:ser>
        <c:ser>
          <c:idx val="4"/>
          <c:order val="4"/>
          <c:tx>
            <c:strRef>
              <c:f>Sheet1!$F$1</c:f>
              <c:strCache>
                <c:ptCount val="1"/>
                <c:pt idx="0">
                  <c:v>Other</c:v>
                </c:pt>
              </c:strCache>
            </c:strRef>
          </c:tx>
          <c:dLbls>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Sheet1!$F$2</c:f>
              <c:numCache>
                <c:formatCode>0.0</c:formatCode>
                <c:ptCount val="1"/>
                <c:pt idx="0">
                  <c:v>2.5811386146858393</c:v>
                </c:pt>
              </c:numCache>
            </c:numRef>
          </c:val>
        </c:ser>
        <c:dLbls>
          <c:showVal val="1"/>
        </c:dLbls>
        <c:axId val="168352768"/>
        <c:axId val="168358656"/>
      </c:barChart>
      <c:catAx>
        <c:axId val="168352768"/>
        <c:scaling>
          <c:orientation val="minMax"/>
        </c:scaling>
        <c:axPos val="b"/>
        <c:numFmt formatCode="General" sourceLinked="1"/>
        <c:tickLblPos val="low"/>
        <c:txPr>
          <a:bodyPr/>
          <a:lstStyle/>
          <a:p>
            <a:pPr>
              <a:defRPr>
                <a:solidFill>
                  <a:schemeClr val="bg1"/>
                </a:solidFill>
              </a:defRPr>
            </a:pPr>
            <a:endParaRPr lang="en-US"/>
          </a:p>
        </c:txPr>
        <c:crossAx val="168358656"/>
        <c:crosses val="autoZero"/>
        <c:auto val="1"/>
        <c:lblAlgn val="ctr"/>
        <c:lblOffset val="100"/>
      </c:catAx>
      <c:valAx>
        <c:axId val="168358656"/>
        <c:scaling>
          <c:orientation val="minMax"/>
        </c:scaling>
        <c:axPos val="l"/>
        <c:numFmt formatCode="0.0" sourceLinked="1"/>
        <c:tickLblPos val="nextTo"/>
        <c:txPr>
          <a:bodyPr/>
          <a:lstStyle/>
          <a:p>
            <a:pPr>
              <a:defRPr>
                <a:latin typeface="Arial" pitchFamily="34" charset="0"/>
                <a:cs typeface="Arial" pitchFamily="34" charset="0"/>
              </a:defRPr>
            </a:pPr>
            <a:endParaRPr lang="en-US"/>
          </a:p>
        </c:txPr>
        <c:crossAx val="168352768"/>
        <c:crosses val="autoZero"/>
        <c:crossBetween val="between"/>
      </c:valAx>
      <c:spPr>
        <a:ln>
          <a:noFill/>
        </a:ln>
      </c:spPr>
    </c:plotArea>
    <c:plotVisOnly val="1"/>
    <c:dispBlanksAs val="gap"/>
  </c:chart>
  <c:spPr>
    <a:ln>
      <a:noFill/>
    </a:ln>
  </c:spPr>
  <c:txPr>
    <a:bodyPr/>
    <a:lstStyle/>
    <a:p>
      <a:pPr>
        <a:defRPr sz="901"/>
      </a:pPr>
      <a:endParaRPr lang="en-US"/>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7951622953605627E-2"/>
          <c:y val="0.19482777380100214"/>
          <c:w val="0.92505351410895453"/>
          <c:h val="0.69236232137649456"/>
        </c:manualLayout>
      </c:layout>
      <c:barChart>
        <c:barDir val="col"/>
        <c:grouping val="percentStacked"/>
        <c:ser>
          <c:idx val="0"/>
          <c:order val="0"/>
          <c:tx>
            <c:strRef>
              <c:f>Sheet1!$B$1</c:f>
              <c:strCache>
                <c:ptCount val="1"/>
                <c:pt idx="0">
                  <c:v> Yes, pretty much</c:v>
                </c:pt>
              </c:strCache>
            </c:strRef>
          </c:tx>
          <c:dLbls>
            <c:txPr>
              <a:bodyPr/>
              <a:lstStyle/>
              <a:p>
                <a:pPr>
                  <a:defRPr sz="901">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Sheet1!$B$2:$B$4</c:f>
              <c:numCache>
                <c:formatCode>General</c:formatCode>
                <c:ptCount val="3"/>
                <c:pt idx="0">
                  <c:v>31.8</c:v>
                </c:pt>
                <c:pt idx="1">
                  <c:v>19.399999999999999</c:v>
                </c:pt>
                <c:pt idx="2">
                  <c:v>55.7</c:v>
                </c:pt>
              </c:numCache>
            </c:numRef>
          </c:val>
        </c:ser>
        <c:ser>
          <c:idx val="1"/>
          <c:order val="1"/>
          <c:tx>
            <c:strRef>
              <c:f>Sheet1!$C$1</c:f>
              <c:strCache>
                <c:ptCount val="1"/>
                <c:pt idx="0">
                  <c:v>Yes, kind of</c:v>
                </c:pt>
              </c:strCache>
            </c:strRef>
          </c:tx>
          <c:dLbls>
            <c:txPr>
              <a:bodyPr/>
              <a:lstStyle/>
              <a:p>
                <a:pPr>
                  <a:defRPr sz="901">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Sheet1!$C$2:$C$4</c:f>
              <c:numCache>
                <c:formatCode>General</c:formatCode>
                <c:ptCount val="3"/>
                <c:pt idx="0">
                  <c:v>25.5</c:v>
                </c:pt>
                <c:pt idx="1">
                  <c:v>24.3</c:v>
                </c:pt>
                <c:pt idx="2">
                  <c:v>27.8</c:v>
                </c:pt>
              </c:numCache>
            </c:numRef>
          </c:val>
        </c:ser>
        <c:ser>
          <c:idx val="2"/>
          <c:order val="2"/>
          <c:tx>
            <c:strRef>
              <c:f>Sheet1!$D$1</c:f>
              <c:strCache>
                <c:ptCount val="1"/>
                <c:pt idx="0">
                  <c:v>No, we don’t</c:v>
                </c:pt>
              </c:strCache>
            </c:strRef>
          </c:tx>
          <c:dLbls>
            <c:txPr>
              <a:bodyPr/>
              <a:lstStyle/>
              <a:p>
                <a:pPr>
                  <a:defRPr sz="901">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42.7</c:v>
                </c:pt>
                <c:pt idx="1">
                  <c:v>56.3</c:v>
                </c:pt>
                <c:pt idx="2">
                  <c:v>16.5</c:v>
                </c:pt>
              </c:numCache>
            </c:numRef>
          </c:val>
        </c:ser>
        <c:dLbls>
          <c:showVal val="1"/>
        </c:dLbls>
        <c:overlap val="100"/>
        <c:axId val="169449728"/>
        <c:axId val="169463808"/>
      </c:barChart>
      <c:catAx>
        <c:axId val="169449728"/>
        <c:scaling>
          <c:orientation val="minMax"/>
        </c:scaling>
        <c:axPos val="b"/>
        <c:numFmt formatCode="General" sourceLinked="1"/>
        <c:tickLblPos val="nextTo"/>
        <c:txPr>
          <a:bodyPr/>
          <a:lstStyle/>
          <a:p>
            <a:pPr>
              <a:defRPr sz="901">
                <a:latin typeface="Arial" pitchFamily="34" charset="0"/>
                <a:cs typeface="Arial" pitchFamily="34" charset="0"/>
              </a:defRPr>
            </a:pPr>
            <a:endParaRPr lang="en-US"/>
          </a:p>
        </c:txPr>
        <c:crossAx val="169463808"/>
        <c:crosses val="autoZero"/>
        <c:auto val="1"/>
        <c:lblAlgn val="ctr"/>
        <c:lblOffset val="100"/>
      </c:catAx>
      <c:valAx>
        <c:axId val="169463808"/>
        <c:scaling>
          <c:orientation val="minMax"/>
        </c:scaling>
        <c:axPos val="l"/>
        <c:numFmt formatCode="0%" sourceLinked="1"/>
        <c:tickLblPos val="nextTo"/>
        <c:txPr>
          <a:bodyPr/>
          <a:lstStyle/>
          <a:p>
            <a:pPr>
              <a:defRPr sz="901">
                <a:latin typeface="Arial" pitchFamily="34" charset="0"/>
                <a:cs typeface="Arial" pitchFamily="34" charset="0"/>
              </a:defRPr>
            </a:pPr>
            <a:endParaRPr lang="en-US"/>
          </a:p>
        </c:txPr>
        <c:crossAx val="169449728"/>
        <c:crosses val="autoZero"/>
        <c:crossBetween val="between"/>
      </c:valAx>
    </c:plotArea>
    <c:legend>
      <c:legendPos val="r"/>
      <c:layout>
        <c:manualLayout>
          <c:xMode val="edge"/>
          <c:yMode val="edge"/>
          <c:x val="0.46408602150537631"/>
          <c:y val="2.1468122936245868E-2"/>
          <c:w val="0.52392355030324089"/>
          <c:h val="0.1359728219456437"/>
        </c:manualLayout>
      </c:layout>
      <c:spPr>
        <a:ln>
          <a:solidFill>
            <a:schemeClr val="accent1"/>
          </a:solidFill>
        </a:ln>
      </c:spPr>
      <c:txPr>
        <a:bodyPr/>
        <a:lstStyle/>
        <a:p>
          <a:pPr>
            <a:defRPr sz="901">
              <a:latin typeface="Arial" pitchFamily="34" charset="0"/>
              <a:cs typeface="Arial" pitchFamily="34" charset="0"/>
            </a:defRPr>
          </a:pPr>
          <a:endParaRPr lang="en-US"/>
        </a:p>
      </c:txPr>
    </c:legend>
    <c:plotVisOnly val="1"/>
    <c:dispBlanksAs val="gap"/>
  </c:chart>
  <c:spPr>
    <a:noFill/>
    <a:ln>
      <a:noFill/>
    </a:ln>
  </c:sp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060023017228925"/>
          <c:y val="0.16966984390109141"/>
          <c:w val="0.92505351410895453"/>
          <c:h val="0.71744423587920003"/>
        </c:manualLayout>
      </c:layout>
      <c:pieChart>
        <c:varyColors val="1"/>
        <c:ser>
          <c:idx val="0"/>
          <c:order val="0"/>
          <c:tx>
            <c:strRef>
              <c:f>Sheet1!$A$2</c:f>
              <c:strCache>
                <c:ptCount val="1"/>
                <c:pt idx="0">
                  <c:v>فلسطين</c:v>
                </c:pt>
              </c:strCache>
            </c:strRef>
          </c:tx>
          <c:dLbls>
            <c:dLbl>
              <c:idx val="0"/>
              <c:layout>
                <c:manualLayout>
                  <c:x val="0.15018609069243696"/>
                  <c:y val="3.3996245825308989E-2"/>
                </c:manualLayout>
              </c:layout>
              <c:dLblPos val="bestFit"/>
              <c:showCatName val="1"/>
              <c:showPercent val="1"/>
              <c:separator>
</c:separator>
            </c:dLbl>
            <c:dLbl>
              <c:idx val="1"/>
              <c:layout>
                <c:manualLayout>
                  <c:x val="0.10014741264733998"/>
                  <c:y val="-5.4308118605917291E-2"/>
                </c:manualLayout>
              </c:layout>
              <c:dLblPos val="bestFit"/>
              <c:showCatName val="1"/>
              <c:showPercent val="1"/>
              <c:separator>
</c:separator>
            </c:dLbl>
            <c:dLbl>
              <c:idx val="2"/>
              <c:layout>
                <c:manualLayout>
                  <c:x val="-0.12301381602522415"/>
                  <c:y val="9.4943240454076525E-2"/>
                </c:manualLayout>
              </c:layout>
              <c:dLblPos val="bestFit"/>
              <c:showCatName val="1"/>
              <c:showPercent val="1"/>
              <c:separator>
</c:separator>
            </c:dLbl>
            <c:dLbl>
              <c:idx val="3"/>
              <c:layout>
                <c:manualLayout>
                  <c:x val="-5.1416109405780092E-2"/>
                  <c:y val="-1.1680846395748581E-2"/>
                </c:manualLayout>
              </c:layout>
              <c:dLblPos val="bestFi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I don’t know, No answer</c:v>
                </c:pt>
              </c:strCache>
            </c:strRef>
          </c:cat>
          <c:val>
            <c:numRef>
              <c:f>Sheet1!$B$2:$E$2</c:f>
              <c:numCache>
                <c:formatCode>General</c:formatCode>
                <c:ptCount val="4"/>
                <c:pt idx="0" formatCode="0.0">
                  <c:v>8</c:v>
                </c:pt>
                <c:pt idx="1">
                  <c:v>60.5</c:v>
                </c:pt>
                <c:pt idx="2" formatCode="0.0">
                  <c:v>23</c:v>
                </c:pt>
                <c:pt idx="3">
                  <c:v>8.5</c:v>
                </c:pt>
              </c:numCache>
            </c:numRef>
          </c:val>
        </c:ser>
        <c:ser>
          <c:idx val="1"/>
          <c:order val="1"/>
          <c:tx>
            <c:strRef>
              <c:f>Sheet1!$A$3</c:f>
              <c:strCache>
                <c:ptCount val="1"/>
                <c:pt idx="0">
                  <c:v>الضفة الغربية</c:v>
                </c:pt>
              </c:strCache>
            </c:strRef>
          </c:tx>
          <c:dLbls>
            <c:showVal val="1"/>
            <c:showLeaderLines val="1"/>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I don’t know, No answer</c:v>
                </c:pt>
              </c:strCache>
            </c:strRef>
          </c:cat>
          <c:val>
            <c:numRef>
              <c:f>Sheet1!$B$3:$E$3</c:f>
            </c:numRef>
          </c:val>
        </c:ser>
        <c:ser>
          <c:idx val="2"/>
          <c:order val="2"/>
          <c:tx>
            <c:strRef>
              <c:f>Sheet1!$A$4</c:f>
              <c:strCache>
                <c:ptCount val="1"/>
                <c:pt idx="0">
                  <c:v>قطاع غزة</c:v>
                </c:pt>
              </c:strCache>
            </c:strRef>
          </c:tx>
          <c:dLbls>
            <c:showVal val="1"/>
            <c:showLeaderLines val="1"/>
          </c:dLbls>
          <c:cat>
            <c:strRef>
              <c:f>Sheet1!$B$1:$E$1</c:f>
              <c:strCache>
                <c:ptCount val="4"/>
                <c:pt idx="0">
                  <c:v>Assistance are mainly received by the needy</c:v>
                </c:pt>
                <c:pt idx="1">
                  <c:v>Assistance are mainly received by the needy but some not needy also receive assistance</c:v>
                </c:pt>
                <c:pt idx="2">
                  <c:v>Generally speaking assistance is distributed at random to needy and not needy</c:v>
                </c:pt>
                <c:pt idx="3">
                  <c:v>I don’t know, No answer</c:v>
                </c:pt>
              </c:strCache>
            </c:strRef>
          </c:cat>
          <c:val>
            <c:numRef>
              <c:f>Sheet1!$B$4:$E$4</c:f>
            </c:numRef>
          </c:val>
        </c:ser>
        <c:dLbls>
          <c:showVal val="1"/>
        </c:dLbls>
        <c:firstSliceAng val="0"/>
      </c:pieChart>
      <c:spPr>
        <a:noFill/>
        <a:ln w="25401">
          <a:noFill/>
        </a:ln>
      </c:spPr>
    </c:plotArea>
    <c:plotVisOnly val="1"/>
    <c:dispBlanksAs val="zero"/>
  </c:chart>
  <c:spPr>
    <a:noFill/>
    <a:ln>
      <a:noFill/>
    </a:ln>
  </c:spPr>
  <c:txPr>
    <a:bodyPr/>
    <a:lstStyle/>
    <a:p>
      <a:pPr>
        <a:defRPr sz="900"/>
      </a:pPr>
      <a:endParaRPr lang="en-US"/>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7104174478190762"/>
          <c:w val="0.90509186351706061"/>
          <c:h val="0.59345581802274716"/>
        </c:manualLayout>
      </c:layout>
      <c:barChart>
        <c:barDir val="col"/>
        <c:grouping val="clustered"/>
        <c:ser>
          <c:idx val="0"/>
          <c:order val="0"/>
          <c:tx>
            <c:strRef>
              <c:f>Sheet1!$A$2</c:f>
              <c:strCache>
                <c:ptCount val="1"/>
                <c:pt idx="0">
                  <c:v>Palestine</c:v>
                </c:pt>
              </c:strCache>
            </c:strRef>
          </c:tx>
          <c:dLbls>
            <c:txPr>
              <a:bodyPr/>
              <a:lstStyle/>
              <a:p>
                <a:pPr>
                  <a:defRPr sz="902">
                    <a:latin typeface="Arial" pitchFamily="34" charset="0"/>
                    <a:cs typeface="Arial" pitchFamily="34" charset="0"/>
                  </a:defRPr>
                </a:pPr>
                <a:endParaRPr lang="en-US"/>
              </a:p>
            </c:txPr>
            <c:showVal val="1"/>
          </c:dLbls>
          <c:cat>
            <c:strRef>
              <c:f>Sheet1!$B$1:$E$1</c:f>
              <c:strCache>
                <c:ptCount val="3"/>
                <c:pt idx="0">
                  <c:v>Assistance are mainly received by the needy</c:v>
                </c:pt>
                <c:pt idx="1">
                  <c:v>Assistance are mainly received by the needy but some not needy also receive assistance</c:v>
                </c:pt>
                <c:pt idx="2">
                  <c:v>Generally speaking assistance is distributed at random to needy and not needy</c:v>
                </c:pt>
              </c:strCache>
            </c:strRef>
          </c:cat>
          <c:val>
            <c:numRef>
              <c:f>Sheet1!$B$2:$E$2</c:f>
              <c:numCache>
                <c:formatCode>General</c:formatCode>
                <c:ptCount val="3"/>
                <c:pt idx="0">
                  <c:v>-1.4</c:v>
                </c:pt>
                <c:pt idx="1">
                  <c:v>0.8</c:v>
                </c:pt>
                <c:pt idx="2">
                  <c:v>5.6</c:v>
                </c:pt>
              </c:numCache>
            </c:numRef>
          </c:val>
        </c:ser>
        <c:ser>
          <c:idx val="1"/>
          <c:order val="1"/>
          <c:tx>
            <c:strRef>
              <c:f>Sheet1!$A$3</c:f>
              <c:strCache>
                <c:ptCount val="1"/>
                <c:pt idx="0">
                  <c:v>West Bank</c:v>
                </c:pt>
              </c:strCache>
            </c:strRef>
          </c:tx>
          <c:dLbls>
            <c:txPr>
              <a:bodyPr/>
              <a:lstStyle/>
              <a:p>
                <a:pPr>
                  <a:defRPr sz="902">
                    <a:latin typeface="Arial" pitchFamily="34" charset="0"/>
                    <a:cs typeface="Arial" pitchFamily="34" charset="0"/>
                  </a:defRPr>
                </a:pPr>
                <a:endParaRPr lang="en-US"/>
              </a:p>
            </c:txPr>
            <c:showVal val="1"/>
          </c:dLbls>
          <c:cat>
            <c:strRef>
              <c:f>Sheet1!$B$1:$E$1</c:f>
              <c:strCache>
                <c:ptCount val="3"/>
                <c:pt idx="0">
                  <c:v>Assistance are mainly received by the needy</c:v>
                </c:pt>
                <c:pt idx="1">
                  <c:v>Assistance are mainly received by the needy but some not needy also receive assistance</c:v>
                </c:pt>
                <c:pt idx="2">
                  <c:v>Generally speaking assistance is distributed at random to needy and not needy</c:v>
                </c:pt>
              </c:strCache>
            </c:strRef>
          </c:cat>
          <c:val>
            <c:numRef>
              <c:f>Sheet1!$B$3:$E$3</c:f>
              <c:numCache>
                <c:formatCode>0.0</c:formatCode>
                <c:ptCount val="3"/>
                <c:pt idx="0" formatCode="General">
                  <c:v>2.7</c:v>
                </c:pt>
                <c:pt idx="1">
                  <c:v>6</c:v>
                </c:pt>
                <c:pt idx="2">
                  <c:v>0</c:v>
                </c:pt>
              </c:numCache>
            </c:numRef>
          </c:val>
        </c:ser>
        <c:ser>
          <c:idx val="2"/>
          <c:order val="2"/>
          <c:tx>
            <c:strRef>
              <c:f>Sheet1!$A$4</c:f>
              <c:strCache>
                <c:ptCount val="1"/>
                <c:pt idx="0">
                  <c:v>Gaza Strip</c:v>
                </c:pt>
              </c:strCache>
            </c:strRef>
          </c:tx>
          <c:dLbls>
            <c:txPr>
              <a:bodyPr/>
              <a:lstStyle/>
              <a:p>
                <a:pPr>
                  <a:defRPr sz="902">
                    <a:latin typeface="Arial" pitchFamily="34" charset="0"/>
                    <a:cs typeface="Arial" pitchFamily="34" charset="0"/>
                  </a:defRPr>
                </a:pPr>
                <a:endParaRPr lang="en-US"/>
              </a:p>
            </c:txPr>
            <c:showVal val="1"/>
          </c:dLbls>
          <c:cat>
            <c:strRef>
              <c:f>Sheet1!$B$1:$E$1</c:f>
              <c:strCache>
                <c:ptCount val="3"/>
                <c:pt idx="0">
                  <c:v>Assistance are mainly received by the needy</c:v>
                </c:pt>
                <c:pt idx="1">
                  <c:v>Assistance are mainly received by the needy but some not needy also receive assistance</c:v>
                </c:pt>
                <c:pt idx="2">
                  <c:v>Generally speaking assistance is distributed at random to needy and not needy</c:v>
                </c:pt>
              </c:strCache>
            </c:strRef>
          </c:cat>
          <c:val>
            <c:numRef>
              <c:f>Sheet1!$B$4:$E$4</c:f>
              <c:numCache>
                <c:formatCode>General</c:formatCode>
                <c:ptCount val="3"/>
                <c:pt idx="0">
                  <c:v>-9.3000000000000007</c:v>
                </c:pt>
                <c:pt idx="1">
                  <c:v>-9.4</c:v>
                </c:pt>
                <c:pt idx="2">
                  <c:v>16.399999999999999</c:v>
                </c:pt>
              </c:numCache>
            </c:numRef>
          </c:val>
        </c:ser>
        <c:dLbls>
          <c:showVal val="1"/>
        </c:dLbls>
        <c:axId val="169834368"/>
        <c:axId val="169835904"/>
      </c:barChart>
      <c:catAx>
        <c:axId val="169834368"/>
        <c:scaling>
          <c:orientation val="minMax"/>
        </c:scaling>
        <c:axPos val="b"/>
        <c:numFmt formatCode="General" sourceLinked="1"/>
        <c:tickLblPos val="low"/>
        <c:txPr>
          <a:bodyPr/>
          <a:lstStyle/>
          <a:p>
            <a:pPr>
              <a:defRPr sz="902">
                <a:latin typeface="Arial" pitchFamily="34" charset="0"/>
                <a:cs typeface="Arial" pitchFamily="34" charset="0"/>
              </a:defRPr>
            </a:pPr>
            <a:endParaRPr lang="en-US"/>
          </a:p>
        </c:txPr>
        <c:crossAx val="169835904"/>
        <c:crosses val="autoZero"/>
        <c:auto val="1"/>
        <c:lblAlgn val="ctr"/>
        <c:lblOffset val="100"/>
      </c:catAx>
      <c:valAx>
        <c:axId val="169835904"/>
        <c:scaling>
          <c:orientation val="minMax"/>
        </c:scaling>
        <c:axPos val="l"/>
        <c:numFmt formatCode="General" sourceLinked="1"/>
        <c:tickLblPos val="nextTo"/>
        <c:txPr>
          <a:bodyPr/>
          <a:lstStyle/>
          <a:p>
            <a:pPr>
              <a:defRPr sz="902">
                <a:latin typeface="Arial" pitchFamily="34" charset="0"/>
                <a:cs typeface="Arial" pitchFamily="34" charset="0"/>
              </a:defRPr>
            </a:pPr>
            <a:endParaRPr lang="en-US"/>
          </a:p>
        </c:txPr>
        <c:crossAx val="169834368"/>
        <c:crosses val="autoZero"/>
        <c:crossBetween val="between"/>
      </c:valAx>
    </c:plotArea>
    <c:legend>
      <c:legendPos val="r"/>
      <c:layout>
        <c:manualLayout>
          <c:xMode val="edge"/>
          <c:yMode val="edge"/>
          <c:x val="0.33535083711805808"/>
          <c:y val="2.6297095927525289E-2"/>
          <c:w val="0.45996452661847287"/>
          <c:h val="0.13193971721276784"/>
        </c:manualLayout>
      </c:layout>
      <c:spPr>
        <a:ln>
          <a:solidFill>
            <a:schemeClr val="accent1"/>
          </a:solidFill>
        </a:ln>
      </c:spPr>
      <c:txPr>
        <a:bodyPr/>
        <a:lstStyle/>
        <a:p>
          <a:pPr rtl="1">
            <a:defRPr sz="902">
              <a:latin typeface="Arial" pitchFamily="34" charset="0"/>
              <a:cs typeface="Arial" pitchFamily="34" charset="0"/>
            </a:defRPr>
          </a:pPr>
          <a:endParaRPr lang="en-US"/>
        </a:p>
      </c:txPr>
    </c:legend>
    <c:plotVisOnly val="1"/>
    <c:dispBlanksAs val="gap"/>
  </c:chart>
  <c:spPr>
    <a:ln>
      <a:noFill/>
    </a:ln>
  </c:sp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9339050084492994"/>
          <c:y val="6.4170842281078295E-3"/>
          <c:w val="0.57291662172365287"/>
          <c:h val="0.86737962300167215"/>
        </c:manualLayout>
      </c:layout>
      <c:barChart>
        <c:barDir val="bar"/>
        <c:grouping val="clustered"/>
        <c:ser>
          <c:idx val="0"/>
          <c:order val="0"/>
          <c:tx>
            <c:strRef>
              <c:f>Sheet1!$A$2</c:f>
              <c:strCache>
                <c:ptCount val="1"/>
                <c:pt idx="0">
                  <c:v>فلسطين</c:v>
                </c:pt>
              </c:strCache>
            </c:strRef>
          </c:tx>
          <c:dLbls>
            <c:txPr>
              <a:bodyPr/>
              <a:lstStyle/>
              <a:p>
                <a:pPr>
                  <a:defRPr>
                    <a:latin typeface="Arial" pitchFamily="34" charset="0"/>
                    <a:cs typeface="Arial" pitchFamily="34" charset="0"/>
                  </a:defRPr>
                </a:pPr>
                <a:endParaRPr lang="en-US"/>
              </a:p>
            </c:txPr>
            <c:showVal val="1"/>
          </c:dLbls>
          <c:cat>
            <c:strRef>
              <c:f>Sheet1!$B$1:$E$1</c:f>
              <c:strCache>
                <c:ptCount val="3"/>
                <c:pt idx="0">
                  <c:v> Improve household situation</c:v>
                </c:pt>
                <c:pt idx="1">
                  <c:v> Improve area status (neighborhood, community) you live in</c:v>
                </c:pt>
                <c:pt idx="2">
                  <c:v>Improve the situation in region (Gaza Strip, West Bank)</c:v>
                </c:pt>
              </c:strCache>
            </c:strRef>
          </c:cat>
          <c:val>
            <c:numRef>
              <c:f>Sheet1!$B$2:$E$2</c:f>
              <c:numCache>
                <c:formatCode>General</c:formatCode>
                <c:ptCount val="3"/>
                <c:pt idx="0" formatCode="0.0">
                  <c:v>87</c:v>
                </c:pt>
                <c:pt idx="1">
                  <c:v>90.2</c:v>
                </c:pt>
                <c:pt idx="2" formatCode="0.0">
                  <c:v>92.7</c:v>
                </c:pt>
              </c:numCache>
            </c:numRef>
          </c:val>
        </c:ser>
        <c:ser>
          <c:idx val="1"/>
          <c:order val="1"/>
          <c:tx>
            <c:strRef>
              <c:f>Sheet1!$A$3</c:f>
              <c:strCache>
                <c:ptCount val="1"/>
                <c:pt idx="0">
                  <c:v>الضفة الغربية</c:v>
                </c:pt>
              </c:strCache>
            </c:strRef>
          </c:tx>
          <c:cat>
            <c:strRef>
              <c:f>Sheet1!$B$1:$E$1</c:f>
              <c:strCache>
                <c:ptCount val="3"/>
                <c:pt idx="0">
                  <c:v> Improve household situation</c:v>
                </c:pt>
                <c:pt idx="1">
                  <c:v> Improve area status (neighborhood, community) you live in</c:v>
                </c:pt>
                <c:pt idx="2">
                  <c:v>Improve the situation in region (Gaza Strip, West Bank)</c:v>
                </c:pt>
              </c:strCache>
            </c:strRef>
          </c:cat>
          <c:val>
            <c:numRef>
              <c:f>Sheet1!$B$3:$E$3</c:f>
            </c:numRef>
          </c:val>
        </c:ser>
        <c:ser>
          <c:idx val="2"/>
          <c:order val="2"/>
          <c:tx>
            <c:strRef>
              <c:f>Sheet1!$A$4</c:f>
              <c:strCache>
                <c:ptCount val="1"/>
                <c:pt idx="0">
                  <c:v>قطاع غزة</c:v>
                </c:pt>
              </c:strCache>
            </c:strRef>
          </c:tx>
          <c:cat>
            <c:strRef>
              <c:f>Sheet1!$B$1:$E$1</c:f>
              <c:strCache>
                <c:ptCount val="3"/>
                <c:pt idx="0">
                  <c:v> Improve household situation</c:v>
                </c:pt>
                <c:pt idx="1">
                  <c:v> Improve area status (neighborhood, community) you live in</c:v>
                </c:pt>
                <c:pt idx="2">
                  <c:v>Improve the situation in region (Gaza Strip, West Bank)</c:v>
                </c:pt>
              </c:strCache>
            </c:strRef>
          </c:cat>
          <c:val>
            <c:numRef>
              <c:f>Sheet1!$B$4:$E$4</c:f>
            </c:numRef>
          </c:val>
        </c:ser>
        <c:dLbls>
          <c:showVal val="1"/>
        </c:dLbls>
        <c:axId val="169928192"/>
        <c:axId val="169929728"/>
      </c:barChart>
      <c:catAx>
        <c:axId val="169928192"/>
        <c:scaling>
          <c:orientation val="minMax"/>
        </c:scaling>
        <c:axPos val="l"/>
        <c:numFmt formatCode="General" sourceLinked="1"/>
        <c:tickLblPos val="nextTo"/>
        <c:txPr>
          <a:bodyPr/>
          <a:lstStyle/>
          <a:p>
            <a:pPr>
              <a:defRPr>
                <a:latin typeface="Arial" pitchFamily="34" charset="0"/>
                <a:cs typeface="Arial" pitchFamily="34" charset="0"/>
              </a:defRPr>
            </a:pPr>
            <a:endParaRPr lang="en-US"/>
          </a:p>
        </c:txPr>
        <c:crossAx val="169929728"/>
        <c:crosses val="autoZero"/>
        <c:auto val="1"/>
        <c:lblAlgn val="ctr"/>
        <c:lblOffset val="100"/>
      </c:catAx>
      <c:valAx>
        <c:axId val="169929728"/>
        <c:scaling>
          <c:orientation val="minMax"/>
        </c:scaling>
        <c:axPos val="b"/>
        <c:numFmt formatCode="0.0" sourceLinked="1"/>
        <c:tickLblPos val="nextTo"/>
        <c:txPr>
          <a:bodyPr/>
          <a:lstStyle/>
          <a:p>
            <a:pPr>
              <a:defRPr>
                <a:latin typeface="Arial" pitchFamily="34" charset="0"/>
                <a:cs typeface="Arial" pitchFamily="34" charset="0"/>
              </a:defRPr>
            </a:pPr>
            <a:endParaRPr lang="en-US"/>
          </a:p>
        </c:txPr>
        <c:crossAx val="169928192"/>
        <c:crosses val="autoZero"/>
        <c:crossBetween val="between"/>
      </c:valAx>
    </c:plotArea>
    <c:plotVisOnly val="1"/>
    <c:dispBlanksAs val="gap"/>
  </c:chart>
  <c:spPr>
    <a:noFill/>
    <a:ln>
      <a:noFill/>
    </a:ln>
  </c:spPr>
  <c:txPr>
    <a:bodyPr/>
    <a:lstStyle/>
    <a:p>
      <a:pPr>
        <a:defRPr sz="899"/>
      </a:pPr>
      <a:endParaRPr lang="en-US"/>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23994662874498549"/>
          <c:y val="4.278051134120657E-2"/>
          <c:w val="0.72216978730501502"/>
          <c:h val="0.84732816934468569"/>
        </c:manualLayout>
      </c:layout>
      <c:barChart>
        <c:barDir val="bar"/>
        <c:grouping val="clustered"/>
        <c:ser>
          <c:idx val="0"/>
          <c:order val="0"/>
          <c:tx>
            <c:strRef>
              <c:f>Sheet1!$B$1</c:f>
              <c:strCache>
                <c:ptCount val="1"/>
                <c:pt idx="0">
                  <c:v>المساعدات ساهمت في تحسين وضع الأسرة</c:v>
                </c:pt>
              </c:strCache>
            </c:strRef>
          </c:tx>
          <c:dLbls>
            <c:txPr>
              <a:bodyPr/>
              <a:lstStyle/>
              <a:p>
                <a:pPr>
                  <a:defRPr>
                    <a:latin typeface="Arial" pitchFamily="34" charset="0"/>
                    <a:cs typeface="Arial" pitchFamily="34" charset="0"/>
                  </a:defRPr>
                </a:pPr>
                <a:endParaRPr lang="en-US"/>
              </a:p>
            </c:txPr>
            <c:showVal val="1"/>
          </c:dLbls>
          <c:cat>
            <c:strRef>
              <c:f>Sheet1!$A$2:$A$17</c:f>
              <c:strCache>
                <c:ptCount val="16"/>
                <c:pt idx="0">
                  <c:v>Dier Al-Balah</c:v>
                </c:pt>
                <c:pt idx="1">
                  <c:v>North Gaza</c:v>
                </c:pt>
                <c:pt idx="2">
                  <c:v>Khanyunis</c:v>
                </c:pt>
                <c:pt idx="3">
                  <c:v>Rafah</c:v>
                </c:pt>
                <c:pt idx="4">
                  <c:v>Jericho &amp; AL Aghwar</c:v>
                </c:pt>
                <c:pt idx="5">
                  <c:v>Gaza</c:v>
                </c:pt>
                <c:pt idx="6">
                  <c:v>Tubas</c:v>
                </c:pt>
                <c:pt idx="7">
                  <c:v>Bethlehem</c:v>
                </c:pt>
                <c:pt idx="8">
                  <c:v>Hebron</c:v>
                </c:pt>
                <c:pt idx="9">
                  <c:v>Salfit</c:v>
                </c:pt>
                <c:pt idx="10">
                  <c:v>Nablus</c:v>
                </c:pt>
                <c:pt idx="11">
                  <c:v>Jenin</c:v>
                </c:pt>
                <c:pt idx="12">
                  <c:v>Tulkarm</c:v>
                </c:pt>
                <c:pt idx="13">
                  <c:v>Qalqiliya</c:v>
                </c:pt>
                <c:pt idx="14">
                  <c:v>Jerusalem</c:v>
                </c:pt>
                <c:pt idx="15">
                  <c:v>Ramallah &amp; Al-Bireh</c:v>
                </c:pt>
              </c:strCache>
            </c:strRef>
          </c:cat>
          <c:val>
            <c:numRef>
              <c:f>Sheet1!$B$2:$B$17</c:f>
              <c:numCache>
                <c:formatCode>General</c:formatCode>
                <c:ptCount val="16"/>
                <c:pt idx="0" formatCode="0.0">
                  <c:v>74.5</c:v>
                </c:pt>
                <c:pt idx="1">
                  <c:v>65.7</c:v>
                </c:pt>
                <c:pt idx="2">
                  <c:v>65.2</c:v>
                </c:pt>
                <c:pt idx="3">
                  <c:v>64.099999999999994</c:v>
                </c:pt>
                <c:pt idx="4">
                  <c:v>61.7</c:v>
                </c:pt>
                <c:pt idx="5">
                  <c:v>59.8</c:v>
                </c:pt>
                <c:pt idx="6">
                  <c:v>50</c:v>
                </c:pt>
                <c:pt idx="7">
                  <c:v>45.6</c:v>
                </c:pt>
                <c:pt idx="8">
                  <c:v>44.6</c:v>
                </c:pt>
                <c:pt idx="9">
                  <c:v>41.9</c:v>
                </c:pt>
                <c:pt idx="10">
                  <c:v>38.800000000000004</c:v>
                </c:pt>
                <c:pt idx="11">
                  <c:v>36.700000000000003</c:v>
                </c:pt>
                <c:pt idx="12">
                  <c:v>29.4</c:v>
                </c:pt>
                <c:pt idx="13">
                  <c:v>22.5</c:v>
                </c:pt>
                <c:pt idx="14">
                  <c:v>21.7</c:v>
                </c:pt>
                <c:pt idx="15">
                  <c:v>21.2</c:v>
                </c:pt>
              </c:numCache>
            </c:numRef>
          </c:val>
        </c:ser>
        <c:ser>
          <c:idx val="1"/>
          <c:order val="1"/>
          <c:tx>
            <c:strRef>
              <c:f>Sheet1!$C$1</c:f>
              <c:strCache>
                <c:ptCount val="1"/>
                <c:pt idx="0">
                  <c:v>لا أعرف/ لا جواب</c:v>
                </c:pt>
              </c:strCache>
            </c:strRef>
          </c:tx>
          <c:cat>
            <c:strRef>
              <c:f>Sheet1!$A$2:$A$17</c:f>
              <c:strCache>
                <c:ptCount val="16"/>
                <c:pt idx="0">
                  <c:v>Dier Al-Balah</c:v>
                </c:pt>
                <c:pt idx="1">
                  <c:v>North Gaza</c:v>
                </c:pt>
                <c:pt idx="2">
                  <c:v>Khanyunis</c:v>
                </c:pt>
                <c:pt idx="3">
                  <c:v>Rafah</c:v>
                </c:pt>
                <c:pt idx="4">
                  <c:v>Jericho &amp; AL Aghwar</c:v>
                </c:pt>
                <c:pt idx="5">
                  <c:v>Gaza</c:v>
                </c:pt>
                <c:pt idx="6">
                  <c:v>Tubas</c:v>
                </c:pt>
                <c:pt idx="7">
                  <c:v>Bethlehem</c:v>
                </c:pt>
                <c:pt idx="8">
                  <c:v>Hebron</c:v>
                </c:pt>
                <c:pt idx="9">
                  <c:v>Salfit</c:v>
                </c:pt>
                <c:pt idx="10">
                  <c:v>Nablus</c:v>
                </c:pt>
                <c:pt idx="11">
                  <c:v>Jenin</c:v>
                </c:pt>
                <c:pt idx="12">
                  <c:v>Tulkarm</c:v>
                </c:pt>
                <c:pt idx="13">
                  <c:v>Qalqiliya</c:v>
                </c:pt>
                <c:pt idx="14">
                  <c:v>Jerusalem</c:v>
                </c:pt>
                <c:pt idx="15">
                  <c:v>Ramallah &amp; Al-Bireh</c:v>
                </c:pt>
              </c:strCache>
            </c:strRef>
          </c:cat>
          <c:val>
            <c:numRef>
              <c:f>Sheet1!$C$2:$C$17</c:f>
            </c:numRef>
          </c:val>
        </c:ser>
        <c:dLbls>
          <c:showVal val="1"/>
        </c:dLbls>
        <c:axId val="167968128"/>
        <c:axId val="169673856"/>
      </c:barChart>
      <c:catAx>
        <c:axId val="167968128"/>
        <c:scaling>
          <c:orientation val="minMax"/>
        </c:scaling>
        <c:axPos val="l"/>
        <c:numFmt formatCode="General" sourceLinked="1"/>
        <c:tickLblPos val="nextTo"/>
        <c:txPr>
          <a:bodyPr rot="0" vert="horz" anchor="t" anchorCtr="0"/>
          <a:lstStyle/>
          <a:p>
            <a:pPr>
              <a:defRPr sz="900">
                <a:latin typeface="Arial" pitchFamily="34" charset="0"/>
                <a:cs typeface="Arial" pitchFamily="34" charset="0"/>
              </a:defRPr>
            </a:pPr>
            <a:endParaRPr lang="en-US"/>
          </a:p>
        </c:txPr>
        <c:crossAx val="169673856"/>
        <c:crosses val="autoZero"/>
        <c:auto val="1"/>
        <c:lblAlgn val="ctr"/>
        <c:lblOffset val="100"/>
      </c:catAx>
      <c:valAx>
        <c:axId val="169673856"/>
        <c:scaling>
          <c:orientation val="minMax"/>
        </c:scaling>
        <c:axPos val="b"/>
        <c:numFmt formatCode="0" sourceLinked="0"/>
        <c:tickLblPos val="nextTo"/>
        <c:txPr>
          <a:bodyPr/>
          <a:lstStyle/>
          <a:p>
            <a:pPr>
              <a:defRPr>
                <a:latin typeface="Arial" pitchFamily="34" charset="0"/>
                <a:cs typeface="Arial" pitchFamily="34" charset="0"/>
              </a:defRPr>
            </a:pPr>
            <a:endParaRPr lang="en-US"/>
          </a:p>
        </c:txPr>
        <c:crossAx val="167968128"/>
        <c:crosses val="autoZero"/>
        <c:crossBetween val="between"/>
      </c:valAx>
    </c:plotArea>
    <c:plotVisOnly val="1"/>
    <c:dispBlanksAs val="gap"/>
  </c:chart>
  <c:spPr>
    <a:noFill/>
    <a:ln>
      <a:noFill/>
    </a:ln>
  </c:spPr>
  <c:txPr>
    <a:bodyPr/>
    <a:lstStyle/>
    <a:p>
      <a:pPr>
        <a:defRPr sz="900"/>
      </a:pPr>
      <a:endParaRPr lang="en-US"/>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6.3593004769475353E-2"/>
          <c:y val="8.6805555555555566E-2"/>
          <c:w val="0.93640703695821803"/>
          <c:h val="0.80705008648112564"/>
        </c:manualLayout>
      </c:layout>
      <c:barChart>
        <c:barDir val="col"/>
        <c:grouping val="clustered"/>
        <c:ser>
          <c:idx val="0"/>
          <c:order val="0"/>
          <c:tx>
            <c:strRef>
              <c:f>Sheet1!$B$1</c:f>
              <c:strCache>
                <c:ptCount val="1"/>
                <c:pt idx="0">
                  <c:v>2013</c:v>
                </c:pt>
              </c:strCache>
            </c:strRef>
          </c:tx>
          <c:cat>
            <c:strRef>
              <c:f>Sheet1!$A$2:$A$4</c:f>
              <c:strCache>
                <c:ptCount val="3"/>
                <c:pt idx="0">
                  <c:v>Palestine</c:v>
                </c:pt>
                <c:pt idx="1">
                  <c:v>West Bank</c:v>
                </c:pt>
                <c:pt idx="2">
                  <c:v>Gaza Strip</c:v>
                </c:pt>
              </c:strCache>
            </c:strRef>
          </c:cat>
          <c:val>
            <c:numRef>
              <c:f>Sheet1!$B$2:$B$4</c:f>
            </c:numRef>
          </c:val>
        </c:ser>
        <c:ser>
          <c:idx val="1"/>
          <c:order val="1"/>
          <c:tx>
            <c:strRef>
              <c:f>Sheet1!$C$1</c:f>
              <c:strCache>
                <c:ptCount val="1"/>
                <c:pt idx="0">
                  <c:v>2014</c:v>
                </c:pt>
              </c:strCache>
            </c:strRef>
          </c:tx>
          <c:cat>
            <c:strRef>
              <c:f>Sheet1!$A$2:$A$4</c:f>
              <c:strCache>
                <c:ptCount val="3"/>
                <c:pt idx="0">
                  <c:v>Palestine</c:v>
                </c:pt>
                <c:pt idx="1">
                  <c:v>West Bank</c:v>
                </c:pt>
                <c:pt idx="2">
                  <c:v>Gaza Strip</c:v>
                </c:pt>
              </c:strCache>
            </c:strRef>
          </c:cat>
          <c:val>
            <c:numRef>
              <c:f>Sheet1!$C$2:$C$4</c:f>
            </c:numRef>
          </c:val>
        </c:ser>
        <c:ser>
          <c:idx val="2"/>
          <c:order val="2"/>
          <c:tx>
            <c:strRef>
              <c:f>Sheet1!$D$1</c:f>
              <c:strCache>
                <c:ptCount val="1"/>
                <c:pt idx="0">
                  <c:v>مقدار التغير</c:v>
                </c:pt>
              </c:strCache>
            </c:strRef>
          </c:tx>
          <c:spPr>
            <a:ln>
              <a:noFill/>
            </a:ln>
          </c:spPr>
          <c:dPt>
            <c:idx val="0"/>
            <c:spPr>
              <a:solidFill>
                <a:srgbClr val="1F497D">
                  <a:lumMod val="60000"/>
                  <a:lumOff val="40000"/>
                </a:srgbClr>
              </a:solidFill>
              <a:ln>
                <a:noFill/>
              </a:ln>
            </c:spPr>
          </c:dPt>
          <c:dPt>
            <c:idx val="1"/>
            <c:spPr>
              <a:solidFill>
                <a:srgbClr val="C00000"/>
              </a:solidFill>
              <a:ln>
                <a:noFill/>
              </a:ln>
            </c:spPr>
          </c:dPt>
          <c:dLbls>
            <c:txPr>
              <a:bodyPr/>
              <a:lstStyle/>
              <a:p>
                <a:pPr>
                  <a:defRPr sz="899">
                    <a:latin typeface="Arial" pitchFamily="34" charset="0"/>
                    <a:cs typeface="Arial" pitchFamily="34" charset="0"/>
                  </a:defRPr>
                </a:pPr>
                <a:endParaRPr lang="en-US"/>
              </a:p>
            </c:txPr>
            <c:showVal val="1"/>
          </c:dLbls>
          <c:cat>
            <c:strRef>
              <c:f>Sheet1!$A$2:$A$4</c:f>
              <c:strCache>
                <c:ptCount val="3"/>
                <c:pt idx="0">
                  <c:v>Palestine</c:v>
                </c:pt>
                <c:pt idx="1">
                  <c:v>West Bank</c:v>
                </c:pt>
                <c:pt idx="2">
                  <c:v>Gaza Strip</c:v>
                </c:pt>
              </c:strCache>
            </c:strRef>
          </c:cat>
          <c:val>
            <c:numRef>
              <c:f>Sheet1!$D$2:$D$4</c:f>
              <c:numCache>
                <c:formatCode>General</c:formatCode>
                <c:ptCount val="3"/>
                <c:pt idx="0">
                  <c:v>6.1000000000000005</c:v>
                </c:pt>
                <c:pt idx="1">
                  <c:v>2.2999999999999972</c:v>
                </c:pt>
                <c:pt idx="2">
                  <c:v>13.400000000000002</c:v>
                </c:pt>
              </c:numCache>
            </c:numRef>
          </c:val>
        </c:ser>
        <c:dLbls>
          <c:showVal val="1"/>
        </c:dLbls>
        <c:axId val="170081664"/>
        <c:axId val="170087552"/>
      </c:barChart>
      <c:catAx>
        <c:axId val="170081664"/>
        <c:scaling>
          <c:orientation val="minMax"/>
        </c:scaling>
        <c:axPos val="b"/>
        <c:numFmt formatCode="General" sourceLinked="1"/>
        <c:tickLblPos val="nextTo"/>
        <c:txPr>
          <a:bodyPr/>
          <a:lstStyle/>
          <a:p>
            <a:pPr>
              <a:defRPr sz="899">
                <a:latin typeface="Arial" pitchFamily="34" charset="0"/>
                <a:cs typeface="Arial" pitchFamily="34" charset="0"/>
              </a:defRPr>
            </a:pPr>
            <a:endParaRPr lang="en-US"/>
          </a:p>
        </c:txPr>
        <c:crossAx val="170087552"/>
        <c:crosses val="autoZero"/>
        <c:auto val="1"/>
        <c:lblAlgn val="ctr"/>
        <c:lblOffset val="100"/>
      </c:catAx>
      <c:valAx>
        <c:axId val="170087552"/>
        <c:scaling>
          <c:orientation val="minMax"/>
        </c:scaling>
        <c:axPos val="l"/>
        <c:numFmt formatCode="General" sourceLinked="1"/>
        <c:tickLblPos val="nextTo"/>
        <c:txPr>
          <a:bodyPr/>
          <a:lstStyle/>
          <a:p>
            <a:pPr>
              <a:defRPr sz="899">
                <a:latin typeface="Arial" pitchFamily="34" charset="0"/>
                <a:cs typeface="Arial" pitchFamily="34" charset="0"/>
              </a:defRPr>
            </a:pPr>
            <a:endParaRPr lang="en-US"/>
          </a:p>
        </c:txPr>
        <c:crossAx val="170081664"/>
        <c:crosses val="autoZero"/>
        <c:crossBetween val="between"/>
      </c:valAx>
    </c:plotArea>
    <c:plotVisOnly val="1"/>
    <c:dispBlanksAs val="gap"/>
  </c:chart>
  <c:spPr>
    <a:ln>
      <a:noFill/>
    </a:ln>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GB"/>
  <c:chart>
    <c:autoTitleDeleted val="1"/>
    <c:view3D>
      <c:rotX val="30"/>
      <c:perspective val="30"/>
    </c:view3D>
    <c:plotArea>
      <c:layout>
        <c:manualLayout>
          <c:layoutTarget val="inner"/>
          <c:xMode val="edge"/>
          <c:yMode val="edge"/>
          <c:x val="3.5223655553694076E-2"/>
          <c:y val="2.826784842849429E-2"/>
          <c:w val="0.96477634444630589"/>
          <c:h val="0.97173215157150583"/>
        </c:manualLayout>
      </c:layout>
      <c:pie3DChart>
        <c:varyColors val="1"/>
        <c:ser>
          <c:idx val="0"/>
          <c:order val="0"/>
          <c:tx>
            <c:strRef>
              <c:f>Sheet1!$B$1</c:f>
              <c:strCache>
                <c:ptCount val="1"/>
                <c:pt idx="0">
                  <c:v>Sales</c:v>
                </c:pt>
              </c:strCache>
            </c:strRef>
          </c:tx>
          <c:explosion val="25"/>
          <c:dLbls>
            <c:dLbl>
              <c:idx val="0"/>
              <c:layout>
                <c:manualLayout>
                  <c:x val="0.2222231675518147"/>
                  <c:y val="-0.13842671499970788"/>
                </c:manualLayout>
              </c:layout>
              <c:dLblPos val="bestFit"/>
              <c:showCatName val="1"/>
              <c:showPercent val="1"/>
              <c:separator>
</c:separator>
            </c:dLbl>
            <c:dLbl>
              <c:idx val="1"/>
              <c:layout>
                <c:manualLayout>
                  <c:x val="-0.16494681921889678"/>
                  <c:y val="2.0187336896848668E-2"/>
                </c:manualLayout>
              </c:layout>
              <c:dLblPos val="bestFi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Sheet1!$A$2:$A$3</c:f>
              <c:strCache>
                <c:ptCount val="2"/>
                <c:pt idx="0">
                  <c:v>Male</c:v>
                </c:pt>
                <c:pt idx="1">
                  <c:v>Female</c:v>
                </c:pt>
              </c:strCache>
            </c:strRef>
          </c:cat>
          <c:val>
            <c:numRef>
              <c:f>Sheet1!$B$2:$B$3</c:f>
              <c:numCache>
                <c:formatCode>General</c:formatCode>
                <c:ptCount val="2"/>
                <c:pt idx="0">
                  <c:v>91.1</c:v>
                </c:pt>
                <c:pt idx="1">
                  <c:v>8.9</c:v>
                </c:pt>
              </c:numCache>
            </c:numRef>
          </c:val>
        </c:ser>
        <c:dLbls>
          <c:showVal val="1"/>
        </c:dLbls>
      </c:pie3DChart>
      <c:spPr>
        <a:noFill/>
        <a:ln w="25391">
          <a:noFill/>
        </a:ln>
      </c:spPr>
    </c:plotArea>
    <c:plotVisOnly val="1"/>
    <c:dispBlanksAs val="zero"/>
  </c:chart>
  <c:spPr>
    <a:noFill/>
    <a:ln>
      <a:noFill/>
    </a:ln>
  </c:spPr>
  <c:txPr>
    <a:bodyPr/>
    <a:lstStyle/>
    <a:p>
      <a:pPr>
        <a:defRPr sz="900"/>
      </a:pPr>
      <a:endParaRPr lang="en-US"/>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4844273468946727E-2"/>
          <c:y val="0.27998946733600194"/>
          <c:w val="0.88545553825998091"/>
          <c:h val="0.64546917072259169"/>
        </c:manualLayout>
      </c:layout>
      <c:barChart>
        <c:barDir val="col"/>
        <c:grouping val="clustered"/>
        <c:ser>
          <c:idx val="0"/>
          <c:order val="0"/>
          <c:tx>
            <c:strRef>
              <c:f>Sheet1!$B$1</c:f>
              <c:strCache>
                <c:ptCount val="1"/>
                <c:pt idx="0">
                  <c:v>Much better today</c:v>
                </c:pt>
              </c:strCache>
            </c:strRef>
          </c:tx>
          <c:dLbls>
            <c:txPr>
              <a:bodyPr/>
              <a:lstStyle/>
              <a:p>
                <a:pPr>
                  <a:defRPr sz="801">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Sheet1!$B$2:$B$4</c:f>
              <c:numCache>
                <c:formatCode>0.0</c:formatCode>
                <c:ptCount val="2"/>
                <c:pt idx="0">
                  <c:v>5.0999999999999996</c:v>
                </c:pt>
                <c:pt idx="1">
                  <c:v>0.4</c:v>
                </c:pt>
              </c:numCache>
            </c:numRef>
          </c:val>
        </c:ser>
        <c:ser>
          <c:idx val="1"/>
          <c:order val="1"/>
          <c:tx>
            <c:strRef>
              <c:f>Sheet1!$C$1</c:f>
              <c:strCache>
                <c:ptCount val="1"/>
                <c:pt idx="0">
                  <c:v>Better to a certain extent</c:v>
                </c:pt>
              </c:strCache>
            </c:strRef>
          </c:tx>
          <c:dLbls>
            <c:txPr>
              <a:bodyPr/>
              <a:lstStyle/>
              <a:p>
                <a:pPr>
                  <a:defRPr sz="801">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Sheet1!$C$2:$C$4</c:f>
              <c:numCache>
                <c:formatCode>0.0</c:formatCode>
                <c:ptCount val="2"/>
                <c:pt idx="0">
                  <c:v>11</c:v>
                </c:pt>
                <c:pt idx="1">
                  <c:v>4.9000000000000004</c:v>
                </c:pt>
              </c:numCache>
            </c:numRef>
          </c:val>
        </c:ser>
        <c:ser>
          <c:idx val="2"/>
          <c:order val="2"/>
          <c:tx>
            <c:strRef>
              <c:f>Sheet1!$D$1</c:f>
              <c:strCache>
                <c:ptCount val="1"/>
                <c:pt idx="0">
                  <c:v>Almost the same/ nothing tangible changed</c:v>
                </c:pt>
              </c:strCache>
            </c:strRef>
          </c:tx>
          <c:dLbls>
            <c:txPr>
              <a:bodyPr/>
              <a:lstStyle/>
              <a:p>
                <a:pPr>
                  <a:defRPr sz="801">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Sheet1!$D$2:$D$4</c:f>
              <c:numCache>
                <c:formatCode>0.0</c:formatCode>
                <c:ptCount val="2"/>
                <c:pt idx="0">
                  <c:v>58.6</c:v>
                </c:pt>
                <c:pt idx="1">
                  <c:v>29.5</c:v>
                </c:pt>
              </c:numCache>
            </c:numRef>
          </c:val>
        </c:ser>
        <c:ser>
          <c:idx val="3"/>
          <c:order val="3"/>
          <c:tx>
            <c:strRef>
              <c:f>Sheet1!$E$1</c:f>
              <c:strCache>
                <c:ptCount val="1"/>
                <c:pt idx="0">
                  <c:v>Worse to a certain extent</c:v>
                </c:pt>
              </c:strCache>
            </c:strRef>
          </c:tx>
          <c:cat>
            <c:strRef>
              <c:f>Sheet1!$A$2:$A$4</c:f>
              <c:strCache>
                <c:ptCount val="2"/>
                <c:pt idx="0">
                  <c:v>West Bank</c:v>
                </c:pt>
                <c:pt idx="1">
                  <c:v>Gaza Strip</c:v>
                </c:pt>
              </c:strCache>
            </c:strRef>
          </c:cat>
          <c:val>
            <c:numRef>
              <c:f>Sheet1!$E$2:$E$4</c:f>
              <c:numCache>
                <c:formatCode>0.0</c:formatCode>
                <c:ptCount val="2"/>
                <c:pt idx="0">
                  <c:v>21.4</c:v>
                </c:pt>
                <c:pt idx="1">
                  <c:v>36</c:v>
                </c:pt>
              </c:numCache>
            </c:numRef>
          </c:val>
        </c:ser>
        <c:ser>
          <c:idx val="4"/>
          <c:order val="4"/>
          <c:tx>
            <c:strRef>
              <c:f>Sheet1!$F$1</c:f>
              <c:strCache>
                <c:ptCount val="1"/>
                <c:pt idx="0">
                  <c:v> Much worse today</c:v>
                </c:pt>
              </c:strCache>
            </c:strRef>
          </c:tx>
          <c:cat>
            <c:strRef>
              <c:f>Sheet1!$A$2:$A$4</c:f>
              <c:strCache>
                <c:ptCount val="2"/>
                <c:pt idx="0">
                  <c:v>West Bank</c:v>
                </c:pt>
                <c:pt idx="1">
                  <c:v>Gaza Strip</c:v>
                </c:pt>
              </c:strCache>
            </c:strRef>
          </c:cat>
          <c:val>
            <c:numRef>
              <c:f>Sheet1!$F$2:$F$4</c:f>
              <c:numCache>
                <c:formatCode>0.0</c:formatCode>
                <c:ptCount val="2"/>
                <c:pt idx="0">
                  <c:v>3.7</c:v>
                </c:pt>
                <c:pt idx="1">
                  <c:v>29.1</c:v>
                </c:pt>
              </c:numCache>
            </c:numRef>
          </c:val>
        </c:ser>
        <c:ser>
          <c:idx val="5"/>
          <c:order val="5"/>
          <c:tx>
            <c:strRef>
              <c:f>Sheet1!$G$1</c:f>
              <c:strCache>
                <c:ptCount val="1"/>
                <c:pt idx="0">
                  <c:v>I don’t know</c:v>
                </c:pt>
              </c:strCache>
            </c:strRef>
          </c:tx>
          <c:cat>
            <c:strRef>
              <c:f>Sheet1!$A$2:$A$4</c:f>
              <c:strCache>
                <c:ptCount val="2"/>
                <c:pt idx="0">
                  <c:v>West Bank</c:v>
                </c:pt>
                <c:pt idx="1">
                  <c:v>Gaza Strip</c:v>
                </c:pt>
              </c:strCache>
            </c:strRef>
          </c:cat>
          <c:val>
            <c:numRef>
              <c:f>Sheet1!$G$2:$G$4</c:f>
              <c:numCache>
                <c:formatCode>0.0</c:formatCode>
                <c:ptCount val="2"/>
                <c:pt idx="0">
                  <c:v>0.1</c:v>
                </c:pt>
                <c:pt idx="1">
                  <c:v>0.1</c:v>
                </c:pt>
              </c:numCache>
            </c:numRef>
          </c:val>
        </c:ser>
        <c:dLbls>
          <c:showVal val="1"/>
        </c:dLbls>
        <c:axId val="175697920"/>
        <c:axId val="175699456"/>
      </c:barChart>
      <c:catAx>
        <c:axId val="175697920"/>
        <c:scaling>
          <c:orientation val="minMax"/>
        </c:scaling>
        <c:axPos val="b"/>
        <c:numFmt formatCode="General" sourceLinked="1"/>
        <c:tickLblPos val="nextTo"/>
        <c:txPr>
          <a:bodyPr/>
          <a:lstStyle/>
          <a:p>
            <a:pPr>
              <a:defRPr sz="801">
                <a:latin typeface="Arial" pitchFamily="34" charset="0"/>
                <a:cs typeface="Arial" pitchFamily="34" charset="0"/>
              </a:defRPr>
            </a:pPr>
            <a:endParaRPr lang="en-US"/>
          </a:p>
        </c:txPr>
        <c:crossAx val="175699456"/>
        <c:crosses val="autoZero"/>
        <c:auto val="1"/>
        <c:lblAlgn val="ctr"/>
        <c:lblOffset val="100"/>
      </c:catAx>
      <c:valAx>
        <c:axId val="175699456"/>
        <c:scaling>
          <c:orientation val="minMax"/>
          <c:max val="60"/>
        </c:scaling>
        <c:axPos val="l"/>
        <c:numFmt formatCode="0.0" sourceLinked="1"/>
        <c:tickLblPos val="nextTo"/>
        <c:txPr>
          <a:bodyPr/>
          <a:lstStyle/>
          <a:p>
            <a:pPr>
              <a:defRPr sz="801">
                <a:latin typeface="Arial" pitchFamily="34" charset="0"/>
                <a:cs typeface="Arial" pitchFamily="34" charset="0"/>
              </a:defRPr>
            </a:pPr>
            <a:endParaRPr lang="en-US"/>
          </a:p>
        </c:txPr>
        <c:crossAx val="175697920"/>
        <c:crosses val="autoZero"/>
        <c:crossBetween val="between"/>
      </c:valAx>
    </c:plotArea>
    <c:legend>
      <c:legendPos val="r"/>
      <c:layout>
        <c:manualLayout>
          <c:xMode val="edge"/>
          <c:yMode val="edge"/>
          <c:x val="0.14664418212478941"/>
          <c:y val="2.6884618146136002E-2"/>
          <c:w val="0.84207937751457596"/>
          <c:h val="0.19251338263568124"/>
        </c:manualLayout>
      </c:layout>
      <c:spPr>
        <a:ln>
          <a:solidFill>
            <a:schemeClr val="accent1"/>
          </a:solidFill>
        </a:ln>
      </c:spPr>
      <c:txPr>
        <a:bodyPr/>
        <a:lstStyle/>
        <a:p>
          <a:pPr rtl="1">
            <a:defRPr sz="801">
              <a:latin typeface="Arial" pitchFamily="34" charset="0"/>
              <a:cs typeface="Arial" pitchFamily="34" charset="0"/>
            </a:defRPr>
          </a:pPr>
          <a:endParaRPr lang="en-US"/>
        </a:p>
      </c:txPr>
    </c:legend>
    <c:plotVisOnly val="1"/>
    <c:dispBlanksAs val="gap"/>
  </c:chart>
  <c:spPr>
    <a:noFill/>
    <a:ln>
      <a:noFill/>
    </a:ln>
  </c:spPr>
  <c:txPr>
    <a:bodyPr/>
    <a:lstStyle/>
    <a:p>
      <a:pPr>
        <a:defRPr sz="901"/>
      </a:pPr>
      <a:endParaRPr lang="en-US"/>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5.2989886503094955E-2"/>
          <c:y val="0.13488214971944973"/>
          <c:w val="0.947010113496905"/>
          <c:h val="0.78256126586327246"/>
        </c:manualLayout>
      </c:layout>
      <c:barChart>
        <c:barDir val="col"/>
        <c:grouping val="clustered"/>
        <c:ser>
          <c:idx val="0"/>
          <c:order val="0"/>
          <c:tx>
            <c:strRef>
              <c:f>Sheet1!$B$1</c:f>
              <c:strCache>
                <c:ptCount val="1"/>
                <c:pt idx="0">
                  <c:v>Rich (good)</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Sheet1!$B$2:$B$4</c:f>
              <c:numCache>
                <c:formatCode>General</c:formatCode>
                <c:ptCount val="2"/>
                <c:pt idx="0" formatCode="0.0">
                  <c:v>3.5</c:v>
                </c:pt>
                <c:pt idx="1">
                  <c:v>2.2000000000000002</c:v>
                </c:pt>
              </c:numCache>
            </c:numRef>
          </c:val>
        </c:ser>
        <c:ser>
          <c:idx val="1"/>
          <c:order val="1"/>
          <c:tx>
            <c:strRef>
              <c:f>Sheet1!$C$1</c:f>
              <c:strCache>
                <c:ptCount val="1"/>
                <c:pt idx="0">
                  <c:v>Middle class</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Sheet1!$C$2:$C$4</c:f>
              <c:numCache>
                <c:formatCode>General</c:formatCode>
                <c:ptCount val="2"/>
                <c:pt idx="0" formatCode="0.0">
                  <c:v>83.7</c:v>
                </c:pt>
                <c:pt idx="1">
                  <c:v>59.4</c:v>
                </c:pt>
              </c:numCache>
            </c:numRef>
          </c:val>
        </c:ser>
        <c:ser>
          <c:idx val="2"/>
          <c:order val="2"/>
          <c:tx>
            <c:strRef>
              <c:f>Sheet1!$D$1</c:f>
              <c:strCache>
                <c:ptCount val="1"/>
                <c:pt idx="0">
                  <c:v>Poor</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Sheet1!$D$2:$D$4</c:f>
              <c:numCache>
                <c:formatCode>General</c:formatCode>
                <c:ptCount val="2"/>
                <c:pt idx="0" formatCode="0.0">
                  <c:v>10.5</c:v>
                </c:pt>
                <c:pt idx="1">
                  <c:v>28.2</c:v>
                </c:pt>
              </c:numCache>
            </c:numRef>
          </c:val>
        </c:ser>
        <c:ser>
          <c:idx val="3"/>
          <c:order val="3"/>
          <c:tx>
            <c:strRef>
              <c:f>Sheet1!$E$1</c:f>
              <c:strCache>
                <c:ptCount val="1"/>
                <c:pt idx="0">
                  <c:v>Very poor</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West Bank</c:v>
                </c:pt>
                <c:pt idx="1">
                  <c:v>Gaza Strip</c:v>
                </c:pt>
              </c:strCache>
            </c:strRef>
          </c:cat>
          <c:val>
            <c:numRef>
              <c:f>Sheet1!$E$2:$E$4</c:f>
              <c:numCache>
                <c:formatCode>General</c:formatCode>
                <c:ptCount val="2"/>
                <c:pt idx="0" formatCode="0.0">
                  <c:v>2.2999999999999998</c:v>
                </c:pt>
                <c:pt idx="1">
                  <c:v>10.200000000000001</c:v>
                </c:pt>
              </c:numCache>
            </c:numRef>
          </c:val>
        </c:ser>
        <c:dLbls>
          <c:showVal val="1"/>
        </c:dLbls>
        <c:axId val="176108288"/>
        <c:axId val="176109824"/>
      </c:barChart>
      <c:catAx>
        <c:axId val="17610828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76109824"/>
        <c:crosses val="autoZero"/>
        <c:auto val="1"/>
        <c:lblAlgn val="ctr"/>
        <c:lblOffset val="100"/>
      </c:catAx>
      <c:valAx>
        <c:axId val="176109824"/>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76108288"/>
        <c:crosses val="autoZero"/>
        <c:crossBetween val="between"/>
      </c:valAx>
    </c:plotArea>
    <c:legend>
      <c:legendPos val="r"/>
      <c:layout>
        <c:manualLayout>
          <c:xMode val="edge"/>
          <c:yMode val="edge"/>
          <c:x val="0.34230505316528281"/>
          <c:y val="1.600052681586852E-2"/>
          <c:w val="0.60991337686884761"/>
          <c:h val="0.1217648331592960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noFill/>
    <a:ln>
      <a:noFill/>
    </a:ln>
  </c:spPr>
  <c:txPr>
    <a:bodyPr/>
    <a:lstStyle/>
    <a:p>
      <a:pPr>
        <a:defRPr sz="899"/>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25447390504758338"/>
          <c:y val="3.6145231846019282E-2"/>
          <c:w val="0.71726926991268947"/>
          <c:h val="0.86806824146981665"/>
        </c:manualLayout>
      </c:layout>
      <c:barChart>
        <c:barDir val="bar"/>
        <c:grouping val="clustered"/>
        <c:ser>
          <c:idx val="0"/>
          <c:order val="0"/>
          <c:tx>
            <c:strRef>
              <c:f>Sheet1!$B$1</c:f>
              <c:strCache>
                <c:ptCount val="1"/>
                <c:pt idx="0">
                  <c:v>Palestine</c:v>
                </c:pt>
              </c:strCache>
            </c:strRef>
          </c:tx>
          <c:dLbls>
            <c:dLbl>
              <c:idx val="0"/>
              <c:layout>
                <c:manualLayout>
                  <c:x val="-1.1223344556677889E-2"/>
                  <c:y val="5.5303534080087615E-17"/>
                </c:manualLayout>
              </c:layout>
              <c:dLblPos val="outEnd"/>
              <c:showVal val="1"/>
            </c:dLbl>
            <c:dLbl>
              <c:idx val="1"/>
              <c:layout>
                <c:manualLayout>
                  <c:x val="-2.5324371891117603E-3"/>
                  <c:y val="1.2066265910309598E-2"/>
                </c:manualLayout>
              </c:layout>
              <c:dLblPos val="outEnd"/>
              <c:showVal val="1"/>
            </c:dLbl>
            <c:dLbl>
              <c:idx val="2"/>
              <c:layout>
                <c:manualLayout>
                  <c:x val="-1.3445105076151221E-2"/>
                  <c:y val="1.1208723597829581E-2"/>
                </c:manualLayout>
              </c:layout>
              <c:dLblPos val="outEnd"/>
              <c:showVal val="1"/>
            </c:dLbl>
            <c:dLbl>
              <c:idx val="3"/>
              <c:layout>
                <c:manualLayout>
                  <c:x val="0"/>
                  <c:y val="1.1469534050179211E-2"/>
                </c:manualLayout>
              </c:layout>
              <c:showVal val="1"/>
            </c:dLbl>
            <c:dLbl>
              <c:idx val="5"/>
              <c:layout>
                <c:manualLayout>
                  <c:x val="0"/>
                  <c:y val="8.6021505376344294E-3"/>
                </c:manualLayout>
              </c:layout>
              <c:showVal val="1"/>
            </c:dLbl>
            <c:dLbl>
              <c:idx val="6"/>
              <c:layout>
                <c:manualLayout>
                  <c:x val="6.6555740432612306E-3"/>
                  <c:y val="9.3804080941495421E-3"/>
                </c:manualLayout>
              </c:layout>
              <c:dLblPos val="outEnd"/>
              <c:showVal val="1"/>
            </c:dLbl>
            <c:dLbl>
              <c:idx val="8"/>
              <c:layout>
                <c:manualLayout>
                  <c:x val="-1.933959586166542E-3"/>
                  <c:y val="8.3036717184545496E-3"/>
                </c:manualLayout>
              </c:layout>
              <c:dLblPos val="outEnd"/>
              <c:showVal val="1"/>
            </c:dLbl>
            <c:showVal val="1"/>
          </c:dLbls>
          <c:cat>
            <c:strRef>
              <c:f>Sheet1!$A$2:$A$10</c:f>
              <c:strCache>
                <c:ptCount val="9"/>
                <c:pt idx="0">
                  <c:v>None</c:v>
                </c:pt>
                <c:pt idx="1">
                  <c:v>Only governmental</c:v>
                </c:pt>
                <c:pt idx="2">
                  <c:v>Only UNRWA</c:v>
                </c:pt>
                <c:pt idx="3">
                  <c:v>Only private</c:v>
                </c:pt>
                <c:pt idx="4">
                  <c:v>Governmental and UNRWA</c:v>
                </c:pt>
                <c:pt idx="5">
                  <c:v>Governmental and private</c:v>
                </c:pt>
                <c:pt idx="6">
                  <c:v>UNRWA and private</c:v>
                </c:pt>
                <c:pt idx="7">
                  <c:v>Israeli</c:v>
                </c:pt>
                <c:pt idx="8">
                  <c:v>Other</c:v>
                </c:pt>
              </c:strCache>
            </c:strRef>
          </c:cat>
          <c:val>
            <c:numRef>
              <c:f>Sheet1!$B$2:$B$10</c:f>
              <c:numCache>
                <c:formatCode>0.0</c:formatCode>
                <c:ptCount val="9"/>
                <c:pt idx="0">
                  <c:v>17.8</c:v>
                </c:pt>
                <c:pt idx="1">
                  <c:v>36.800000000000004</c:v>
                </c:pt>
                <c:pt idx="2">
                  <c:v>12</c:v>
                </c:pt>
                <c:pt idx="3">
                  <c:v>1.4</c:v>
                </c:pt>
                <c:pt idx="4">
                  <c:v>25.8</c:v>
                </c:pt>
                <c:pt idx="5">
                  <c:v>0.30000000000000027</c:v>
                </c:pt>
                <c:pt idx="6">
                  <c:v>0.5</c:v>
                </c:pt>
                <c:pt idx="7">
                  <c:v>4.9000000000000004</c:v>
                </c:pt>
                <c:pt idx="8">
                  <c:v>0.5</c:v>
                </c:pt>
              </c:numCache>
            </c:numRef>
          </c:val>
        </c:ser>
        <c:ser>
          <c:idx val="1"/>
          <c:order val="1"/>
          <c:tx>
            <c:strRef>
              <c:f>Sheet1!$C$1</c:f>
              <c:strCache>
                <c:ptCount val="1"/>
                <c:pt idx="0">
                  <c:v>West Bank</c:v>
                </c:pt>
              </c:strCache>
            </c:strRef>
          </c:tx>
          <c:dLbls>
            <c:dLbl>
              <c:idx val="2"/>
              <c:layout>
                <c:manualLayout>
                  <c:x val="2.5433725942327092E-2"/>
                  <c:y val="6.6500719668105956E-3"/>
                </c:manualLayout>
              </c:layout>
              <c:dLblPos val="outEnd"/>
              <c:showVal val="1"/>
            </c:dLbl>
            <c:dLbl>
              <c:idx val="3"/>
              <c:layout>
                <c:manualLayout>
                  <c:x val="2.2185246810870829E-3"/>
                  <c:y val="2.4521773487991452E-3"/>
                </c:manualLayout>
              </c:layout>
              <c:dLblPos val="outEnd"/>
              <c:showVal val="1"/>
            </c:dLbl>
            <c:dLbl>
              <c:idx val="5"/>
              <c:layout>
                <c:manualLayout>
                  <c:x val="6.6555740432612306E-3"/>
                  <c:y val="-9.2469957384359217E-2"/>
                </c:manualLayout>
              </c:layout>
              <c:dLblPos val="outEnd"/>
              <c:showVal val="1"/>
            </c:dLbl>
            <c:dLbl>
              <c:idx val="6"/>
              <c:layout>
                <c:manualLayout>
                  <c:x val="-9.4330970691891727E-6"/>
                  <c:y val="0.10065667598001878"/>
                </c:manualLayout>
              </c:layout>
              <c:dLblPos val="outEnd"/>
              <c:showVal val="1"/>
            </c:dLbl>
            <c:dLbl>
              <c:idx val="7"/>
              <c:layout>
                <c:manualLayout>
                  <c:x val="2.2675736961451352E-3"/>
                  <c:y val="-6.2738167704099413E-3"/>
                </c:manualLayout>
              </c:layout>
              <c:dLblPos val="outEnd"/>
              <c:showVal val="1"/>
            </c:dLbl>
            <c:dLbl>
              <c:idx val="8"/>
              <c:layout>
                <c:manualLayout>
                  <c:x val="-1.6593516492634775E-3"/>
                  <c:y val="-1.1336324894872035E-3"/>
                </c:manualLayout>
              </c:layout>
              <c:dLblPos val="outEnd"/>
              <c:showVal val="1"/>
            </c:dLbl>
            <c:showVal val="1"/>
          </c:dLbls>
          <c:cat>
            <c:strRef>
              <c:f>Sheet1!$A$2:$A$10</c:f>
              <c:strCache>
                <c:ptCount val="9"/>
                <c:pt idx="0">
                  <c:v>None</c:v>
                </c:pt>
                <c:pt idx="1">
                  <c:v>Only governmental</c:v>
                </c:pt>
                <c:pt idx="2">
                  <c:v>Only UNRWA</c:v>
                </c:pt>
                <c:pt idx="3">
                  <c:v>Only private</c:v>
                </c:pt>
                <c:pt idx="4">
                  <c:v>Governmental and UNRWA</c:v>
                </c:pt>
                <c:pt idx="5">
                  <c:v>Governmental and private</c:v>
                </c:pt>
                <c:pt idx="6">
                  <c:v>UNRWA and private</c:v>
                </c:pt>
                <c:pt idx="7">
                  <c:v>Israeli</c:v>
                </c:pt>
                <c:pt idx="8">
                  <c:v>Other</c:v>
                </c:pt>
              </c:strCache>
            </c:strRef>
          </c:cat>
          <c:val>
            <c:numRef>
              <c:f>Sheet1!$C$2:$C$10</c:f>
              <c:numCache>
                <c:formatCode>0.0</c:formatCode>
                <c:ptCount val="9"/>
                <c:pt idx="0">
                  <c:v>25.6</c:v>
                </c:pt>
                <c:pt idx="1">
                  <c:v>41.9</c:v>
                </c:pt>
                <c:pt idx="2">
                  <c:v>10.3</c:v>
                </c:pt>
                <c:pt idx="3">
                  <c:v>2</c:v>
                </c:pt>
                <c:pt idx="4">
                  <c:v>10.5</c:v>
                </c:pt>
                <c:pt idx="5">
                  <c:v>0.4</c:v>
                </c:pt>
                <c:pt idx="6">
                  <c:v>0.4</c:v>
                </c:pt>
                <c:pt idx="7">
                  <c:v>8.1</c:v>
                </c:pt>
                <c:pt idx="8">
                  <c:v>0.8</c:v>
                </c:pt>
              </c:numCache>
            </c:numRef>
          </c:val>
        </c:ser>
        <c:ser>
          <c:idx val="2"/>
          <c:order val="2"/>
          <c:tx>
            <c:strRef>
              <c:f>Sheet1!$D$1</c:f>
              <c:strCache>
                <c:ptCount val="1"/>
                <c:pt idx="0">
                  <c:v>Gaza strip</c:v>
                </c:pt>
              </c:strCache>
            </c:strRef>
          </c:tx>
          <c:dLbls>
            <c:dLbl>
              <c:idx val="0"/>
              <c:layout>
                <c:manualLayout>
                  <c:x val="1.1223344556677889E-2"/>
                  <c:y val="-6.0331825037707515E-3"/>
                </c:manualLayout>
              </c:layout>
              <c:dLblPos val="outEnd"/>
              <c:showVal val="1"/>
            </c:dLbl>
            <c:dLbl>
              <c:idx val="1"/>
              <c:layout>
                <c:manualLayout>
                  <c:x val="-2.4739764672273238E-3"/>
                  <c:y val="-9.9750623441396853E-3"/>
                </c:manualLayout>
              </c:layout>
              <c:dLblPos val="outEnd"/>
              <c:showVal val="1"/>
            </c:dLbl>
            <c:dLbl>
              <c:idx val="2"/>
              <c:layout>
                <c:manualLayout>
                  <c:x val="6.7340084985217201E-3"/>
                  <c:y val="-5.254762509525019E-3"/>
                </c:manualLayout>
              </c:layout>
              <c:dLblPos val="outEnd"/>
              <c:showVal val="1"/>
            </c:dLbl>
            <c:dLbl>
              <c:idx val="3"/>
              <c:layout>
                <c:manualLayout>
                  <c:x val="0"/>
                  <c:y val="0"/>
                </c:manualLayout>
              </c:layout>
              <c:showVal val="1"/>
            </c:dLbl>
            <c:dLbl>
              <c:idx val="6"/>
              <c:layout>
                <c:manualLayout>
                  <c:x val="4.4892807700202316E-3"/>
                  <c:y val="-2.5088476843620091E-3"/>
                </c:manualLayout>
              </c:layout>
              <c:dLblPos val="outEnd"/>
              <c:showVal val="1"/>
            </c:dLbl>
            <c:dLbl>
              <c:idx val="7"/>
              <c:layout>
                <c:manualLayout>
                  <c:x val="0"/>
                  <c:y val="-4.6979933959867921E-3"/>
                </c:manualLayout>
              </c:layout>
              <c:dLblPos val="outEnd"/>
              <c:showVal val="1"/>
            </c:dLbl>
            <c:dLbl>
              <c:idx val="8"/>
              <c:layout>
                <c:manualLayout>
                  <c:x val="2.2021041047073828E-3"/>
                  <c:y val="-6.0332458442694777E-3"/>
                </c:manualLayout>
              </c:layout>
              <c:dLblPos val="outEnd"/>
              <c:showVal val="1"/>
            </c:dLbl>
            <c:showVal val="1"/>
          </c:dLbls>
          <c:cat>
            <c:strRef>
              <c:f>Sheet1!$A$2:$A$10</c:f>
              <c:strCache>
                <c:ptCount val="9"/>
                <c:pt idx="0">
                  <c:v>None</c:v>
                </c:pt>
                <c:pt idx="1">
                  <c:v>Only governmental</c:v>
                </c:pt>
                <c:pt idx="2">
                  <c:v>Only UNRWA</c:v>
                </c:pt>
                <c:pt idx="3">
                  <c:v>Only private</c:v>
                </c:pt>
                <c:pt idx="4">
                  <c:v>Governmental and UNRWA</c:v>
                </c:pt>
                <c:pt idx="5">
                  <c:v>Governmental and private</c:v>
                </c:pt>
                <c:pt idx="6">
                  <c:v>UNRWA and private</c:v>
                </c:pt>
                <c:pt idx="7">
                  <c:v>Israeli</c:v>
                </c:pt>
                <c:pt idx="8">
                  <c:v>Other</c:v>
                </c:pt>
              </c:strCache>
            </c:strRef>
          </c:cat>
          <c:val>
            <c:numRef>
              <c:f>Sheet1!$D$2:$D$10</c:f>
              <c:numCache>
                <c:formatCode>0.0</c:formatCode>
                <c:ptCount val="9"/>
                <c:pt idx="0">
                  <c:v>5.7</c:v>
                </c:pt>
                <c:pt idx="1">
                  <c:v>28.9</c:v>
                </c:pt>
                <c:pt idx="2">
                  <c:v>14.5</c:v>
                </c:pt>
                <c:pt idx="3">
                  <c:v>0.4</c:v>
                </c:pt>
                <c:pt idx="4">
                  <c:v>49.7</c:v>
                </c:pt>
                <c:pt idx="5">
                  <c:v>0.1</c:v>
                </c:pt>
                <c:pt idx="6">
                  <c:v>0.5</c:v>
                </c:pt>
                <c:pt idx="7">
                  <c:v>0</c:v>
                </c:pt>
                <c:pt idx="8">
                  <c:v>0.2</c:v>
                </c:pt>
              </c:numCache>
            </c:numRef>
          </c:val>
        </c:ser>
        <c:dLbls>
          <c:showVal val="1"/>
        </c:dLbls>
        <c:axId val="129889024"/>
        <c:axId val="131095552"/>
      </c:barChart>
      <c:catAx>
        <c:axId val="129889024"/>
        <c:scaling>
          <c:orientation val="minMax"/>
        </c:scaling>
        <c:axPos val="l"/>
        <c:numFmt formatCode="General" sourceLinked="1"/>
        <c:tickLblPos val="nextTo"/>
        <c:txPr>
          <a:bodyPr rot="0" vert="horz"/>
          <a:lstStyle/>
          <a:p>
            <a:pPr>
              <a:defRPr sz="800" b="0" i="0" u="none" strike="noStrike" baseline="0">
                <a:solidFill>
                  <a:srgbClr val="000000"/>
                </a:solidFill>
                <a:latin typeface="Arial"/>
                <a:ea typeface="Arial"/>
                <a:cs typeface="Arial"/>
              </a:defRPr>
            </a:pPr>
            <a:endParaRPr lang="en-US"/>
          </a:p>
        </c:txPr>
        <c:crossAx val="131095552"/>
        <c:crosses val="autoZero"/>
        <c:auto val="1"/>
        <c:lblAlgn val="ctr"/>
        <c:lblOffset val="100"/>
      </c:catAx>
      <c:valAx>
        <c:axId val="131095552"/>
        <c:scaling>
          <c:orientation val="minMax"/>
        </c:scaling>
        <c:axPos val="b"/>
        <c:numFmt formatCode="General" sourceLinked="0"/>
        <c:tickLblPos val="nextTo"/>
        <c:txPr>
          <a:bodyPr rot="0" vert="horz"/>
          <a:lstStyle/>
          <a:p>
            <a:pPr>
              <a:defRPr sz="800" b="0" i="0" u="none" strike="noStrike" baseline="0">
                <a:solidFill>
                  <a:srgbClr val="000000"/>
                </a:solidFill>
                <a:latin typeface="Arial"/>
                <a:ea typeface="Arial"/>
                <a:cs typeface="Arial"/>
              </a:defRPr>
            </a:pPr>
            <a:endParaRPr lang="en-US"/>
          </a:p>
        </c:txPr>
        <c:crossAx val="129889024"/>
        <c:crosses val="autoZero"/>
        <c:crossBetween val="between"/>
      </c:valAx>
    </c:plotArea>
    <c:legend>
      <c:legendPos val="t"/>
      <c:layout>
        <c:manualLayout>
          <c:xMode val="edge"/>
          <c:yMode val="edge"/>
          <c:x val="0.48040675730474436"/>
          <c:y val="2.3809623797025392E-2"/>
          <c:w val="0.44570725773030423"/>
          <c:h val="7.1584251968503959E-2"/>
        </c:manualLayout>
      </c:layout>
      <c:spPr>
        <a:ln>
          <a:solidFill>
            <a:schemeClr val="accent1"/>
          </a:solidFill>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chart>
  <c:spPr>
    <a:ln>
      <a:noFill/>
    </a:ln>
  </c:spPr>
  <c:txPr>
    <a:bodyPr/>
    <a:lstStyle/>
    <a:p>
      <a:pPr>
        <a:defRPr sz="900" b="0" i="0" u="none" strike="noStrike" baseline="0">
          <a:solidFill>
            <a:srgbClr val="000000"/>
          </a:solidFill>
          <a:latin typeface="Calibri"/>
          <a:ea typeface="Calibri"/>
          <a:cs typeface="Calibri"/>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3153572470107902"/>
          <c:w val="0.92997357563807248"/>
          <c:h val="0.78315582774375425"/>
        </c:manualLayout>
      </c:layout>
      <c:barChart>
        <c:barDir val="col"/>
        <c:grouping val="clustered"/>
        <c:ser>
          <c:idx val="0"/>
          <c:order val="0"/>
          <c:tx>
            <c:strRef>
              <c:f>Sheet1!$A$2</c:f>
              <c:strCache>
                <c:ptCount val="1"/>
                <c:pt idx="0">
                  <c:v>Palestine</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Land (owned or rented)</c:v>
                </c:pt>
                <c:pt idx="1">
                  <c:v>Animal</c:v>
                </c:pt>
              </c:strCache>
            </c:strRef>
          </c:cat>
          <c:val>
            <c:numRef>
              <c:f>Sheet1!$B$2:$C$2</c:f>
              <c:numCache>
                <c:formatCode>General</c:formatCode>
                <c:ptCount val="2"/>
                <c:pt idx="0">
                  <c:v>3.2999999999999972</c:v>
                </c:pt>
                <c:pt idx="1">
                  <c:v>1.7999999999999956</c:v>
                </c:pt>
              </c:numCache>
            </c:numRef>
          </c:val>
        </c:ser>
        <c:ser>
          <c:idx val="1"/>
          <c:order val="1"/>
          <c:tx>
            <c:strRef>
              <c:f>Sheet1!$A$3</c:f>
              <c:strCache>
                <c:ptCount val="1"/>
                <c:pt idx="0">
                  <c:v>West Bank</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Land (owned or rented)</c:v>
                </c:pt>
                <c:pt idx="1">
                  <c:v>Animal</c:v>
                </c:pt>
              </c:strCache>
            </c:strRef>
          </c:cat>
          <c:val>
            <c:numRef>
              <c:f>Sheet1!$B$3:$C$3</c:f>
              <c:numCache>
                <c:formatCode>General</c:formatCode>
                <c:ptCount val="2"/>
                <c:pt idx="0">
                  <c:v>2.7999999999999972</c:v>
                </c:pt>
                <c:pt idx="1">
                  <c:v>0.30000000000000016</c:v>
                </c:pt>
              </c:numCache>
            </c:numRef>
          </c:val>
        </c:ser>
        <c:ser>
          <c:idx val="2"/>
          <c:order val="2"/>
          <c:tx>
            <c:strRef>
              <c:f>Sheet1!$A$4</c:f>
              <c:strCache>
                <c:ptCount val="1"/>
                <c:pt idx="0">
                  <c:v>Gaza Strip</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Land (owned or rented)</c:v>
                </c:pt>
                <c:pt idx="1">
                  <c:v>Animal</c:v>
                </c:pt>
              </c:strCache>
            </c:strRef>
          </c:cat>
          <c:val>
            <c:numRef>
              <c:f>Sheet1!$B$4:$C$4</c:f>
              <c:numCache>
                <c:formatCode>General</c:formatCode>
                <c:ptCount val="2"/>
                <c:pt idx="0">
                  <c:v>4.5</c:v>
                </c:pt>
                <c:pt idx="1">
                  <c:v>4.5999999999999996</c:v>
                </c:pt>
              </c:numCache>
            </c:numRef>
          </c:val>
        </c:ser>
        <c:dLbls>
          <c:showVal val="1"/>
        </c:dLbls>
        <c:axId val="176316800"/>
        <c:axId val="176318336"/>
      </c:barChart>
      <c:catAx>
        <c:axId val="176316800"/>
        <c:scaling>
          <c:orientation val="minMax"/>
        </c:scaling>
        <c:axPos val="b"/>
        <c:numFmt formatCode="General" sourceLinked="1"/>
        <c:tickLblPos val="low"/>
        <c:txPr>
          <a:bodyPr/>
          <a:lstStyle/>
          <a:p>
            <a:pPr>
              <a:defRPr sz="900">
                <a:latin typeface="Arial" pitchFamily="34" charset="0"/>
                <a:cs typeface="Arial" pitchFamily="34" charset="0"/>
              </a:defRPr>
            </a:pPr>
            <a:endParaRPr lang="en-US"/>
          </a:p>
        </c:txPr>
        <c:crossAx val="176318336"/>
        <c:crosses val="autoZero"/>
        <c:auto val="1"/>
        <c:lblAlgn val="ctr"/>
        <c:lblOffset val="100"/>
      </c:catAx>
      <c:valAx>
        <c:axId val="176318336"/>
        <c:scaling>
          <c:orientation val="minMax"/>
        </c:scaling>
        <c:axPos val="l"/>
        <c:numFmt formatCode="General" sourceLinked="1"/>
        <c:tickLblPos val="nextTo"/>
        <c:txPr>
          <a:bodyPr/>
          <a:lstStyle/>
          <a:p>
            <a:pPr>
              <a:defRPr sz="900">
                <a:latin typeface="Arial" pitchFamily="34" charset="0"/>
                <a:cs typeface="Arial" pitchFamily="34" charset="0"/>
              </a:defRPr>
            </a:pPr>
            <a:endParaRPr lang="en-US"/>
          </a:p>
        </c:txPr>
        <c:crossAx val="176316800"/>
        <c:crosses val="autoZero"/>
        <c:crossBetween val="between"/>
      </c:valAx>
    </c:plotArea>
    <c:legend>
      <c:legendPos val="r"/>
      <c:layout>
        <c:manualLayout>
          <c:xMode val="edge"/>
          <c:yMode val="edge"/>
          <c:x val="0.32291582841485073"/>
          <c:y val="2.6296490716438223E-2"/>
          <c:w val="0.45473653356782157"/>
          <c:h val="0.13193934091571899"/>
        </c:manualLayout>
      </c:layout>
      <c:spPr>
        <a:ln>
          <a:solidFill>
            <a:schemeClr val="accent1"/>
          </a:solidFill>
        </a:ln>
      </c:spPr>
      <c:txPr>
        <a:bodyPr/>
        <a:lstStyle/>
        <a:p>
          <a:pPr rtl="1">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5691199116715657"/>
          <c:w val="0.91187486179612154"/>
          <c:h val="0.67184317827430451"/>
        </c:manualLayout>
      </c:layout>
      <c:barChart>
        <c:barDir val="col"/>
        <c:grouping val="clustered"/>
        <c:ser>
          <c:idx val="0"/>
          <c:order val="0"/>
          <c:tx>
            <c:strRef>
              <c:f>Sheet1!$A$2</c:f>
              <c:strCache>
                <c:ptCount val="1"/>
                <c:pt idx="0">
                  <c:v>Palestine</c:v>
                </c:pt>
              </c:strCache>
            </c:strRef>
          </c:tx>
          <c:dLbls>
            <c:txPr>
              <a:bodyPr/>
              <a:lstStyle/>
              <a:p>
                <a:pPr>
                  <a:defRPr sz="899"/>
                </a:pPr>
                <a:endParaRPr lang="en-US"/>
              </a:p>
            </c:txPr>
            <c:showVal val="1"/>
          </c:dLbls>
          <c:cat>
            <c:strRef>
              <c:f>Sheet1!$B$1:$E$1</c:f>
              <c:strCache>
                <c:ptCount val="3"/>
                <c:pt idx="0">
                  <c:v>Very Much</c:v>
                </c:pt>
                <c:pt idx="1">
                  <c:v>Minor</c:v>
                </c:pt>
                <c:pt idx="2">
                  <c:v>Not at all</c:v>
                </c:pt>
              </c:strCache>
            </c:strRef>
          </c:cat>
          <c:val>
            <c:numRef>
              <c:f>Sheet1!$B$2:$E$2</c:f>
              <c:numCache>
                <c:formatCode>0.0</c:formatCode>
                <c:ptCount val="3"/>
                <c:pt idx="0">
                  <c:v>19.5</c:v>
                </c:pt>
                <c:pt idx="1">
                  <c:v>7.9999999999999982</c:v>
                </c:pt>
                <c:pt idx="2">
                  <c:v>-26.299999999999986</c:v>
                </c:pt>
              </c:numCache>
            </c:numRef>
          </c:val>
        </c:ser>
        <c:ser>
          <c:idx val="1"/>
          <c:order val="1"/>
          <c:tx>
            <c:strRef>
              <c:f>Sheet1!$A$3</c:f>
              <c:strCache>
                <c:ptCount val="1"/>
                <c:pt idx="0">
                  <c:v>West Bank</c:v>
                </c:pt>
              </c:strCache>
            </c:strRef>
          </c:tx>
          <c:dLbls>
            <c:txPr>
              <a:bodyPr/>
              <a:lstStyle/>
              <a:p>
                <a:pPr>
                  <a:defRPr sz="899"/>
                </a:pPr>
                <a:endParaRPr lang="en-US"/>
              </a:p>
            </c:txPr>
            <c:showVal val="1"/>
          </c:dLbls>
          <c:cat>
            <c:strRef>
              <c:f>Sheet1!$B$1:$E$1</c:f>
              <c:strCache>
                <c:ptCount val="3"/>
                <c:pt idx="0">
                  <c:v>Very Much</c:v>
                </c:pt>
                <c:pt idx="1">
                  <c:v>Minor</c:v>
                </c:pt>
                <c:pt idx="2">
                  <c:v>Not at all</c:v>
                </c:pt>
              </c:strCache>
            </c:strRef>
          </c:cat>
          <c:val>
            <c:numRef>
              <c:f>Sheet1!$B$3:$E$3</c:f>
              <c:numCache>
                <c:formatCode>0.0</c:formatCode>
                <c:ptCount val="3"/>
                <c:pt idx="0">
                  <c:v>2.6000000000000005</c:v>
                </c:pt>
                <c:pt idx="1">
                  <c:v>5.9</c:v>
                </c:pt>
                <c:pt idx="2">
                  <c:v>-6.7000000000000028</c:v>
                </c:pt>
              </c:numCache>
            </c:numRef>
          </c:val>
        </c:ser>
        <c:ser>
          <c:idx val="2"/>
          <c:order val="2"/>
          <c:tx>
            <c:strRef>
              <c:f>Sheet1!$A$4</c:f>
              <c:strCache>
                <c:ptCount val="1"/>
                <c:pt idx="0">
                  <c:v>Gaza Strip</c:v>
                </c:pt>
              </c:strCache>
            </c:strRef>
          </c:tx>
          <c:dLbls>
            <c:txPr>
              <a:bodyPr/>
              <a:lstStyle/>
              <a:p>
                <a:pPr>
                  <a:defRPr sz="899"/>
                </a:pPr>
                <a:endParaRPr lang="en-US"/>
              </a:p>
            </c:txPr>
            <c:showVal val="1"/>
          </c:dLbls>
          <c:cat>
            <c:strRef>
              <c:f>Sheet1!$B$1:$E$1</c:f>
              <c:strCache>
                <c:ptCount val="3"/>
                <c:pt idx="0">
                  <c:v>Very Much</c:v>
                </c:pt>
                <c:pt idx="1">
                  <c:v>Minor</c:v>
                </c:pt>
                <c:pt idx="2">
                  <c:v>Not at all</c:v>
                </c:pt>
              </c:strCache>
            </c:strRef>
          </c:cat>
          <c:val>
            <c:numRef>
              <c:f>Sheet1!$B$4:$E$4</c:f>
              <c:numCache>
                <c:formatCode>0.0</c:formatCode>
                <c:ptCount val="3"/>
                <c:pt idx="0">
                  <c:v>51.8</c:v>
                </c:pt>
                <c:pt idx="1">
                  <c:v>12.1</c:v>
                </c:pt>
                <c:pt idx="2">
                  <c:v>-63.9</c:v>
                </c:pt>
              </c:numCache>
            </c:numRef>
          </c:val>
        </c:ser>
        <c:dLbls>
          <c:showVal val="1"/>
        </c:dLbls>
        <c:axId val="176365568"/>
        <c:axId val="176367104"/>
      </c:barChart>
      <c:catAx>
        <c:axId val="176365568"/>
        <c:scaling>
          <c:orientation val="minMax"/>
        </c:scaling>
        <c:axPos val="b"/>
        <c:numFmt formatCode="General" sourceLinked="1"/>
        <c:tickLblPos val="low"/>
        <c:txPr>
          <a:bodyPr/>
          <a:lstStyle/>
          <a:p>
            <a:pPr>
              <a:defRPr sz="899"/>
            </a:pPr>
            <a:endParaRPr lang="en-US"/>
          </a:p>
        </c:txPr>
        <c:crossAx val="176367104"/>
        <c:crosses val="autoZero"/>
        <c:auto val="1"/>
        <c:lblAlgn val="ctr"/>
        <c:lblOffset val="100"/>
      </c:catAx>
      <c:valAx>
        <c:axId val="176367104"/>
        <c:scaling>
          <c:orientation val="minMax"/>
        </c:scaling>
        <c:axPos val="l"/>
        <c:numFmt formatCode="0" sourceLinked="0"/>
        <c:tickLblPos val="nextTo"/>
        <c:txPr>
          <a:bodyPr/>
          <a:lstStyle/>
          <a:p>
            <a:pPr>
              <a:defRPr sz="899"/>
            </a:pPr>
            <a:endParaRPr lang="en-US"/>
          </a:p>
        </c:txPr>
        <c:crossAx val="176365568"/>
        <c:crosses val="autoZero"/>
        <c:crossBetween val="between"/>
      </c:valAx>
    </c:plotArea>
    <c:legend>
      <c:legendPos val="r"/>
      <c:layout>
        <c:manualLayout>
          <c:xMode val="edge"/>
          <c:yMode val="edge"/>
          <c:x val="0.42349629373251507"/>
          <c:y val="2.6296694463007631E-2"/>
          <c:w val="0.49302741003528427"/>
          <c:h val="0.13193944852834419"/>
        </c:manualLayout>
      </c:layout>
      <c:spPr>
        <a:ln>
          <a:solidFill>
            <a:schemeClr val="accent1"/>
          </a:solidFill>
        </a:ln>
      </c:spPr>
      <c:txPr>
        <a:bodyPr/>
        <a:lstStyle/>
        <a:p>
          <a:pPr>
            <a:defRPr sz="899"/>
          </a:pPr>
          <a:endParaRPr lang="en-US"/>
        </a:p>
      </c:txPr>
    </c:legend>
    <c:plotVisOnly val="1"/>
    <c:dispBlanksAs val="gap"/>
  </c:chart>
  <c:spPr>
    <a:ln>
      <a:noFill/>
    </a:ln>
  </c:spPr>
  <c:txPr>
    <a:bodyPr/>
    <a:lstStyle/>
    <a:p>
      <a:pPr>
        <a:defRPr>
          <a:latin typeface="Arial" pitchFamily="34" charset="0"/>
          <a:cs typeface="Arial" pitchFamily="34" charset="0"/>
        </a:defRPr>
      </a:pPr>
      <a:endParaRPr lang="en-US"/>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6.2502857874473003E-2"/>
          <c:y val="4.3927980340037122E-2"/>
          <c:w val="0.89033680096557277"/>
          <c:h val="0.80936322450139597"/>
        </c:manualLayout>
      </c:layout>
      <c:barChart>
        <c:barDir val="col"/>
        <c:grouping val="clustered"/>
        <c:ser>
          <c:idx val="0"/>
          <c:order val="0"/>
          <c:tx>
            <c:strRef>
              <c:f>Sheet1!$B$1</c:f>
              <c:strCache>
                <c:ptCount val="1"/>
                <c:pt idx="0">
                  <c:v>المساعدات ساهمت في تحسين وضع الأسرة</c:v>
                </c:pt>
              </c:strCache>
            </c:strRef>
          </c:tx>
          <c:dLbls>
            <c:txPr>
              <a:bodyPr/>
              <a:lstStyle/>
              <a:p>
                <a:pPr>
                  <a:defRPr>
                    <a:latin typeface="Arial" pitchFamily="34" charset="0"/>
                    <a:cs typeface="Arial" pitchFamily="34" charset="0"/>
                  </a:defRPr>
                </a:pPr>
                <a:endParaRPr lang="en-US"/>
              </a:p>
            </c:txPr>
            <c:showVal val="1"/>
          </c:dLbls>
          <c:cat>
            <c:strRef>
              <c:f>Sheet1!$A$2:$A$6</c:f>
              <c:strCache>
                <c:ptCount val="5"/>
                <c:pt idx="0">
                  <c:v>Gaza</c:v>
                </c:pt>
                <c:pt idx="1">
                  <c:v>Rafah</c:v>
                </c:pt>
                <c:pt idx="2">
                  <c:v>Khanyunis</c:v>
                </c:pt>
                <c:pt idx="3">
                  <c:v>North Gaza</c:v>
                </c:pt>
                <c:pt idx="4">
                  <c:v>Dier Al-Balah</c:v>
                </c:pt>
              </c:strCache>
            </c:strRef>
          </c:cat>
          <c:val>
            <c:numRef>
              <c:f>Sheet1!$B$2:$B$6</c:f>
              <c:numCache>
                <c:formatCode>####.0</c:formatCode>
                <c:ptCount val="5"/>
                <c:pt idx="0">
                  <c:v>11.31389450465452</c:v>
                </c:pt>
                <c:pt idx="1">
                  <c:v>11.299355301305118</c:v>
                </c:pt>
                <c:pt idx="2">
                  <c:v>7.9551992556595232</c:v>
                </c:pt>
                <c:pt idx="3">
                  <c:v>5.8748542734641545</c:v>
                </c:pt>
                <c:pt idx="4">
                  <c:v>5.0049358675392357</c:v>
                </c:pt>
              </c:numCache>
            </c:numRef>
          </c:val>
        </c:ser>
        <c:dLbls>
          <c:showVal val="1"/>
        </c:dLbls>
        <c:axId val="176530560"/>
        <c:axId val="176532096"/>
      </c:barChart>
      <c:catAx>
        <c:axId val="176530560"/>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76532096"/>
        <c:crosses val="autoZero"/>
        <c:auto val="1"/>
        <c:lblAlgn val="ctr"/>
        <c:lblOffset val="100"/>
      </c:catAx>
      <c:valAx>
        <c:axId val="176532096"/>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76530560"/>
        <c:crosses val="autoZero"/>
        <c:crossBetween val="between"/>
      </c:valAx>
    </c:plotArea>
    <c:plotVisOnly val="1"/>
    <c:dispBlanksAs val="gap"/>
  </c:chart>
  <c:spPr>
    <a:noFill/>
    <a:ln>
      <a:noFill/>
    </a:ln>
  </c:spPr>
  <c:txPr>
    <a:bodyPr/>
    <a:lstStyle/>
    <a:p>
      <a:pPr>
        <a:defRPr sz="899"/>
      </a:pPr>
      <a:endParaRPr lang="en-US"/>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31042017183749676"/>
          <c:y val="3.6832412523020441E-2"/>
          <c:w val="0.29724343188079094"/>
          <c:h val="0.95622641856275603"/>
        </c:manualLayout>
      </c:layout>
      <c:pieChart>
        <c:varyColors val="1"/>
        <c:ser>
          <c:idx val="0"/>
          <c:order val="0"/>
          <c:explosion val="25"/>
          <c:dPt>
            <c:idx val="1"/>
            <c:explosion val="18"/>
          </c:dPt>
          <c:dLbls>
            <c:dLbl>
              <c:idx val="0"/>
              <c:layout>
                <c:manualLayout>
                  <c:x val="-5.4789543447537413E-2"/>
                  <c:y val="-4.4120106996194862E-2"/>
                </c:manualLayout>
              </c:layout>
              <c:dLblPos val="bestFit"/>
              <c:showCatName val="1"/>
              <c:showPercent val="1"/>
              <c:separator>
</c:separator>
            </c:dLbl>
            <c:dLbl>
              <c:idx val="1"/>
              <c:layout>
                <c:manualLayout>
                  <c:x val="2.6622424705273044E-2"/>
                  <c:y val="-5.5831920531464713E-2"/>
                </c:manualLayout>
              </c:layout>
              <c:dLblPos val="bestFit"/>
              <c:showCatName val="1"/>
              <c:showPercent val="1"/>
              <c:separator>
</c:separator>
            </c:dLbl>
            <c:dLbl>
              <c:idx val="2"/>
              <c:layout>
                <c:manualLayout>
                  <c:x val="1.3910071761949007E-2"/>
                  <c:y val="-0.31734984857327997"/>
                </c:manualLayout>
              </c:layout>
              <c:dLblPos val="bestFit"/>
              <c:showCatName val="1"/>
              <c:showPercent val="1"/>
              <c:separator>
</c:separator>
            </c:dLbl>
            <c:dLbl>
              <c:idx val="3"/>
              <c:layout>
                <c:manualLayout>
                  <c:x val="0.1427230112340209"/>
                  <c:y val="-0.36422147364164142"/>
                </c:manualLayout>
              </c:layout>
              <c:dLblPos val="bestFit"/>
              <c:showCatName val="1"/>
              <c:showPercent val="1"/>
              <c:separator>
</c:separator>
            </c:dLbl>
            <c:dLbl>
              <c:idx val="4"/>
              <c:layout>
                <c:manualLayout>
                  <c:x val="0.1071084632743"/>
                  <c:y val="-0.28686114698272497"/>
                </c:manualLayout>
              </c:layout>
              <c:dLblPos val="bestFit"/>
              <c:showCatName val="1"/>
              <c:showPercent val="1"/>
              <c:separator>
</c:separator>
            </c:dLbl>
            <c:dLbl>
              <c:idx val="5"/>
              <c:layout>
                <c:manualLayout>
                  <c:x val="0.2061137000732052"/>
                  <c:y val="-0.32814939116217112"/>
                </c:manualLayout>
              </c:layout>
              <c:dLblPos val="bestFit"/>
              <c:showCatName val="1"/>
              <c:showPercent val="1"/>
              <c:separator>
</c:separator>
            </c:dLbl>
            <c:dLbl>
              <c:idx val="6"/>
              <c:layout>
                <c:manualLayout>
                  <c:x val="0.11065563233167303"/>
                  <c:y val="-0.15361301148831821"/>
                </c:manualLayout>
              </c:layout>
              <c:dLblPos val="bestFit"/>
              <c:showCatName val="1"/>
              <c:showPercent val="1"/>
              <c:separator>
</c:separator>
            </c:dLbl>
            <c:dLbl>
              <c:idx val="7"/>
              <c:layout>
                <c:manualLayout>
                  <c:x val="0.16516917528166122"/>
                  <c:y val="0"/>
                </c:manualLayout>
              </c:layout>
              <c:dLblPos val="bestFit"/>
              <c:showCatName val="1"/>
              <c:showPercent val="1"/>
              <c:separator>
</c:separator>
            </c:dLbl>
            <c:numFmt formatCode="0.0%" sourceLinked="0"/>
            <c:txPr>
              <a:bodyPr/>
              <a:lstStyle/>
              <a:p>
                <a:pPr>
                  <a:defRPr sz="703">
                    <a:latin typeface="Arial" pitchFamily="34" charset="0"/>
                    <a:cs typeface="Arial" pitchFamily="34" charset="0"/>
                  </a:defRPr>
                </a:pPr>
                <a:endParaRPr lang="en-US"/>
              </a:p>
            </c:txPr>
            <c:showCatName val="1"/>
            <c:showPercent val="1"/>
            <c:separator>
</c:separator>
            <c:showLeaderLines val="1"/>
          </c:dLbls>
          <c:cat>
            <c:strRef>
              <c:f>Sheet1!$A$2:$A$9</c:f>
              <c:strCache>
                <c:ptCount val="8"/>
                <c:pt idx="0">
                  <c:v>Children’s, family’s or relative’s house</c:v>
                </c:pt>
                <c:pt idx="1">
                  <c:v>School</c:v>
                </c:pt>
                <c:pt idx="2">
                  <c:v>Friends’ or other people’s house</c:v>
                </c:pt>
                <c:pt idx="3">
                  <c:v>Rent house/ hotel room</c:v>
                </c:pt>
                <c:pt idx="4">
                  <c:v>Hospital</c:v>
                </c:pt>
                <c:pt idx="5">
                  <c:v>Secondary family or personal house</c:v>
                </c:pt>
                <c:pt idx="6">
                  <c:v>Place of worship</c:v>
                </c:pt>
                <c:pt idx="7">
                  <c:v>Public places/ public yards</c:v>
                </c:pt>
              </c:strCache>
            </c:strRef>
          </c:cat>
          <c:val>
            <c:numRef>
              <c:f>Sheet1!$B$2:$B$9</c:f>
              <c:numCache>
                <c:formatCode>0.0</c:formatCode>
                <c:ptCount val="8"/>
                <c:pt idx="0">
                  <c:v>71</c:v>
                </c:pt>
                <c:pt idx="1">
                  <c:v>17.7</c:v>
                </c:pt>
                <c:pt idx="2">
                  <c:v>6.2</c:v>
                </c:pt>
                <c:pt idx="3">
                  <c:v>1.8</c:v>
                </c:pt>
                <c:pt idx="4">
                  <c:v>1.3</c:v>
                </c:pt>
                <c:pt idx="5">
                  <c:v>1.2</c:v>
                </c:pt>
                <c:pt idx="6">
                  <c:v>0.5</c:v>
                </c:pt>
                <c:pt idx="7">
                  <c:v>0.30000000000000032</c:v>
                </c:pt>
              </c:numCache>
            </c:numRef>
          </c:val>
        </c:ser>
        <c:dLbls>
          <c:showVal val="1"/>
          <c:showCatName val="1"/>
        </c:dLbls>
        <c:firstSliceAng val="126"/>
      </c:pieChart>
      <c:spPr>
        <a:noFill/>
        <a:ln w="23797">
          <a:noFill/>
        </a:ln>
      </c:spPr>
    </c:plotArea>
    <c:plotVisOnly val="1"/>
    <c:dispBlanksAs val="zero"/>
  </c:chart>
  <c:spPr>
    <a:ln>
      <a:noFill/>
    </a:ln>
  </c:spPr>
  <c:txPr>
    <a:bodyPr/>
    <a:lstStyle/>
    <a:p>
      <a:pPr>
        <a:defRPr sz="843"/>
      </a:pPr>
      <a:endParaRPr lang="en-US"/>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22269990947838625"/>
          <c:y val="0"/>
          <c:w val="0.44906491442090868"/>
          <c:h val="1"/>
        </c:manualLayout>
      </c:layout>
      <c:pieChart>
        <c:varyColors val="1"/>
        <c:ser>
          <c:idx val="0"/>
          <c:order val="0"/>
          <c:explosion val="25"/>
          <c:dPt>
            <c:idx val="1"/>
            <c:explosion val="19"/>
          </c:dPt>
          <c:dLbls>
            <c:dLbl>
              <c:idx val="0"/>
              <c:layout>
                <c:manualLayout>
                  <c:x val="-5.4789543447537413E-2"/>
                  <c:y val="-4.4120106996194862E-2"/>
                </c:manualLayout>
              </c:layout>
              <c:dLblPos val="bestFit"/>
              <c:showCatName val="1"/>
              <c:showPercent val="1"/>
              <c:separator>
</c:separator>
            </c:dLbl>
            <c:dLbl>
              <c:idx val="1"/>
              <c:layout>
                <c:manualLayout>
                  <c:x val="0.12903211270277964"/>
                  <c:y val="7.0063694267517448E-2"/>
                </c:manualLayout>
              </c:layout>
              <c:dLblPos val="bestFit"/>
              <c:showCatName val="1"/>
              <c:showPercent val="1"/>
              <c:separator>
</c:separator>
            </c:dLbl>
            <c:dLbl>
              <c:idx val="2"/>
              <c:layout>
                <c:manualLayout>
                  <c:x val="9.6328621572905879E-2"/>
                  <c:y val="-2.0018556597622743E-2"/>
                </c:manualLayout>
              </c:layout>
              <c:dLblPos val="bestFit"/>
              <c:showCatName val="1"/>
              <c:showPercent val="1"/>
              <c:separator>
</c:separator>
            </c:dLbl>
            <c:dLbl>
              <c:idx val="3"/>
              <c:layout>
                <c:manualLayout>
                  <c:x val="0.11463879138601669"/>
                  <c:y val="8.6041927880034105E-2"/>
                </c:manualLayout>
              </c:layout>
              <c:dLblPos val="bestFit"/>
              <c:showCatName val="1"/>
              <c:showPercent val="1"/>
              <c:separator>
</c:separator>
            </c:dLbl>
            <c:dLbl>
              <c:idx val="4"/>
              <c:layout>
                <c:manualLayout>
                  <c:x val="0.19100922585345728"/>
                  <c:y val="-0.36708385136069327"/>
                </c:manualLayout>
              </c:layout>
              <c:dLblPos val="bestFit"/>
              <c:showCatName val="1"/>
              <c:showPercent val="1"/>
              <c:separator>
</c:separator>
            </c:dLbl>
            <c:dLbl>
              <c:idx val="5"/>
              <c:layout>
                <c:manualLayout>
                  <c:x val="0.17890290469544445"/>
                  <c:y val="-0.24071782893167071"/>
                </c:manualLayout>
              </c:layout>
              <c:dLblPos val="bestFit"/>
              <c:showCatName val="1"/>
              <c:showPercent val="1"/>
              <c:separator>
</c:separator>
            </c:dLbl>
            <c:dLbl>
              <c:idx val="6"/>
              <c:layout>
                <c:manualLayout>
                  <c:x val="0.26429515708529283"/>
                  <c:y val="-0.1317550138768539"/>
                </c:manualLayout>
              </c:layout>
              <c:dLblPos val="bestFit"/>
              <c:showCatName val="1"/>
              <c:showPercent val="1"/>
              <c:separator>
</c:separator>
            </c:dLbl>
            <c:dLbl>
              <c:idx val="7"/>
              <c:layout>
                <c:manualLayout>
                  <c:x val="0.17197183964044629"/>
                  <c:y val="5.8648482336837081E-2"/>
                </c:manualLayout>
              </c:layout>
              <c:dLblPos val="bestFi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Sheet1!$A$2:$A$5</c:f>
              <c:strCache>
                <c:ptCount val="4"/>
                <c:pt idx="0">
                  <c:v>Once</c:v>
                </c:pt>
                <c:pt idx="1">
                  <c:v>Twice</c:v>
                </c:pt>
                <c:pt idx="2">
                  <c:v>Three times</c:v>
                </c:pt>
                <c:pt idx="3">
                  <c:v>Four times</c:v>
                </c:pt>
              </c:strCache>
            </c:strRef>
          </c:cat>
          <c:val>
            <c:numRef>
              <c:f>Sheet1!$B$2:$B$5</c:f>
              <c:numCache>
                <c:formatCode>0.0</c:formatCode>
                <c:ptCount val="4"/>
                <c:pt idx="0">
                  <c:v>63</c:v>
                </c:pt>
                <c:pt idx="1">
                  <c:v>23.8</c:v>
                </c:pt>
                <c:pt idx="2">
                  <c:v>7.3</c:v>
                </c:pt>
                <c:pt idx="3">
                  <c:v>5.9</c:v>
                </c:pt>
              </c:numCache>
            </c:numRef>
          </c:val>
        </c:ser>
        <c:dLbls>
          <c:showVal val="1"/>
          <c:showCatName val="1"/>
        </c:dLbls>
        <c:firstSliceAng val="126"/>
      </c:pieChart>
      <c:spPr>
        <a:noFill/>
        <a:ln w="25392">
          <a:noFill/>
        </a:ln>
      </c:spPr>
    </c:plotArea>
    <c:plotVisOnly val="1"/>
    <c:dispBlanksAs val="zero"/>
  </c:chart>
  <c:spPr>
    <a:ln>
      <a:noFill/>
    </a:ln>
  </c:spPr>
  <c:txPr>
    <a:bodyPr/>
    <a:lstStyle/>
    <a:p>
      <a:pPr>
        <a:defRPr sz="900"/>
      </a:pPr>
      <a:endParaRPr lang="en-US"/>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29400346055469656"/>
          <c:y val="0.15434083601286558"/>
          <c:w val="0.40379833492151063"/>
          <c:h val="0.81538699141705806"/>
        </c:manualLayout>
      </c:layout>
      <c:pieChart>
        <c:varyColors val="1"/>
        <c:ser>
          <c:idx val="0"/>
          <c:order val="0"/>
          <c:tx>
            <c:strRef>
              <c:f>Sheet1!$B$1</c:f>
              <c:strCache>
                <c:ptCount val="1"/>
                <c:pt idx="0">
                  <c:v>%</c:v>
                </c:pt>
              </c:strCache>
            </c:strRef>
          </c:tx>
          <c:dPt>
            <c:idx val="1"/>
            <c:explosion val="1"/>
          </c:dPt>
          <c:dLbls>
            <c:dLbl>
              <c:idx val="0"/>
              <c:layout>
                <c:manualLayout>
                  <c:x val="0.10341692161091329"/>
                  <c:y val="0.25506190343570395"/>
                </c:manualLayout>
              </c:layout>
              <c:dLblPos val="bestFit"/>
              <c:showCatName val="1"/>
              <c:showPercent val="1"/>
              <c:separator>
</c:separator>
            </c:dLbl>
            <c:dLbl>
              <c:idx val="1"/>
              <c:layout>
                <c:manualLayout>
                  <c:x val="-0.11910692084542072"/>
                  <c:y val="-0.24152466016374818"/>
                </c:manualLayout>
              </c:layout>
              <c:dLblPos val="bestFit"/>
              <c:showCatName val="1"/>
              <c:showPercent val="1"/>
              <c:separator>
</c:separator>
            </c:dLbl>
            <c:dLbl>
              <c:idx val="2"/>
              <c:layout>
                <c:manualLayout>
                  <c:x val="-2.6628216058980001E-2"/>
                  <c:y val="3.3900802592601982E-2"/>
                </c:manualLayout>
              </c:layout>
              <c:dLblPos val="bestFi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Sheet1!$A$2:$A$5</c:f>
              <c:strCache>
                <c:ptCount val="4"/>
                <c:pt idx="0">
                  <c:v>No change</c:v>
                </c:pt>
                <c:pt idx="1">
                  <c:v>Decreased</c:v>
                </c:pt>
                <c:pt idx="2">
                  <c:v>Totally stopped</c:v>
                </c:pt>
                <c:pt idx="3">
                  <c:v>Increased</c:v>
                </c:pt>
              </c:strCache>
            </c:strRef>
          </c:cat>
          <c:val>
            <c:numRef>
              <c:f>Sheet1!$B$2:$B$5</c:f>
              <c:numCache>
                <c:formatCode>#,##0.0</c:formatCode>
                <c:ptCount val="4"/>
                <c:pt idx="0">
                  <c:v>24.7</c:v>
                </c:pt>
                <c:pt idx="1">
                  <c:v>59</c:v>
                </c:pt>
                <c:pt idx="2">
                  <c:v>16</c:v>
                </c:pt>
                <c:pt idx="3">
                  <c:v>0.30000000000000032</c:v>
                </c:pt>
              </c:numCache>
            </c:numRef>
          </c:val>
        </c:ser>
        <c:dLbls>
          <c:showVal val="1"/>
        </c:dLbls>
        <c:firstSliceAng val="0"/>
      </c:pieChart>
      <c:spPr>
        <a:noFill/>
        <a:ln w="20015">
          <a:noFill/>
        </a:ln>
      </c:spPr>
    </c:plotArea>
    <c:plotVisOnly val="1"/>
    <c:dispBlanksAs val="zero"/>
  </c:chart>
  <c:spPr>
    <a:ln>
      <a:noFill/>
    </a:ln>
  </c:sp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302182913755517"/>
          <c:y val="3.6399261973441441E-2"/>
          <c:w val="0.34559775978706886"/>
          <c:h val="0.96360087585736853"/>
        </c:manualLayout>
      </c:layout>
      <c:pieChart>
        <c:varyColors val="1"/>
        <c:ser>
          <c:idx val="0"/>
          <c:order val="0"/>
          <c:tx>
            <c:strRef>
              <c:f>Sheet1!$B$1</c:f>
              <c:strCache>
                <c:ptCount val="1"/>
                <c:pt idx="0">
                  <c:v>%</c:v>
                </c:pt>
              </c:strCache>
            </c:strRef>
          </c:tx>
          <c:explosion val="12"/>
          <c:dLbls>
            <c:dLbl>
              <c:idx val="0"/>
              <c:layout>
                <c:manualLayout>
                  <c:x val="0.1309928436243572"/>
                  <c:y val="-0.15145102017416559"/>
                </c:manualLayout>
              </c:layout>
              <c:tx>
                <c:rich>
                  <a:bodyPr/>
                  <a:lstStyle/>
                  <a:p>
                    <a:pPr>
                      <a:defRPr sz="401" b="0" i="0" u="none" strike="noStrike" baseline="0">
                        <a:solidFill>
                          <a:srgbClr val="000000"/>
                        </a:solidFill>
                        <a:latin typeface="Arial"/>
                        <a:ea typeface="Arial"/>
                        <a:cs typeface="Arial"/>
                      </a:defRPr>
                    </a:pPr>
                    <a:r>
                      <a:rPr lang="en-US" sz="601" b="0" i="0" u="none" strike="noStrike" baseline="0">
                        <a:solidFill>
                          <a:srgbClr val="000000"/>
                        </a:solidFill>
                        <a:latin typeface="Arial"/>
                        <a:cs typeface="Arial"/>
                      </a:rPr>
                      <a:t>No change</a:t>
                    </a:r>
                  </a:p>
                  <a:p>
                    <a:pPr>
                      <a:defRPr sz="401" b="0" i="0" u="none" strike="noStrike" baseline="0">
                        <a:solidFill>
                          <a:srgbClr val="000000"/>
                        </a:solidFill>
                        <a:latin typeface="Arial"/>
                        <a:ea typeface="Arial"/>
                        <a:cs typeface="Arial"/>
                      </a:defRPr>
                    </a:pPr>
                    <a:r>
                      <a:rPr lang="en-US" sz="601" b="0" i="0" u="none" strike="noStrike" baseline="0">
                        <a:solidFill>
                          <a:srgbClr val="000000"/>
                        </a:solidFill>
                        <a:latin typeface="Arial"/>
                        <a:cs typeface="Arial"/>
                      </a:rPr>
                      <a:t>56.3%</a:t>
                    </a:r>
                  </a:p>
                </c:rich>
              </c:tx>
              <c:numFmt formatCode="0.0%" sourceLinked="0"/>
              <c:spPr/>
              <c:dLblPos val="bestFit"/>
            </c:dLbl>
            <c:dLbl>
              <c:idx val="1"/>
              <c:layout>
                <c:manualLayout>
                  <c:x val="-0.10710684335189968"/>
                  <c:y val="2.9752843394575679E-2"/>
                </c:manualLayout>
              </c:layout>
              <c:numFmt formatCode="0.0%" sourceLinked="0"/>
              <c:spPr/>
              <c:txPr>
                <a:bodyPr/>
                <a:lstStyle/>
                <a:p>
                  <a:pPr>
                    <a:defRPr/>
                  </a:pPr>
                  <a:endParaRPr lang="en-US"/>
                </a:p>
              </c:txPr>
              <c:dLblPos val="bestFit"/>
              <c:showCatName val="1"/>
              <c:showPercent val="1"/>
              <c:separator>
</c:separator>
            </c:dLbl>
            <c:dLbl>
              <c:idx val="2"/>
              <c:layout>
                <c:manualLayout>
                  <c:x val="8.641188144164905E-3"/>
                  <c:y val="-5.0625546806649165E-2"/>
                </c:manualLayout>
              </c:layout>
              <c:numFmt formatCode="0.0%" sourceLinked="0"/>
              <c:spPr/>
              <c:txPr>
                <a:bodyPr/>
                <a:lstStyle/>
                <a:p>
                  <a:pPr>
                    <a:defRPr/>
                  </a:pPr>
                  <a:endParaRPr lang="en-US"/>
                </a:p>
              </c:txPr>
              <c:dLblPos val="bestFit"/>
              <c:showCatName val="1"/>
              <c:showPercent val="1"/>
              <c:separator>
</c:separator>
            </c:dLbl>
            <c:dLbl>
              <c:idx val="3"/>
              <c:layout>
                <c:manualLayout>
                  <c:x val="3.3024774342231528E-2"/>
                  <c:y val="9.0277777777777693E-2"/>
                </c:manualLayout>
              </c:layout>
              <c:numFmt formatCode="0.0%" sourceLinked="0"/>
              <c:spPr/>
              <c:txPr>
                <a:bodyPr/>
                <a:lstStyle/>
                <a:p>
                  <a:pPr>
                    <a:defRPr/>
                  </a:pPr>
                  <a:endParaRPr lang="en-US"/>
                </a:p>
              </c:txPr>
              <c:dLblPos val="bestFit"/>
              <c:showCatName val="1"/>
              <c:showPercent val="1"/>
              <c:separator>
</c:separator>
            </c:dLbl>
            <c:numFmt formatCode="0.0%" sourceLinked="0"/>
            <c:showCatName val="1"/>
            <c:showPercent val="1"/>
            <c:separator>
</c:separator>
            <c:showLeaderLines val="1"/>
          </c:dLbls>
          <c:cat>
            <c:strRef>
              <c:f>Sheet1!$A$2:$A$5</c:f>
              <c:strCache>
                <c:ptCount val="4"/>
                <c:pt idx="0">
                  <c:v>No change</c:v>
                </c:pt>
                <c:pt idx="1">
                  <c:v>Stopped entirely </c:v>
                </c:pt>
                <c:pt idx="2">
                  <c:v>Worse</c:v>
                </c:pt>
                <c:pt idx="3">
                  <c:v>Better</c:v>
                </c:pt>
              </c:strCache>
            </c:strRef>
          </c:cat>
          <c:val>
            <c:numRef>
              <c:f>Sheet1!$B$2:$B$5</c:f>
              <c:numCache>
                <c:formatCode>_(* #,##0.0_);_(* \(#,##0.0\);_(* "-"?_);_(@_)</c:formatCode>
                <c:ptCount val="4"/>
                <c:pt idx="0">
                  <c:v>56.3</c:v>
                </c:pt>
                <c:pt idx="1">
                  <c:v>38</c:v>
                </c:pt>
                <c:pt idx="2">
                  <c:v>5.3</c:v>
                </c:pt>
                <c:pt idx="3">
                  <c:v>0.4</c:v>
                </c:pt>
              </c:numCache>
            </c:numRef>
          </c:val>
        </c:ser>
        <c:dLbls>
          <c:showVal val="1"/>
        </c:dLbls>
        <c:firstSliceAng val="72"/>
      </c:pieChart>
      <c:spPr>
        <a:noFill/>
        <a:ln w="16962">
          <a:noFill/>
        </a:ln>
      </c:spPr>
    </c:plotArea>
    <c:plotVisOnly val="1"/>
    <c:dispBlanksAs val="zero"/>
  </c:chart>
  <c:spPr>
    <a:ln>
      <a:noFill/>
    </a:ln>
  </c:spPr>
  <c:txPr>
    <a:bodyPr/>
    <a:lstStyle/>
    <a:p>
      <a:pPr>
        <a:defRPr sz="601">
          <a:latin typeface="Arial" pitchFamily="34" charset="0"/>
          <a:cs typeface="Arial" pitchFamily="34" charset="0"/>
        </a:defRPr>
      </a:pPr>
      <a:endParaRPr lang="en-US"/>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2.0222005356291413E-3"/>
          <c:y val="5.9831206444022594E-2"/>
          <c:w val="0.98313313968419991"/>
          <c:h val="0.73587790750294169"/>
        </c:manualLayout>
      </c:layout>
      <c:barChart>
        <c:barDir val="bar"/>
        <c:grouping val="clustered"/>
        <c:ser>
          <c:idx val="0"/>
          <c:order val="0"/>
          <c:tx>
            <c:strRef>
              <c:f>Sheet1!$B$1</c:f>
              <c:strCache>
                <c:ptCount val="1"/>
                <c:pt idx="0">
                  <c:v>%</c:v>
                </c:pt>
              </c:strCache>
            </c:strRef>
          </c:tx>
          <c:spPr>
            <a:solidFill>
              <a:srgbClr val="CC66FF"/>
            </a:solidFill>
          </c:spPr>
          <c:dLbls>
            <c:dLbl>
              <c:idx val="0"/>
              <c:layout>
                <c:manualLayout>
                  <c:x val="-2.3108030040439047E-3"/>
                  <c:y val="0"/>
                </c:manualLayout>
              </c:layout>
              <c:spPr/>
              <c:txPr>
                <a:bodyPr/>
                <a:lstStyle/>
                <a:p>
                  <a:pPr>
                    <a:defRPr/>
                  </a:pPr>
                  <a:endParaRPr lang="en-US"/>
                </a:p>
              </c:txPr>
              <c:dLblPos val="outEnd"/>
              <c:showVal val="1"/>
            </c:dLbl>
            <c:showVal val="1"/>
          </c:dLbls>
          <c:cat>
            <c:strRef>
              <c:f>Sheet1!$A$2:$A$6</c:f>
              <c:strCache>
                <c:ptCount val="5"/>
                <c:pt idx="0">
                  <c:v>Inability to access workplace</c:v>
                </c:pt>
                <c:pt idx="1">
                  <c:v>Establishment closed during this period</c:v>
                </c:pt>
                <c:pt idx="2">
                  <c:v>Lack of row materials because of closure</c:v>
                </c:pt>
                <c:pt idx="3">
                  <c:v>Establishment partially or fully damaged</c:v>
                </c:pt>
                <c:pt idx="4">
                  <c:v>Psychological/ physical health</c:v>
                </c:pt>
              </c:strCache>
            </c:strRef>
          </c:cat>
          <c:val>
            <c:numRef>
              <c:f>Sheet1!$B$2:$B$6</c:f>
              <c:numCache>
                <c:formatCode>#,##0.0</c:formatCode>
                <c:ptCount val="5"/>
                <c:pt idx="0">
                  <c:v>53.4</c:v>
                </c:pt>
                <c:pt idx="1">
                  <c:v>38.300000000000004</c:v>
                </c:pt>
                <c:pt idx="2">
                  <c:v>3.8</c:v>
                </c:pt>
                <c:pt idx="3">
                  <c:v>2.6</c:v>
                </c:pt>
                <c:pt idx="4">
                  <c:v>1.9058295964125558</c:v>
                </c:pt>
              </c:numCache>
            </c:numRef>
          </c:val>
        </c:ser>
        <c:dLbls>
          <c:showVal val="1"/>
        </c:dLbls>
        <c:gapWidth val="75"/>
        <c:axId val="181082368"/>
        <c:axId val="181084160"/>
      </c:barChart>
      <c:catAx>
        <c:axId val="181082368"/>
        <c:scaling>
          <c:orientation val="minMax"/>
        </c:scaling>
        <c:axPos val="l"/>
        <c:numFmt formatCode="General" sourceLinked="1"/>
        <c:tickLblPos val="nextTo"/>
        <c:txPr>
          <a:bodyPr rot="0" vert="horz"/>
          <a:lstStyle/>
          <a:p>
            <a:pPr>
              <a:defRPr/>
            </a:pPr>
            <a:endParaRPr lang="en-US"/>
          </a:p>
        </c:txPr>
        <c:crossAx val="181084160"/>
        <c:crosses val="autoZero"/>
        <c:auto val="1"/>
        <c:lblAlgn val="ctr"/>
        <c:lblOffset val="100"/>
        <c:tickLblSkip val="1"/>
        <c:tickMarkSkip val="1"/>
      </c:catAx>
      <c:valAx>
        <c:axId val="181084160"/>
        <c:scaling>
          <c:orientation val="minMax"/>
        </c:scaling>
        <c:axPos val="b"/>
        <c:numFmt formatCode="#,##0.0" sourceLinked="1"/>
        <c:tickLblPos val="nextTo"/>
        <c:crossAx val="181082368"/>
        <c:crosses val="autoZero"/>
        <c:crossBetween val="between"/>
      </c:valAx>
    </c:plotArea>
    <c:plotVisOnly val="1"/>
    <c:dispBlanksAs val="gap"/>
  </c:chart>
  <c:spPr>
    <a:ln>
      <a:noFill/>
    </a:ln>
  </c:spPr>
  <c:txPr>
    <a:bodyPr/>
    <a:lstStyle/>
    <a:p>
      <a:pPr>
        <a:defRPr sz="781">
          <a:latin typeface="Arial" pitchFamily="34" charset="0"/>
          <a:cs typeface="Arial" pitchFamily="34" charset="0"/>
        </a:defRPr>
      </a:pPr>
      <a:endParaRPr lang="en-US"/>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7.0144310253033332E-2"/>
          <c:y val="9.9868354152068767E-2"/>
          <c:w val="0.92985568974696498"/>
          <c:h val="0.74629953074047772"/>
        </c:manualLayout>
      </c:layout>
      <c:barChart>
        <c:barDir val="col"/>
        <c:grouping val="clustered"/>
        <c:ser>
          <c:idx val="0"/>
          <c:order val="0"/>
          <c:tx>
            <c:strRef>
              <c:f>Sheet1!$A$3</c:f>
              <c:strCache>
                <c:ptCount val="1"/>
                <c:pt idx="0">
                  <c:v>قطاع غزة</c:v>
                </c:pt>
              </c:strCache>
            </c:strRef>
          </c:tx>
          <c:spPr>
            <a:solidFill>
              <a:srgbClr val="CC66FF"/>
            </a:solidFill>
          </c:spPr>
          <c:cat>
            <c:strRef>
              <c:f>Sheet1!$B$2:$C$2</c:f>
              <c:strCache>
                <c:ptCount val="2"/>
                <c:pt idx="0">
                  <c:v>During 2014 aggression</c:v>
                </c:pt>
                <c:pt idx="1">
                  <c:v>After the aggression</c:v>
                </c:pt>
              </c:strCache>
            </c:strRef>
          </c:cat>
          <c:val>
            <c:numRef>
              <c:f>Sheet1!$B$3:$C$3</c:f>
              <c:numCache>
                <c:formatCode>0.0</c:formatCode>
                <c:ptCount val="2"/>
                <c:pt idx="0">
                  <c:v>56.6</c:v>
                </c:pt>
                <c:pt idx="1">
                  <c:v>74.7</c:v>
                </c:pt>
              </c:numCache>
            </c:numRef>
          </c:val>
        </c:ser>
        <c:dLbls>
          <c:showVal val="1"/>
        </c:dLbls>
        <c:gapWidth val="320"/>
        <c:axId val="180898816"/>
        <c:axId val="180916992"/>
      </c:barChart>
      <c:catAx>
        <c:axId val="180898816"/>
        <c:scaling>
          <c:orientation val="minMax"/>
        </c:scaling>
        <c:axPos val="b"/>
        <c:numFmt formatCode="General" sourceLinked="1"/>
        <c:tickLblPos val="nextTo"/>
        <c:txPr>
          <a:bodyPr rot="0" vert="horz"/>
          <a:lstStyle/>
          <a:p>
            <a:pPr>
              <a:defRPr/>
            </a:pPr>
            <a:endParaRPr lang="en-US"/>
          </a:p>
        </c:txPr>
        <c:crossAx val="180916992"/>
        <c:crosses val="autoZero"/>
        <c:auto val="1"/>
        <c:lblAlgn val="ctr"/>
        <c:lblOffset val="100"/>
        <c:tickLblSkip val="1"/>
        <c:tickMarkSkip val="1"/>
      </c:catAx>
      <c:valAx>
        <c:axId val="180916992"/>
        <c:scaling>
          <c:orientation val="minMax"/>
        </c:scaling>
        <c:axPos val="l"/>
        <c:numFmt formatCode="0.0" sourceLinked="1"/>
        <c:tickLblPos val="nextTo"/>
        <c:crossAx val="180898816"/>
        <c:crosses val="autoZero"/>
        <c:crossBetween val="between"/>
      </c:valAx>
    </c:plotArea>
    <c:plotVisOnly val="1"/>
    <c:dispBlanksAs val="gap"/>
  </c:chart>
  <c:spPr>
    <a:ln>
      <a:noFill/>
    </a:ln>
  </c:spPr>
  <c:txPr>
    <a:bodyPr/>
    <a:lstStyle/>
    <a:p>
      <a:pPr>
        <a:defRPr sz="759">
          <a:latin typeface="Arial" pitchFamily="34" charset="0"/>
          <a:cs typeface="Arial" pitchFamily="34" charset="0"/>
        </a:defRPr>
      </a:pPr>
      <a:endParaRPr lang="en-US"/>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0.42551876137434291"/>
          <c:y val="0"/>
          <c:w val="0.54020137726686601"/>
          <c:h val="0.90281316101310116"/>
        </c:manualLayout>
      </c:layout>
      <c:barChart>
        <c:barDir val="bar"/>
        <c:grouping val="clustered"/>
        <c:ser>
          <c:idx val="0"/>
          <c:order val="0"/>
          <c:tx>
            <c:strRef>
              <c:f>Sheet1!$B$1</c:f>
              <c:strCache>
                <c:ptCount val="1"/>
                <c:pt idx="0">
                  <c:v>%</c:v>
                </c:pt>
              </c:strCache>
            </c:strRef>
          </c:tx>
          <c:spPr>
            <a:solidFill>
              <a:srgbClr val="CC66FF"/>
            </a:solidFill>
          </c:spPr>
          <c:dLbls>
            <c:txPr>
              <a:bodyPr/>
              <a:lstStyle/>
              <a:p>
                <a:pPr>
                  <a:defRPr sz="740">
                    <a:latin typeface="Arial" pitchFamily="34" charset="0"/>
                    <a:cs typeface="Arial" pitchFamily="34" charset="0"/>
                  </a:defRPr>
                </a:pPr>
                <a:endParaRPr lang="en-US"/>
              </a:p>
            </c:txPr>
            <c:showVal val="1"/>
          </c:dLbls>
          <c:cat>
            <c:strRef>
              <c:f>Sheet1!$A$2:$A$8</c:f>
              <c:strCache>
                <c:ptCount val="7"/>
                <c:pt idx="0">
                  <c:v>Damage to crops </c:v>
                </c:pt>
                <c:pt idx="1">
                  <c:v>Restriction imposed on access to land</c:v>
                </c:pt>
                <c:pt idx="2">
                  <c:v>Loss of some/ all of assistance</c:v>
                </c:pt>
                <c:pt idx="3">
                  <c:v>Loss in assets or projects </c:v>
                </c:pt>
                <c:pt idx="4">
                  <c:v>Inability to receive health care because of lack of medicine and equipment</c:v>
                </c:pt>
                <c:pt idx="5">
                  <c:v>Inability to pay treatment cost</c:v>
                </c:pt>
                <c:pt idx="6">
                  <c:v>Shortage of water</c:v>
                </c:pt>
              </c:strCache>
            </c:strRef>
          </c:cat>
          <c:val>
            <c:numRef>
              <c:f>Sheet1!$B$2:$B$8</c:f>
              <c:numCache>
                <c:formatCode>#,##0.0</c:formatCode>
                <c:ptCount val="7"/>
                <c:pt idx="0">
                  <c:v>2.6</c:v>
                </c:pt>
                <c:pt idx="1">
                  <c:v>5.3</c:v>
                </c:pt>
                <c:pt idx="2">
                  <c:v>13.4</c:v>
                </c:pt>
                <c:pt idx="3">
                  <c:v>22.4</c:v>
                </c:pt>
                <c:pt idx="4">
                  <c:v>36.4</c:v>
                </c:pt>
                <c:pt idx="5">
                  <c:v>46.1</c:v>
                </c:pt>
                <c:pt idx="6">
                  <c:v>73</c:v>
                </c:pt>
              </c:numCache>
            </c:numRef>
          </c:val>
        </c:ser>
        <c:dLbls>
          <c:showVal val="1"/>
        </c:dLbls>
        <c:axId val="181182464"/>
        <c:axId val="181184000"/>
      </c:barChart>
      <c:catAx>
        <c:axId val="181182464"/>
        <c:scaling>
          <c:orientation val="minMax"/>
        </c:scaling>
        <c:axPos val="l"/>
        <c:numFmt formatCode="General" sourceLinked="1"/>
        <c:majorTickMark val="none"/>
        <c:tickLblPos val="nextTo"/>
        <c:txPr>
          <a:bodyPr rot="0" vert="horz"/>
          <a:lstStyle/>
          <a:p>
            <a:pPr>
              <a:defRPr lang="ar-SA" sz="832" kern="0" baseline="0">
                <a:latin typeface="Arial" pitchFamily="34" charset="0"/>
                <a:cs typeface="Arial" pitchFamily="34" charset="0"/>
              </a:defRPr>
            </a:pPr>
            <a:endParaRPr lang="en-US"/>
          </a:p>
        </c:txPr>
        <c:crossAx val="181184000"/>
        <c:crosses val="autoZero"/>
        <c:auto val="1"/>
        <c:lblAlgn val="ctr"/>
        <c:lblOffset val="100"/>
        <c:tickLblSkip val="1"/>
        <c:tickMarkSkip val="1"/>
      </c:catAx>
      <c:valAx>
        <c:axId val="181184000"/>
        <c:scaling>
          <c:orientation val="minMax"/>
        </c:scaling>
        <c:axPos val="b"/>
        <c:numFmt formatCode="#,##0.0" sourceLinked="1"/>
        <c:tickLblPos val="nextTo"/>
        <c:txPr>
          <a:bodyPr/>
          <a:lstStyle/>
          <a:p>
            <a:pPr>
              <a:defRPr sz="832">
                <a:latin typeface="Arial" pitchFamily="34" charset="0"/>
                <a:cs typeface="Arial" pitchFamily="34" charset="0"/>
              </a:defRPr>
            </a:pPr>
            <a:endParaRPr lang="en-US"/>
          </a:p>
        </c:txPr>
        <c:crossAx val="181182464"/>
        <c:crosses val="autoZero"/>
        <c:crossBetween val="between"/>
      </c:valAx>
      <c:spPr>
        <a:ln>
          <a:noFill/>
        </a:ln>
      </c:spPr>
    </c:plotArea>
    <c:plotVisOnly val="1"/>
    <c:dispBlanksAs val="gap"/>
  </c:chart>
  <c:spPr>
    <a:ln>
      <a:noFill/>
    </a:ln>
  </c:spPr>
  <c:txPr>
    <a:bodyPr/>
    <a:lstStyle/>
    <a:p>
      <a:pPr>
        <a:defRPr sz="832">
          <a:latin typeface="Simplified Arabic" pitchFamily="18" charset="-78"/>
          <a:cs typeface="Simplified Arabic" pitchFamily="18" charset="-78"/>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8339222614841006E-2"/>
          <c:y val="0.28128492035661717"/>
          <c:w val="0.88515901060071889"/>
          <c:h val="0.57037032314280567"/>
        </c:manualLayout>
      </c:layout>
      <c:barChart>
        <c:barDir val="col"/>
        <c:grouping val="percentStacked"/>
        <c:ser>
          <c:idx val="0"/>
          <c:order val="0"/>
          <c:tx>
            <c:strRef>
              <c:f>Sheet1!$A$2</c:f>
              <c:strCache>
                <c:ptCount val="1"/>
                <c:pt idx="0">
                  <c:v>Enrolled in education </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0.0</c:formatCode>
                <c:ptCount val="3"/>
                <c:pt idx="0">
                  <c:v>39.4</c:v>
                </c:pt>
                <c:pt idx="1">
                  <c:v>37.700000000000003</c:v>
                </c:pt>
                <c:pt idx="2">
                  <c:v>42.3</c:v>
                </c:pt>
              </c:numCache>
            </c:numRef>
          </c:val>
        </c:ser>
        <c:ser>
          <c:idx val="1"/>
          <c:order val="1"/>
          <c:tx>
            <c:strRef>
              <c:f>Sheet1!$A$3</c:f>
              <c:strCache>
                <c:ptCount val="1"/>
                <c:pt idx="0">
                  <c:v>Was enrolled and dropped out</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0.0</c:formatCode>
                <c:ptCount val="3"/>
                <c:pt idx="0">
                  <c:v>29.2</c:v>
                </c:pt>
                <c:pt idx="1">
                  <c:v>32.300000000000004</c:v>
                </c:pt>
                <c:pt idx="2">
                  <c:v>24.099999999999987</c:v>
                </c:pt>
              </c:numCache>
            </c:numRef>
          </c:val>
        </c:ser>
        <c:ser>
          <c:idx val="2"/>
          <c:order val="2"/>
          <c:tx>
            <c:strRef>
              <c:f>Sheet1!$A$4</c:f>
              <c:strCache>
                <c:ptCount val="1"/>
                <c:pt idx="0">
                  <c:v>Was enrolled and graduated</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Sheet1!$B$4:$D$4</c:f>
              <c:numCache>
                <c:formatCode>0.0</c:formatCode>
                <c:ptCount val="3"/>
                <c:pt idx="0">
                  <c:v>27.700000000000003</c:v>
                </c:pt>
                <c:pt idx="1">
                  <c:v>26.200000000000003</c:v>
                </c:pt>
                <c:pt idx="2">
                  <c:v>30.2</c:v>
                </c:pt>
              </c:numCache>
            </c:numRef>
          </c:val>
        </c:ser>
        <c:ser>
          <c:idx val="3"/>
          <c:order val="3"/>
          <c:tx>
            <c:strRef>
              <c:f>Sheet1!$A$5</c:f>
              <c:strCache>
                <c:ptCount val="1"/>
                <c:pt idx="0">
                  <c:v>Never enrolled</c:v>
                </c:pt>
              </c:strCache>
            </c:strRef>
          </c:tx>
          <c:dLbls>
            <c:txPr>
              <a:bodyPr/>
              <a:lstStyle/>
              <a:p>
                <a:pPr>
                  <a:defRPr>
                    <a:latin typeface="Arial" pitchFamily="34" charset="0"/>
                    <a:cs typeface="Arial" pitchFamily="34" charset="0"/>
                  </a:defRPr>
                </a:pPr>
                <a:endParaRPr lang="en-US"/>
              </a:p>
            </c:txPr>
            <c:dLblPos val="inBase"/>
            <c:showVal val="1"/>
          </c:dLbls>
          <c:cat>
            <c:strRef>
              <c:f>Sheet1!$B$1:$D$1</c:f>
              <c:strCache>
                <c:ptCount val="3"/>
                <c:pt idx="0">
                  <c:v>Palestine</c:v>
                </c:pt>
                <c:pt idx="1">
                  <c:v>West Bank</c:v>
                </c:pt>
                <c:pt idx="2">
                  <c:v>Gaza strip</c:v>
                </c:pt>
              </c:strCache>
            </c:strRef>
          </c:cat>
          <c:val>
            <c:numRef>
              <c:f>Sheet1!$B$5:$D$5</c:f>
              <c:numCache>
                <c:formatCode>0.0</c:formatCode>
                <c:ptCount val="3"/>
                <c:pt idx="0">
                  <c:v>3.6999999999999997</c:v>
                </c:pt>
                <c:pt idx="1">
                  <c:v>3.9</c:v>
                </c:pt>
                <c:pt idx="2">
                  <c:v>3.4000000000000004</c:v>
                </c:pt>
              </c:numCache>
            </c:numRef>
          </c:val>
        </c:ser>
        <c:dLbls>
          <c:showVal val="1"/>
        </c:dLbls>
        <c:overlap val="100"/>
        <c:axId val="161976704"/>
        <c:axId val="162308096"/>
      </c:barChart>
      <c:catAx>
        <c:axId val="16197670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2308096"/>
        <c:crosses val="autoZero"/>
        <c:auto val="1"/>
        <c:lblAlgn val="ctr"/>
        <c:lblOffset val="100"/>
      </c:catAx>
      <c:valAx>
        <c:axId val="162308096"/>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61976704"/>
        <c:crosses val="autoZero"/>
        <c:crossBetween val="between"/>
      </c:valAx>
    </c:plotArea>
    <c:legend>
      <c:legendPos val="t"/>
      <c:layout>
        <c:manualLayout>
          <c:xMode val="edge"/>
          <c:yMode val="edge"/>
          <c:x val="3.7173881183633815E-2"/>
          <c:y val="1.5562009121483401E-2"/>
          <c:w val="0.94152248735405542"/>
          <c:h val="0.16094168837260397"/>
        </c:manualLayout>
      </c:layout>
      <c:spPr>
        <a:ln>
          <a:solidFill>
            <a:schemeClr val="accent1"/>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33759258416397475"/>
          <c:y val="0.25226257712550332"/>
          <c:w val="0.91268247781652545"/>
          <c:h val="0.74658506549240589"/>
        </c:manualLayout>
      </c:layout>
      <c:pieChart>
        <c:varyColors val="1"/>
        <c:ser>
          <c:idx val="1"/>
          <c:order val="0"/>
          <c:dLbls>
            <c:dLbl>
              <c:idx val="1"/>
              <c:layout>
                <c:manualLayout>
                  <c:x val="5.1900756894366164E-2"/>
                  <c:y val="1.2953191277630581E-2"/>
                </c:manualLayout>
              </c:layout>
              <c:tx>
                <c:rich>
                  <a:bodyPr/>
                  <a:lstStyle/>
                  <a:p>
                    <a:pPr>
                      <a:defRPr sz="900" b="0" i="0" u="none" strike="noStrike" baseline="0">
                        <a:solidFill>
                          <a:srgbClr val="000000"/>
                        </a:solidFill>
                        <a:latin typeface="Arial"/>
                        <a:ea typeface="Arial"/>
                        <a:cs typeface="Arial"/>
                      </a:defRPr>
                    </a:pPr>
                    <a:r>
                      <a:rPr lang="en-GB" sz="900"/>
                      <a:t>D</a:t>
                    </a:r>
                    <a:r>
                      <a:rPr lang="en-GB"/>
                      <a:t>ecreased 
52.7%</a:t>
                    </a:r>
                  </a:p>
                </c:rich>
              </c:tx>
              <c:numFmt formatCode="0.0%" sourceLinked="0"/>
              <c:spPr/>
              <c:dLblPos val="bestFit"/>
            </c:dLbl>
            <c:dLbl>
              <c:idx val="2"/>
              <c:layout>
                <c:manualLayout>
                  <c:x val="-0.10121208295856809"/>
                  <c:y val="-0.15029543108059706"/>
                </c:manualLayout>
              </c:layout>
              <c:tx>
                <c:rich>
                  <a:bodyPr/>
                  <a:lstStyle/>
                  <a:p>
                    <a:pPr>
                      <a:defRPr sz="900" b="0" i="0" u="none" strike="noStrike" baseline="0">
                        <a:solidFill>
                          <a:srgbClr val="000000"/>
                        </a:solidFill>
                        <a:latin typeface="Arial"/>
                        <a:ea typeface="Arial"/>
                        <a:cs typeface="Arial"/>
                      </a:defRPr>
                    </a:pPr>
                    <a:r>
                      <a:rPr lang="en-GB" sz="900"/>
                      <a:t>R</a:t>
                    </a:r>
                    <a:r>
                      <a:rPr lang="en-GB"/>
                      <a:t>emained unchanged
45.1%</a:t>
                    </a:r>
                  </a:p>
                </c:rich>
              </c:tx>
              <c:numFmt formatCode="0.0%" sourceLinked="0"/>
              <c:spPr/>
              <c:dLblPos val="bestFit"/>
            </c:dLbl>
            <c:numFmt formatCode="0.0%" sourceLinked="0"/>
            <c:txPr>
              <a:bodyPr/>
              <a:lstStyle/>
              <a:p>
                <a:pPr>
                  <a:defRPr sz="900">
                    <a:latin typeface="Arial" pitchFamily="34" charset="0"/>
                    <a:cs typeface="Arial" pitchFamily="34" charset="0"/>
                  </a:defRPr>
                </a:pPr>
                <a:endParaRPr lang="en-US"/>
              </a:p>
            </c:txPr>
            <c:showCatName val="1"/>
            <c:showPercent val="1"/>
            <c:separator>
</c:separator>
            <c:showLeaderLines val="1"/>
          </c:dLbls>
          <c:cat>
            <c:strRef>
              <c:f>Sheet1!$A$2:$A$4</c:f>
              <c:strCache>
                <c:ptCount val="3"/>
                <c:pt idx="0">
                  <c:v>Increased  </c:v>
                </c:pt>
                <c:pt idx="1">
                  <c:v>Decreased </c:v>
                </c:pt>
                <c:pt idx="2">
                  <c:v>Remained unchanged</c:v>
                </c:pt>
              </c:strCache>
            </c:strRef>
          </c:cat>
          <c:val>
            <c:numRef>
              <c:f>Sheet1!$B$2:$B$4</c:f>
              <c:numCache>
                <c:formatCode>#,##0.0</c:formatCode>
                <c:ptCount val="3"/>
                <c:pt idx="0">
                  <c:v>1.9000000000000001</c:v>
                </c:pt>
                <c:pt idx="1">
                  <c:v>52.7</c:v>
                </c:pt>
                <c:pt idx="2">
                  <c:v>45.1</c:v>
                </c:pt>
              </c:numCache>
            </c:numRef>
          </c:val>
        </c:ser>
        <c:dLbls>
          <c:showVal val="1"/>
        </c:dLbls>
        <c:firstSliceAng val="0"/>
      </c:pieChart>
      <c:spPr>
        <a:noFill/>
        <a:ln w="15408">
          <a:noFill/>
        </a:ln>
      </c:spPr>
    </c:plotArea>
    <c:plotVisOnly val="1"/>
    <c:dispBlanksAs val="zero"/>
  </c:chart>
  <c:spPr>
    <a:ln>
      <a:noFill/>
    </a:ln>
  </c:spPr>
  <c:txPr>
    <a:bodyPr/>
    <a:lstStyle/>
    <a:p>
      <a:pPr>
        <a:defRPr sz="546"/>
      </a:pPr>
      <a:endParaRPr lang="en-US"/>
    </a:p>
  </c:txPr>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0.40335237144652691"/>
          <c:y val="2.3648440592970612E-3"/>
          <c:w val="0.56200565598314456"/>
          <c:h val="0.86895760934911248"/>
        </c:manualLayout>
      </c:layout>
      <c:barChart>
        <c:barDir val="bar"/>
        <c:grouping val="clustered"/>
        <c:ser>
          <c:idx val="0"/>
          <c:order val="0"/>
          <c:tx>
            <c:strRef>
              <c:f>Sheet1!$B$1</c:f>
              <c:strCache>
                <c:ptCount val="1"/>
                <c:pt idx="0">
                  <c:v>%</c:v>
                </c:pt>
              </c:strCache>
            </c:strRef>
          </c:tx>
          <c:spPr>
            <a:solidFill>
              <a:srgbClr val="CC66FF"/>
            </a:solidFill>
          </c:spPr>
          <c:cat>
            <c:strRef>
              <c:f>Sheet1!$A$2:$A$6</c:f>
              <c:strCache>
                <c:ptCount val="5"/>
                <c:pt idx="0">
                  <c:v>One year</c:v>
                </c:pt>
                <c:pt idx="1">
                  <c:v>For a few months only</c:v>
                </c:pt>
                <c:pt idx="2">
                  <c:v>Suffer serious financial constraints and we don’t know how we can make it</c:v>
                </c:pt>
                <c:pt idx="3">
                  <c:v>It can sustain regardless of time</c:v>
                </c:pt>
                <c:pt idx="4">
                  <c:v>We barely make it</c:v>
                </c:pt>
              </c:strCache>
            </c:strRef>
          </c:cat>
          <c:val>
            <c:numRef>
              <c:f>Sheet1!$B$2:$B$6</c:f>
              <c:numCache>
                <c:formatCode>0.0</c:formatCode>
                <c:ptCount val="5"/>
                <c:pt idx="0">
                  <c:v>2.8</c:v>
                </c:pt>
                <c:pt idx="1">
                  <c:v>7</c:v>
                </c:pt>
                <c:pt idx="2">
                  <c:v>15.2</c:v>
                </c:pt>
                <c:pt idx="3">
                  <c:v>32.9</c:v>
                </c:pt>
                <c:pt idx="4">
                  <c:v>42.1</c:v>
                </c:pt>
              </c:numCache>
            </c:numRef>
          </c:val>
        </c:ser>
        <c:dLbls>
          <c:showVal val="1"/>
        </c:dLbls>
        <c:axId val="166693888"/>
        <c:axId val="181097216"/>
      </c:barChart>
      <c:catAx>
        <c:axId val="166693888"/>
        <c:scaling>
          <c:orientation val="minMax"/>
        </c:scaling>
        <c:axPos val="l"/>
        <c:numFmt formatCode="General" sourceLinked="1"/>
        <c:majorTickMark val="none"/>
        <c:tickLblPos val="nextTo"/>
        <c:txPr>
          <a:bodyPr rot="0" vert="horz"/>
          <a:lstStyle/>
          <a:p>
            <a:pPr>
              <a:defRPr/>
            </a:pPr>
            <a:endParaRPr lang="en-US"/>
          </a:p>
        </c:txPr>
        <c:crossAx val="181097216"/>
        <c:crosses val="autoZero"/>
        <c:auto val="1"/>
        <c:lblAlgn val="ctr"/>
        <c:lblOffset val="100"/>
        <c:tickLblSkip val="1"/>
        <c:tickMarkSkip val="1"/>
      </c:catAx>
      <c:valAx>
        <c:axId val="181097216"/>
        <c:scaling>
          <c:orientation val="minMax"/>
        </c:scaling>
        <c:axPos val="b"/>
        <c:numFmt formatCode="0.0" sourceLinked="1"/>
        <c:tickLblPos val="nextTo"/>
        <c:crossAx val="166693888"/>
        <c:crosses val="autoZero"/>
        <c:crossBetween val="between"/>
      </c:valAx>
    </c:plotArea>
    <c:plotVisOnly val="1"/>
    <c:dispBlanksAs val="gap"/>
  </c:chart>
  <c:spPr>
    <a:ln>
      <a:noFill/>
    </a:ln>
  </c:spPr>
  <c:txPr>
    <a:bodyPr/>
    <a:lstStyle/>
    <a:p>
      <a:pPr>
        <a:defRPr sz="765">
          <a:latin typeface="Arial" pitchFamily="34" charset="0"/>
          <a:cs typeface="Arial" pitchFamily="34" charset="0"/>
        </a:defRPr>
      </a:pPr>
      <a:endParaRPr lang="en-US"/>
    </a:p>
  </c:txPr>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4411009479477999E-2"/>
          <c:y val="0.2522956304281691"/>
          <c:w val="0.9153598415856381"/>
          <c:h val="0.64884908699717592"/>
        </c:manualLayout>
      </c:layout>
      <c:barChart>
        <c:barDir val="col"/>
        <c:grouping val="clustered"/>
        <c:ser>
          <c:idx val="0"/>
          <c:order val="0"/>
          <c:tx>
            <c:strRef>
              <c:f>Sheet1!$B$1</c:f>
              <c:strCache>
                <c:ptCount val="1"/>
                <c:pt idx="0">
                  <c:v>Since 2009 aggression even before the aggression of 2014</c:v>
                </c:pt>
              </c:strCache>
            </c:strRef>
          </c:tx>
          <c:dLbls>
            <c:txPr>
              <a:bodyPr/>
              <a:lstStyle/>
              <a:p>
                <a:pPr>
                  <a:defRPr sz="798">
                    <a:latin typeface="Arial" pitchFamily="34" charset="0"/>
                    <a:cs typeface="Arial" pitchFamily="34" charset="0"/>
                  </a:defRPr>
                </a:pPr>
                <a:endParaRPr lang="en-US"/>
              </a:p>
            </c:txPr>
            <c:showVal val="1"/>
          </c:dLbls>
          <c:cat>
            <c:strRef>
              <c:f>Sheet1!$A$2:$A$6</c:f>
              <c:strCache>
                <c:ptCount val="5"/>
                <c:pt idx="0">
                  <c:v>North Gaza</c:v>
                </c:pt>
                <c:pt idx="1">
                  <c:v>Gaza</c:v>
                </c:pt>
                <c:pt idx="2">
                  <c:v>Deir Al-Balah</c:v>
                </c:pt>
                <c:pt idx="3">
                  <c:v>Khan Yunis</c:v>
                </c:pt>
                <c:pt idx="4">
                  <c:v>Rafah</c:v>
                </c:pt>
              </c:strCache>
            </c:strRef>
          </c:cat>
          <c:val>
            <c:numRef>
              <c:f>Sheet1!$B$2:$B$6</c:f>
              <c:numCache>
                <c:formatCode>#,##0.0</c:formatCode>
                <c:ptCount val="5"/>
                <c:pt idx="0">
                  <c:v>25.6</c:v>
                </c:pt>
                <c:pt idx="1">
                  <c:v>25.4</c:v>
                </c:pt>
                <c:pt idx="2">
                  <c:v>28.3</c:v>
                </c:pt>
                <c:pt idx="3">
                  <c:v>23.1</c:v>
                </c:pt>
                <c:pt idx="4">
                  <c:v>14.8</c:v>
                </c:pt>
              </c:numCache>
            </c:numRef>
          </c:val>
        </c:ser>
        <c:ser>
          <c:idx val="1"/>
          <c:order val="1"/>
          <c:tx>
            <c:strRef>
              <c:f>Sheet1!$C$1</c:f>
              <c:strCache>
                <c:ptCount val="1"/>
                <c:pt idx="0">
                  <c:v>Currently</c:v>
                </c:pt>
              </c:strCache>
            </c:strRef>
          </c:tx>
          <c:dLbls>
            <c:txPr>
              <a:bodyPr/>
              <a:lstStyle/>
              <a:p>
                <a:pPr>
                  <a:defRPr sz="798">
                    <a:latin typeface="Arial" pitchFamily="34" charset="0"/>
                    <a:cs typeface="Arial" pitchFamily="34" charset="0"/>
                  </a:defRPr>
                </a:pPr>
                <a:endParaRPr lang="en-US"/>
              </a:p>
            </c:txPr>
            <c:showVal val="1"/>
          </c:dLbls>
          <c:cat>
            <c:strRef>
              <c:f>Sheet1!$A$2:$A$6</c:f>
              <c:strCache>
                <c:ptCount val="5"/>
                <c:pt idx="0">
                  <c:v>North Gaza</c:v>
                </c:pt>
                <c:pt idx="1">
                  <c:v>Gaza</c:v>
                </c:pt>
                <c:pt idx="2">
                  <c:v>Deir Al-Balah</c:v>
                </c:pt>
                <c:pt idx="3">
                  <c:v>Khan Yunis</c:v>
                </c:pt>
                <c:pt idx="4">
                  <c:v>Rafah</c:v>
                </c:pt>
              </c:strCache>
            </c:strRef>
          </c:cat>
          <c:val>
            <c:numRef>
              <c:f>Sheet1!$C$2:$C$6</c:f>
              <c:numCache>
                <c:formatCode>#,##0.0</c:formatCode>
                <c:ptCount val="5"/>
                <c:pt idx="0">
                  <c:v>28.1</c:v>
                </c:pt>
                <c:pt idx="1">
                  <c:v>29.5</c:v>
                </c:pt>
                <c:pt idx="2">
                  <c:v>30.2</c:v>
                </c:pt>
                <c:pt idx="3">
                  <c:v>31.9</c:v>
                </c:pt>
                <c:pt idx="4">
                  <c:v>25.9</c:v>
                </c:pt>
              </c:numCache>
            </c:numRef>
          </c:val>
        </c:ser>
        <c:dLbls>
          <c:showVal val="1"/>
        </c:dLbls>
        <c:overlap val="-25"/>
        <c:axId val="181843072"/>
        <c:axId val="181844608"/>
      </c:barChart>
      <c:catAx>
        <c:axId val="181843072"/>
        <c:scaling>
          <c:orientation val="minMax"/>
        </c:scaling>
        <c:axPos val="b"/>
        <c:numFmt formatCode="General" sourceLinked="1"/>
        <c:majorTickMark val="none"/>
        <c:tickLblPos val="nextTo"/>
        <c:txPr>
          <a:bodyPr rot="0" vert="horz"/>
          <a:lstStyle/>
          <a:p>
            <a:pPr>
              <a:defRPr lang="ar-SA" sz="798">
                <a:latin typeface="Arial" pitchFamily="34" charset="0"/>
                <a:cs typeface="Arial" pitchFamily="34" charset="0"/>
              </a:defRPr>
            </a:pPr>
            <a:endParaRPr lang="en-US"/>
          </a:p>
        </c:txPr>
        <c:crossAx val="181844608"/>
        <c:crosses val="autoZero"/>
        <c:auto val="1"/>
        <c:lblAlgn val="ctr"/>
        <c:lblOffset val="100"/>
        <c:tickLblSkip val="1"/>
        <c:tickMarkSkip val="1"/>
      </c:catAx>
      <c:valAx>
        <c:axId val="181844608"/>
        <c:scaling>
          <c:orientation val="minMax"/>
        </c:scaling>
        <c:axPos val="l"/>
        <c:numFmt formatCode="#,##0.0" sourceLinked="1"/>
        <c:tickLblPos val="nextTo"/>
        <c:txPr>
          <a:bodyPr/>
          <a:lstStyle/>
          <a:p>
            <a:pPr>
              <a:defRPr sz="798">
                <a:latin typeface="Arial" pitchFamily="34" charset="0"/>
                <a:cs typeface="Arial" pitchFamily="34" charset="0"/>
              </a:defRPr>
            </a:pPr>
            <a:endParaRPr lang="en-US"/>
          </a:p>
        </c:txPr>
        <c:crossAx val="181843072"/>
        <c:crosses val="autoZero"/>
        <c:crossBetween val="between"/>
      </c:valAx>
      <c:spPr>
        <a:ln>
          <a:noFill/>
        </a:ln>
      </c:spPr>
    </c:plotArea>
    <c:legend>
      <c:legendPos val="t"/>
      <c:layout>
        <c:manualLayout>
          <c:xMode val="edge"/>
          <c:yMode val="edge"/>
          <c:x val="0.37861639690872056"/>
          <c:y val="4.2328042328042333E-2"/>
          <c:w val="0.61779582239720243"/>
          <c:h val="0.12671749364662757"/>
        </c:manualLayout>
      </c:layout>
      <c:spPr>
        <a:ln>
          <a:solidFill>
            <a:schemeClr val="accent1"/>
          </a:solidFill>
        </a:ln>
      </c:spPr>
      <c:txPr>
        <a:bodyPr/>
        <a:lstStyle/>
        <a:p>
          <a:pPr>
            <a:defRPr lang="ar-SA" sz="798">
              <a:latin typeface="Arial" pitchFamily="34" charset="0"/>
              <a:cs typeface="Arial" pitchFamily="34" charset="0"/>
            </a:defRPr>
          </a:pPr>
          <a:endParaRPr lang="en-US"/>
        </a:p>
      </c:txPr>
    </c:legend>
    <c:plotVisOnly val="1"/>
    <c:dispBlanksAs val="gap"/>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7885979157284725E-2"/>
          <c:y val="0.20282013839179194"/>
          <c:w val="0.87787610619470413"/>
          <c:h val="0.66393929849678623"/>
        </c:manualLayout>
      </c:layout>
      <c:barChart>
        <c:barDir val="col"/>
        <c:grouping val="percentStacked"/>
        <c:ser>
          <c:idx val="0"/>
          <c:order val="0"/>
          <c:tx>
            <c:strRef>
              <c:f>Sheet1!$A$2</c:f>
              <c:strCache>
                <c:ptCount val="1"/>
                <c:pt idx="0">
                  <c:v>Nothing</c:v>
                </c:pt>
              </c:strCache>
            </c:strRef>
          </c:tx>
          <c:dLbls>
            <c:txPr>
              <a:bodyPr/>
              <a:lstStyle/>
              <a:p>
                <a:pPr>
                  <a:defRPr sz="902">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0.0</c:formatCode>
                <c:ptCount val="3"/>
                <c:pt idx="0">
                  <c:v>9.3775637028210035</c:v>
                </c:pt>
                <c:pt idx="1">
                  <c:v>10.039577964810452</c:v>
                </c:pt>
                <c:pt idx="2">
                  <c:v>8.2390516193190972</c:v>
                </c:pt>
              </c:numCache>
            </c:numRef>
          </c:val>
        </c:ser>
        <c:ser>
          <c:idx val="1"/>
          <c:order val="1"/>
          <c:tx>
            <c:strRef>
              <c:f>Sheet1!$A$3</c:f>
              <c:strCache>
                <c:ptCount val="1"/>
                <c:pt idx="0">
                  <c:v>Elementary</c:v>
                </c:pt>
              </c:strCache>
            </c:strRef>
          </c:tx>
          <c:dLbls>
            <c:txPr>
              <a:bodyPr/>
              <a:lstStyle/>
              <a:p>
                <a:pPr>
                  <a:defRPr sz="902">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0.0</c:formatCode>
                <c:ptCount val="3"/>
                <c:pt idx="0">
                  <c:v>13.41478333679602</c:v>
                </c:pt>
                <c:pt idx="1">
                  <c:v>14.436645195862162</c:v>
                </c:pt>
                <c:pt idx="2">
                  <c:v>11.657416251198372</c:v>
                </c:pt>
              </c:numCache>
            </c:numRef>
          </c:val>
        </c:ser>
        <c:ser>
          <c:idx val="2"/>
          <c:order val="2"/>
          <c:tx>
            <c:strRef>
              <c:f>Sheet1!$A$4</c:f>
              <c:strCache>
                <c:ptCount val="1"/>
                <c:pt idx="0">
                  <c:v>Preparatory</c:v>
                </c:pt>
              </c:strCache>
            </c:strRef>
          </c:tx>
          <c:cat>
            <c:strRef>
              <c:f>Sheet1!$B$1:$D$1</c:f>
              <c:strCache>
                <c:ptCount val="3"/>
                <c:pt idx="0">
                  <c:v>Palestine</c:v>
                </c:pt>
                <c:pt idx="1">
                  <c:v>West Bank</c:v>
                </c:pt>
                <c:pt idx="2">
                  <c:v>Gaza strip</c:v>
                </c:pt>
              </c:strCache>
            </c:strRef>
          </c:cat>
          <c:val>
            <c:numRef>
              <c:f>Sheet1!$B$4:$D$4</c:f>
              <c:numCache>
                <c:formatCode>0.0</c:formatCode>
                <c:ptCount val="3"/>
                <c:pt idx="0">
                  <c:v>36.314373107374145</c:v>
                </c:pt>
                <c:pt idx="1">
                  <c:v>37.342010216281913</c:v>
                </c:pt>
                <c:pt idx="2">
                  <c:v>34.547073921960546</c:v>
                </c:pt>
              </c:numCache>
            </c:numRef>
          </c:val>
        </c:ser>
        <c:ser>
          <c:idx val="3"/>
          <c:order val="3"/>
          <c:tx>
            <c:strRef>
              <c:f>Sheet1!$A$5</c:f>
              <c:strCache>
                <c:ptCount val="1"/>
                <c:pt idx="0">
                  <c:v>Secondary</c:v>
                </c:pt>
              </c:strCache>
            </c:strRef>
          </c:tx>
          <c:dLbls>
            <c:txPr>
              <a:bodyPr/>
              <a:lstStyle/>
              <a:p>
                <a:pPr>
                  <a:defRPr sz="902">
                    <a:latin typeface="Arial" pitchFamily="34" charset="0"/>
                    <a:cs typeface="Arial" pitchFamily="34" charset="0"/>
                  </a:defRPr>
                </a:pPr>
                <a:endParaRPr lang="en-US"/>
              </a:p>
            </c:txPr>
            <c:dLblPos val="inEnd"/>
            <c:showVal val="1"/>
          </c:dLbls>
          <c:cat>
            <c:strRef>
              <c:f>Sheet1!$B$1:$D$1</c:f>
              <c:strCache>
                <c:ptCount val="3"/>
                <c:pt idx="0">
                  <c:v>Palestine</c:v>
                </c:pt>
                <c:pt idx="1">
                  <c:v>West Bank</c:v>
                </c:pt>
                <c:pt idx="2">
                  <c:v>Gaza strip</c:v>
                </c:pt>
              </c:strCache>
            </c:strRef>
          </c:cat>
          <c:val>
            <c:numRef>
              <c:f>Sheet1!$B$5:$D$5</c:f>
              <c:numCache>
                <c:formatCode>0.0</c:formatCode>
                <c:ptCount val="3"/>
                <c:pt idx="0">
                  <c:v>21.773019877119776</c:v>
                </c:pt>
                <c:pt idx="1">
                  <c:v>20.564783402409287</c:v>
                </c:pt>
                <c:pt idx="2">
                  <c:v>23.850908383708745</c:v>
                </c:pt>
              </c:numCache>
            </c:numRef>
          </c:val>
        </c:ser>
        <c:ser>
          <c:idx val="4"/>
          <c:order val="4"/>
          <c:tx>
            <c:strRef>
              <c:f>Sheet1!$A$6</c:f>
              <c:strCache>
                <c:ptCount val="1"/>
                <c:pt idx="0">
                  <c:v>Intermediate level diploma</c:v>
                </c:pt>
              </c:strCache>
            </c:strRef>
          </c:tx>
          <c:dLbls>
            <c:txPr>
              <a:bodyPr/>
              <a:lstStyle/>
              <a:p>
                <a:pPr>
                  <a:defRPr sz="902">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Sheet1!$B$6:$D$6</c:f>
              <c:numCache>
                <c:formatCode>0.0</c:formatCode>
                <c:ptCount val="3"/>
                <c:pt idx="0">
                  <c:v>5.8908891055491104</c:v>
                </c:pt>
                <c:pt idx="1">
                  <c:v>5.5345828170165614</c:v>
                </c:pt>
                <c:pt idx="2">
                  <c:v>6.5036538724334401</c:v>
                </c:pt>
              </c:numCache>
            </c:numRef>
          </c:val>
        </c:ser>
        <c:ser>
          <c:idx val="5"/>
          <c:order val="5"/>
          <c:tx>
            <c:strRef>
              <c:f>Sheet1!$A$7</c:f>
              <c:strCache>
                <c:ptCount val="1"/>
                <c:pt idx="0">
                  <c:v>Bachelor degree or higher</c:v>
                </c:pt>
              </c:strCache>
            </c:strRef>
          </c:tx>
          <c:dLbls>
            <c:txPr>
              <a:bodyPr/>
              <a:lstStyle/>
              <a:p>
                <a:pPr>
                  <a:defRPr sz="902">
                    <a:latin typeface="Arial" pitchFamily="34" charset="0"/>
                    <a:cs typeface="Arial" pitchFamily="34" charset="0"/>
                  </a:defRPr>
                </a:pPr>
                <a:endParaRPr lang="en-US"/>
              </a:p>
            </c:txPr>
            <c:dLblPos val="inBase"/>
            <c:showVal val="1"/>
          </c:dLbls>
          <c:cat>
            <c:strRef>
              <c:f>Sheet1!$B$1:$D$1</c:f>
              <c:strCache>
                <c:ptCount val="3"/>
                <c:pt idx="0">
                  <c:v>Palestine</c:v>
                </c:pt>
                <c:pt idx="1">
                  <c:v>West Bank</c:v>
                </c:pt>
                <c:pt idx="2">
                  <c:v>Gaza strip</c:v>
                </c:pt>
              </c:strCache>
            </c:strRef>
          </c:cat>
          <c:val>
            <c:numRef>
              <c:f>Sheet1!$B$7:$D$7</c:f>
              <c:numCache>
                <c:formatCode>0.0</c:formatCode>
                <c:ptCount val="3"/>
                <c:pt idx="0">
                  <c:v>13.229370870339547</c:v>
                </c:pt>
                <c:pt idx="1">
                  <c:v>12.082400403619776</c:v>
                </c:pt>
                <c:pt idx="2">
                  <c:v>15.201895951379781</c:v>
                </c:pt>
              </c:numCache>
            </c:numRef>
          </c:val>
        </c:ser>
        <c:dLbls>
          <c:showVal val="1"/>
        </c:dLbls>
        <c:overlap val="100"/>
        <c:axId val="174564096"/>
        <c:axId val="174712704"/>
      </c:barChart>
      <c:catAx>
        <c:axId val="174564096"/>
        <c:scaling>
          <c:orientation val="minMax"/>
        </c:scaling>
        <c:axPos val="b"/>
        <c:numFmt formatCode="General" sourceLinked="1"/>
        <c:tickLblPos val="nextTo"/>
        <c:txPr>
          <a:bodyPr/>
          <a:lstStyle/>
          <a:p>
            <a:pPr>
              <a:defRPr sz="902">
                <a:latin typeface="Arial" pitchFamily="34" charset="0"/>
                <a:cs typeface="Arial" pitchFamily="34" charset="0"/>
              </a:defRPr>
            </a:pPr>
            <a:endParaRPr lang="en-US"/>
          </a:p>
        </c:txPr>
        <c:crossAx val="174712704"/>
        <c:crosses val="autoZero"/>
        <c:auto val="1"/>
        <c:lblAlgn val="ctr"/>
        <c:lblOffset val="100"/>
      </c:catAx>
      <c:valAx>
        <c:axId val="174712704"/>
        <c:scaling>
          <c:orientation val="minMax"/>
        </c:scaling>
        <c:axPos val="l"/>
        <c:numFmt formatCode="0%" sourceLinked="0"/>
        <c:tickLblPos val="nextTo"/>
        <c:txPr>
          <a:bodyPr/>
          <a:lstStyle/>
          <a:p>
            <a:pPr>
              <a:defRPr sz="902">
                <a:latin typeface="Arial" pitchFamily="34" charset="0"/>
                <a:cs typeface="Arial" pitchFamily="34" charset="0"/>
              </a:defRPr>
            </a:pPr>
            <a:endParaRPr lang="en-US"/>
          </a:p>
        </c:txPr>
        <c:crossAx val="174564096"/>
        <c:crosses val="autoZero"/>
        <c:crossBetween val="between"/>
      </c:valAx>
    </c:plotArea>
    <c:legend>
      <c:legendPos val="t"/>
      <c:layout>
        <c:manualLayout>
          <c:xMode val="edge"/>
          <c:yMode val="edge"/>
          <c:x val="0.34469065716872049"/>
          <c:y val="1.5561900916231625E-2"/>
          <c:w val="0.63447991011522265"/>
          <c:h val="0.15699576014536712"/>
        </c:manualLayout>
      </c:layout>
      <c:spPr>
        <a:ln>
          <a:solidFill>
            <a:schemeClr val="accent1"/>
          </a:solidFill>
        </a:ln>
      </c:spPr>
      <c:txPr>
        <a:bodyPr/>
        <a:lstStyle/>
        <a:p>
          <a:pPr>
            <a:defRPr sz="902">
              <a:latin typeface="Arial" pitchFamily="34" charset="0"/>
              <a:cs typeface="Arial" pitchFamily="34" charset="0"/>
            </a:defRPr>
          </a:pPr>
          <a:endParaRPr lang="en-US"/>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3639575971731767E-2"/>
          <c:y val="0.15780507538965713"/>
          <c:w val="0.87985865724384282"/>
          <c:h val="0.71483908271228169"/>
        </c:manualLayout>
      </c:layout>
      <c:barChart>
        <c:barDir val="col"/>
        <c:grouping val="clustered"/>
        <c:ser>
          <c:idx val="0"/>
          <c:order val="0"/>
          <c:tx>
            <c:strRef>
              <c:f>Sheet1!$A$2</c:f>
              <c:strCache>
                <c:ptCount val="1"/>
                <c:pt idx="0">
                  <c:v>Married</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0.0</c:formatCode>
                <c:ptCount val="3"/>
                <c:pt idx="0">
                  <c:v>52.3</c:v>
                </c:pt>
                <c:pt idx="1">
                  <c:v>52.1</c:v>
                </c:pt>
                <c:pt idx="2">
                  <c:v>52.7</c:v>
                </c:pt>
              </c:numCache>
            </c:numRef>
          </c:val>
        </c:ser>
        <c:ser>
          <c:idx val="1"/>
          <c:order val="1"/>
          <c:tx>
            <c:strRef>
              <c:f>Sheet1!$A$3</c:f>
              <c:strCache>
                <c:ptCount val="1"/>
                <c:pt idx="0">
                  <c:v>Never married</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0.0</c:formatCode>
                <c:ptCount val="3"/>
                <c:pt idx="0">
                  <c:v>41.8</c:v>
                </c:pt>
                <c:pt idx="1">
                  <c:v>41.9</c:v>
                </c:pt>
                <c:pt idx="2">
                  <c:v>41.6</c:v>
                </c:pt>
              </c:numCache>
            </c:numRef>
          </c:val>
        </c:ser>
        <c:ser>
          <c:idx val="2"/>
          <c:order val="2"/>
          <c:tx>
            <c:strRef>
              <c:f>Sheet1!$A$4</c:f>
              <c:strCache>
                <c:ptCount val="1"/>
                <c:pt idx="0">
                  <c:v>Widow</c:v>
                </c:pt>
              </c:strCache>
            </c:strRef>
          </c:tx>
          <c:cat>
            <c:strRef>
              <c:f>Sheet1!$B$1:$D$1</c:f>
              <c:strCache>
                <c:ptCount val="3"/>
                <c:pt idx="0">
                  <c:v>Palestine</c:v>
                </c:pt>
                <c:pt idx="1">
                  <c:v>West Bank</c:v>
                </c:pt>
                <c:pt idx="2">
                  <c:v>Gaza strip</c:v>
                </c:pt>
              </c:strCache>
            </c:strRef>
          </c:cat>
          <c:val>
            <c:numRef>
              <c:f>Sheet1!$B$4:$D$4</c:f>
              <c:numCache>
                <c:formatCode>0.0</c:formatCode>
                <c:ptCount val="3"/>
                <c:pt idx="0">
                  <c:v>2.7</c:v>
                </c:pt>
                <c:pt idx="1">
                  <c:v>2.8</c:v>
                </c:pt>
                <c:pt idx="2">
                  <c:v>2.6</c:v>
                </c:pt>
              </c:numCache>
            </c:numRef>
          </c:val>
        </c:ser>
        <c:ser>
          <c:idx val="3"/>
          <c:order val="3"/>
          <c:tx>
            <c:strRef>
              <c:f>Sheet1!$A$5</c:f>
              <c:strCache>
                <c:ptCount val="1"/>
                <c:pt idx="0">
                  <c:v>first time contract without getting married</c:v>
                </c:pt>
              </c:strCache>
            </c:strRef>
          </c:tx>
          <c:cat>
            <c:strRef>
              <c:f>Sheet1!$B$1:$D$1</c:f>
              <c:strCache>
                <c:ptCount val="3"/>
                <c:pt idx="0">
                  <c:v>Palestine</c:v>
                </c:pt>
                <c:pt idx="1">
                  <c:v>West Bank</c:v>
                </c:pt>
                <c:pt idx="2">
                  <c:v>Gaza strip</c:v>
                </c:pt>
              </c:strCache>
            </c:strRef>
          </c:cat>
          <c:val>
            <c:numRef>
              <c:f>Sheet1!$B$5:$D$5</c:f>
              <c:numCache>
                <c:formatCode>0.0</c:formatCode>
                <c:ptCount val="3"/>
                <c:pt idx="0">
                  <c:v>2.2000000000000002</c:v>
                </c:pt>
                <c:pt idx="1">
                  <c:v>2.4</c:v>
                </c:pt>
                <c:pt idx="2">
                  <c:v>2</c:v>
                </c:pt>
              </c:numCache>
            </c:numRef>
          </c:val>
        </c:ser>
        <c:ser>
          <c:idx val="4"/>
          <c:order val="4"/>
          <c:tx>
            <c:strRef>
              <c:f>Sheet1!$A$6</c:f>
              <c:strCache>
                <c:ptCount val="1"/>
                <c:pt idx="0">
                  <c:v>Divorced</c:v>
                </c:pt>
              </c:strCache>
            </c:strRef>
          </c:tx>
          <c:cat>
            <c:strRef>
              <c:f>Sheet1!$B$1:$D$1</c:f>
              <c:strCache>
                <c:ptCount val="3"/>
                <c:pt idx="0">
                  <c:v>Palestine</c:v>
                </c:pt>
                <c:pt idx="1">
                  <c:v>West Bank</c:v>
                </c:pt>
                <c:pt idx="2">
                  <c:v>Gaza strip</c:v>
                </c:pt>
              </c:strCache>
            </c:strRef>
          </c:cat>
          <c:val>
            <c:numRef>
              <c:f>Sheet1!$B$6:$D$6</c:f>
              <c:numCache>
                <c:formatCode>0.0</c:formatCode>
                <c:ptCount val="3"/>
                <c:pt idx="0">
                  <c:v>0.9</c:v>
                </c:pt>
                <c:pt idx="1">
                  <c:v>0.70000000000000062</c:v>
                </c:pt>
                <c:pt idx="2">
                  <c:v>1</c:v>
                </c:pt>
              </c:numCache>
            </c:numRef>
          </c:val>
        </c:ser>
        <c:ser>
          <c:idx val="5"/>
          <c:order val="5"/>
          <c:tx>
            <c:strRef>
              <c:f>Sheet1!$A$7</c:f>
              <c:strCache>
                <c:ptCount val="1"/>
                <c:pt idx="0">
                  <c:v>separated</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Sheet1!$B$7:$D$7</c:f>
              <c:numCache>
                <c:formatCode>0.0</c:formatCode>
                <c:ptCount val="3"/>
                <c:pt idx="0">
                  <c:v>0.1</c:v>
                </c:pt>
                <c:pt idx="1">
                  <c:v>0.1</c:v>
                </c:pt>
                <c:pt idx="2">
                  <c:v>0.1</c:v>
                </c:pt>
              </c:numCache>
            </c:numRef>
          </c:val>
        </c:ser>
        <c:dLbls>
          <c:showVal val="1"/>
        </c:dLbls>
        <c:axId val="175537152"/>
        <c:axId val="176083712"/>
      </c:barChart>
      <c:catAx>
        <c:axId val="175537152"/>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76083712"/>
        <c:crosses val="autoZero"/>
        <c:auto val="1"/>
        <c:lblAlgn val="ctr"/>
        <c:lblOffset val="100"/>
      </c:catAx>
      <c:valAx>
        <c:axId val="176083712"/>
        <c:scaling>
          <c:orientation val="minMax"/>
        </c:scaling>
        <c:axPos val="l"/>
        <c:numFmt formatCode="General" sourceLinked="0"/>
        <c:tickLblPos val="nextTo"/>
        <c:txPr>
          <a:bodyPr/>
          <a:lstStyle/>
          <a:p>
            <a:pPr>
              <a:defRPr>
                <a:latin typeface="Arial" pitchFamily="34" charset="0"/>
                <a:cs typeface="Arial" pitchFamily="34" charset="0"/>
              </a:defRPr>
            </a:pPr>
            <a:endParaRPr lang="en-US"/>
          </a:p>
        </c:txPr>
        <c:crossAx val="175537152"/>
        <c:crosses val="autoZero"/>
        <c:crossBetween val="between"/>
      </c:valAx>
    </c:plotArea>
    <c:legend>
      <c:legendPos val="t"/>
      <c:layout>
        <c:manualLayout>
          <c:xMode val="edge"/>
          <c:yMode val="edge"/>
          <c:x val="0.15130030066038699"/>
          <c:y val="1.9506809436431145E-2"/>
          <c:w val="0.82732394491297756"/>
          <c:h val="0.10780758599865289"/>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2"/>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3038869257951745E-2"/>
          <c:y val="0.12063492063492066"/>
          <c:w val="0.90106007067137805"/>
          <c:h val="0.71482445129141636"/>
        </c:manualLayout>
      </c:layout>
      <c:barChart>
        <c:barDir val="col"/>
        <c:grouping val="percentStacked"/>
        <c:ser>
          <c:idx val="0"/>
          <c:order val="0"/>
          <c:tx>
            <c:strRef>
              <c:f>Sheet1!$B$1</c:f>
              <c:strCache>
                <c:ptCount val="1"/>
                <c:pt idx="0">
                  <c:v>no family kinship</c:v>
                </c:pt>
              </c:strCache>
            </c:strRef>
          </c:tx>
          <c:dLbls>
            <c:txPr>
              <a:bodyPr/>
              <a:lstStyle/>
              <a:p>
                <a:pPr>
                  <a:defRPr sz="800">
                    <a:latin typeface="Arial" pitchFamily="34" charset="0"/>
                    <a:cs typeface="Arial" pitchFamily="34" charset="0"/>
                  </a:defRPr>
                </a:pPr>
                <a:endParaRPr lang="en-US"/>
              </a:p>
            </c:txPr>
            <c:showVal val="1"/>
          </c:dLbls>
          <c:cat>
            <c:strRef>
              <c:f>Sheet1!$A$2:$A$10</c:f>
              <c:strCache>
                <c:ptCount val="9"/>
                <c:pt idx="0">
                  <c:v>Palestine</c:v>
                </c:pt>
                <c:pt idx="1">
                  <c:v>West Bank</c:v>
                </c:pt>
                <c:pt idx="2">
                  <c:v>Gaza strip</c:v>
                </c:pt>
                <c:pt idx="3">
                  <c:v>Palestine</c:v>
                </c:pt>
                <c:pt idx="4">
                  <c:v>West Bank</c:v>
                </c:pt>
                <c:pt idx="5">
                  <c:v>Gaza strip</c:v>
                </c:pt>
                <c:pt idx="6">
                  <c:v>Palestine</c:v>
                </c:pt>
                <c:pt idx="7">
                  <c:v>West Bank</c:v>
                </c:pt>
                <c:pt idx="8">
                  <c:v>Gaza strip</c:v>
                </c:pt>
              </c:strCache>
            </c:strRef>
          </c:cat>
          <c:val>
            <c:numRef>
              <c:f>Sheet1!$B$2:$B$10</c:f>
              <c:numCache>
                <c:formatCode>0.0</c:formatCode>
                <c:ptCount val="9"/>
                <c:pt idx="0">
                  <c:v>56.9</c:v>
                </c:pt>
                <c:pt idx="1">
                  <c:v>59.7</c:v>
                </c:pt>
                <c:pt idx="2">
                  <c:v>52.2</c:v>
                </c:pt>
                <c:pt idx="3">
                  <c:v>56.7</c:v>
                </c:pt>
                <c:pt idx="4">
                  <c:v>59.3</c:v>
                </c:pt>
                <c:pt idx="5">
                  <c:v>52.2</c:v>
                </c:pt>
                <c:pt idx="6">
                  <c:v>57.1</c:v>
                </c:pt>
                <c:pt idx="7">
                  <c:v>60</c:v>
                </c:pt>
                <c:pt idx="8">
                  <c:v>52.2</c:v>
                </c:pt>
              </c:numCache>
            </c:numRef>
          </c:val>
        </c:ser>
        <c:ser>
          <c:idx val="1"/>
          <c:order val="1"/>
          <c:tx>
            <c:strRef>
              <c:f>Sheet1!$C$1</c:f>
              <c:strCache>
                <c:ptCount val="1"/>
                <c:pt idx="0">
                  <c:v>there is kinship*</c:v>
                </c:pt>
              </c:strCache>
            </c:strRef>
          </c:tx>
          <c:dLbls>
            <c:txPr>
              <a:bodyPr/>
              <a:lstStyle/>
              <a:p>
                <a:pPr>
                  <a:defRPr sz="800">
                    <a:latin typeface="Arial" pitchFamily="34" charset="0"/>
                    <a:cs typeface="Arial" pitchFamily="34" charset="0"/>
                  </a:defRPr>
                </a:pPr>
                <a:endParaRPr lang="en-US"/>
              </a:p>
            </c:txPr>
            <c:showVal val="1"/>
          </c:dLbls>
          <c:cat>
            <c:strRef>
              <c:f>Sheet1!$A$2:$A$10</c:f>
              <c:strCache>
                <c:ptCount val="9"/>
                <c:pt idx="0">
                  <c:v>Palestine</c:v>
                </c:pt>
                <c:pt idx="1">
                  <c:v>West Bank</c:v>
                </c:pt>
                <c:pt idx="2">
                  <c:v>Gaza strip</c:v>
                </c:pt>
                <c:pt idx="3">
                  <c:v>Palestine</c:v>
                </c:pt>
                <c:pt idx="4">
                  <c:v>West Bank</c:v>
                </c:pt>
                <c:pt idx="5">
                  <c:v>Gaza strip</c:v>
                </c:pt>
                <c:pt idx="6">
                  <c:v>Palestine</c:v>
                </c:pt>
                <c:pt idx="7">
                  <c:v>West Bank</c:v>
                </c:pt>
                <c:pt idx="8">
                  <c:v>Gaza strip</c:v>
                </c:pt>
              </c:strCache>
            </c:strRef>
          </c:cat>
          <c:val>
            <c:numRef>
              <c:f>Sheet1!$C$2:$C$10</c:f>
              <c:numCache>
                <c:formatCode>0.0</c:formatCode>
                <c:ptCount val="9"/>
                <c:pt idx="0">
                  <c:v>26.3</c:v>
                </c:pt>
                <c:pt idx="1">
                  <c:v>23.9</c:v>
                </c:pt>
                <c:pt idx="2">
                  <c:v>30.2</c:v>
                </c:pt>
                <c:pt idx="3">
                  <c:v>26.6</c:v>
                </c:pt>
                <c:pt idx="4">
                  <c:v>24.4</c:v>
                </c:pt>
                <c:pt idx="5">
                  <c:v>30.5</c:v>
                </c:pt>
                <c:pt idx="6">
                  <c:v>26.1</c:v>
                </c:pt>
                <c:pt idx="7">
                  <c:v>23.8</c:v>
                </c:pt>
                <c:pt idx="8">
                  <c:v>29.9</c:v>
                </c:pt>
              </c:numCache>
            </c:numRef>
          </c:val>
        </c:ser>
        <c:ser>
          <c:idx val="2"/>
          <c:order val="2"/>
          <c:tx>
            <c:strRef>
              <c:f>Sheet1!$D$1</c:f>
              <c:strCache>
                <c:ptCount val="1"/>
                <c:pt idx="0">
                  <c:v>kinship of same tribe</c:v>
                </c:pt>
              </c:strCache>
            </c:strRef>
          </c:tx>
          <c:dLbls>
            <c:txPr>
              <a:bodyPr/>
              <a:lstStyle/>
              <a:p>
                <a:pPr>
                  <a:defRPr sz="800">
                    <a:latin typeface="Arial" pitchFamily="34" charset="0"/>
                    <a:cs typeface="Arial" pitchFamily="34" charset="0"/>
                  </a:defRPr>
                </a:pPr>
                <a:endParaRPr lang="en-US"/>
              </a:p>
            </c:txPr>
            <c:showVal val="1"/>
          </c:dLbls>
          <c:cat>
            <c:strRef>
              <c:f>Sheet1!$A$2:$A$10</c:f>
              <c:strCache>
                <c:ptCount val="9"/>
                <c:pt idx="0">
                  <c:v>Palestine</c:v>
                </c:pt>
                <c:pt idx="1">
                  <c:v>West Bank</c:v>
                </c:pt>
                <c:pt idx="2">
                  <c:v>Gaza strip</c:v>
                </c:pt>
                <c:pt idx="3">
                  <c:v>Palestine</c:v>
                </c:pt>
                <c:pt idx="4">
                  <c:v>West Bank</c:v>
                </c:pt>
                <c:pt idx="5">
                  <c:v>Gaza strip</c:v>
                </c:pt>
                <c:pt idx="6">
                  <c:v>Palestine</c:v>
                </c:pt>
                <c:pt idx="7">
                  <c:v>West Bank</c:v>
                </c:pt>
                <c:pt idx="8">
                  <c:v>Gaza strip</c:v>
                </c:pt>
              </c:strCache>
            </c:strRef>
          </c:cat>
          <c:val>
            <c:numRef>
              <c:f>Sheet1!$D$2:$D$10</c:f>
              <c:numCache>
                <c:formatCode>0.0</c:formatCode>
                <c:ptCount val="9"/>
                <c:pt idx="0">
                  <c:v>16.8</c:v>
                </c:pt>
                <c:pt idx="1">
                  <c:v>16.399999999999999</c:v>
                </c:pt>
                <c:pt idx="2">
                  <c:v>17.600000000000001</c:v>
                </c:pt>
                <c:pt idx="3">
                  <c:v>16.7</c:v>
                </c:pt>
                <c:pt idx="4">
                  <c:v>16.3</c:v>
                </c:pt>
                <c:pt idx="5">
                  <c:v>17.3</c:v>
                </c:pt>
                <c:pt idx="6">
                  <c:v>16.8</c:v>
                </c:pt>
                <c:pt idx="7">
                  <c:v>16.2</c:v>
                </c:pt>
                <c:pt idx="8">
                  <c:v>17.899999999999999</c:v>
                </c:pt>
              </c:numCache>
            </c:numRef>
          </c:val>
        </c:ser>
        <c:dLbls>
          <c:showVal val="1"/>
        </c:dLbls>
        <c:overlap val="100"/>
        <c:axId val="165459072"/>
        <c:axId val="165460608"/>
      </c:barChart>
      <c:catAx>
        <c:axId val="165459072"/>
        <c:scaling>
          <c:orientation val="minMax"/>
        </c:scaling>
        <c:axPos val="b"/>
        <c:numFmt formatCode="General" sourceLinked="1"/>
        <c:tickLblPos val="low"/>
        <c:txPr>
          <a:bodyPr/>
          <a:lstStyle/>
          <a:p>
            <a:pPr>
              <a:defRPr sz="800">
                <a:latin typeface="Arial" pitchFamily="34" charset="0"/>
                <a:cs typeface="Arial" pitchFamily="34" charset="0"/>
              </a:defRPr>
            </a:pPr>
            <a:endParaRPr lang="en-US"/>
          </a:p>
        </c:txPr>
        <c:crossAx val="165460608"/>
        <c:crosses val="autoZero"/>
        <c:auto val="1"/>
        <c:lblAlgn val="ctr"/>
        <c:lblOffset val="100"/>
      </c:catAx>
      <c:valAx>
        <c:axId val="165460608"/>
        <c:scaling>
          <c:orientation val="minMax"/>
        </c:scaling>
        <c:axPos val="l"/>
        <c:numFmt formatCode="0%" sourceLinked="1"/>
        <c:tickLblPos val="nextTo"/>
        <c:txPr>
          <a:bodyPr/>
          <a:lstStyle/>
          <a:p>
            <a:pPr>
              <a:defRPr sz="800">
                <a:latin typeface="Arial" pitchFamily="34" charset="0"/>
                <a:cs typeface="Arial" pitchFamily="34" charset="0"/>
              </a:defRPr>
            </a:pPr>
            <a:endParaRPr lang="en-US"/>
          </a:p>
        </c:txPr>
        <c:crossAx val="165459072"/>
        <c:crosses val="autoZero"/>
        <c:crossBetween val="between"/>
      </c:valAx>
      <c:spPr>
        <a:ln>
          <a:noFill/>
        </a:ln>
      </c:spPr>
    </c:plotArea>
    <c:legend>
      <c:legendPos val="r"/>
      <c:layout>
        <c:manualLayout>
          <c:xMode val="edge"/>
          <c:yMode val="edge"/>
          <c:x val="0.15091707777365526"/>
          <c:y val="2.4873521244627031E-3"/>
          <c:w val="0.6466826986940799"/>
          <c:h val="9.6554452432576821E-2"/>
        </c:manualLayout>
      </c:layout>
      <c:spPr>
        <a:ln>
          <a:solidFill>
            <a:schemeClr val="accent1"/>
          </a:solidFill>
        </a:ln>
      </c:spPr>
      <c:txPr>
        <a:bodyPr/>
        <a:lstStyle/>
        <a:p>
          <a:pPr rtl="1">
            <a:defRPr sz="800">
              <a:latin typeface="Arial" pitchFamily="34" charset="0"/>
              <a:cs typeface="Arial" pitchFamily="34" charset="0"/>
            </a:defRPr>
          </a:pPr>
          <a:endParaRPr lang="en-US"/>
        </a:p>
      </c:txPr>
    </c:legend>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4277399262915975E-2"/>
          <c:y val="0.173935411789745"/>
          <c:w val="0.92572260073708401"/>
          <c:h val="0.72928604512671158"/>
        </c:manualLayout>
      </c:layout>
      <c:barChart>
        <c:barDir val="col"/>
        <c:grouping val="percentStacked"/>
        <c:ser>
          <c:idx val="0"/>
          <c:order val="0"/>
          <c:tx>
            <c:strRef>
              <c:f>Sheet1!$A$2</c:f>
              <c:strCache>
                <c:ptCount val="1"/>
                <c:pt idx="0">
                  <c:v>Villa</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General</c:formatCode>
                <c:ptCount val="3"/>
                <c:pt idx="0">
                  <c:v>0.4</c:v>
                </c:pt>
                <c:pt idx="1">
                  <c:v>0.5</c:v>
                </c:pt>
                <c:pt idx="2">
                  <c:v>0.1</c:v>
                </c:pt>
              </c:numCache>
            </c:numRef>
          </c:val>
        </c:ser>
        <c:ser>
          <c:idx val="1"/>
          <c:order val="1"/>
          <c:tx>
            <c:strRef>
              <c:f>Sheet1!$A$3</c:f>
              <c:strCache>
                <c:ptCount val="1"/>
                <c:pt idx="0">
                  <c:v>House</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Sheet1!$B$3:$D$3</c:f>
              <c:numCache>
                <c:formatCode>General</c:formatCode>
                <c:ptCount val="3"/>
                <c:pt idx="0">
                  <c:v>50.2</c:v>
                </c:pt>
                <c:pt idx="1">
                  <c:v>62.2</c:v>
                </c:pt>
                <c:pt idx="2">
                  <c:v>27.2</c:v>
                </c:pt>
              </c:numCache>
            </c:numRef>
          </c:val>
        </c:ser>
        <c:ser>
          <c:idx val="2"/>
          <c:order val="2"/>
          <c:tx>
            <c:strRef>
              <c:f>Sheet1!$A$4</c:f>
              <c:strCache>
                <c:ptCount val="1"/>
                <c:pt idx="0">
                  <c:v>Apartment</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Sheet1!$B$4:$D$4</c:f>
              <c:numCache>
                <c:formatCode>General</c:formatCode>
                <c:ptCount val="3"/>
                <c:pt idx="0">
                  <c:v>47.7</c:v>
                </c:pt>
                <c:pt idx="1">
                  <c:v>35.6</c:v>
                </c:pt>
                <c:pt idx="2">
                  <c:v>71.099999999999994</c:v>
                </c:pt>
              </c:numCache>
            </c:numRef>
          </c:val>
        </c:ser>
        <c:ser>
          <c:idx val="3"/>
          <c:order val="3"/>
          <c:tx>
            <c:strRef>
              <c:f>Sheet1!$A$5</c:f>
              <c:strCache>
                <c:ptCount val="1"/>
                <c:pt idx="0">
                  <c:v>Other*</c:v>
                </c:pt>
              </c:strCache>
            </c:strRef>
          </c:tx>
          <c:dLbls>
            <c:dLblPos val="inBase"/>
            <c:showVal val="1"/>
          </c:dLbls>
          <c:cat>
            <c:strRef>
              <c:f>Sheet1!$B$1:$D$1</c:f>
              <c:strCache>
                <c:ptCount val="3"/>
                <c:pt idx="0">
                  <c:v>Palestine</c:v>
                </c:pt>
                <c:pt idx="1">
                  <c:v>West Bank</c:v>
                </c:pt>
                <c:pt idx="2">
                  <c:v>Gaza strip</c:v>
                </c:pt>
              </c:strCache>
            </c:strRef>
          </c:cat>
          <c:val>
            <c:numRef>
              <c:f>Sheet1!$B$5:$D$5</c:f>
              <c:numCache>
                <c:formatCode>General</c:formatCode>
                <c:ptCount val="3"/>
                <c:pt idx="0">
                  <c:v>1.7</c:v>
                </c:pt>
                <c:pt idx="1">
                  <c:v>1.7</c:v>
                </c:pt>
                <c:pt idx="2">
                  <c:v>1.6</c:v>
                </c:pt>
              </c:numCache>
            </c:numRef>
          </c:val>
        </c:ser>
        <c:dLbls>
          <c:showVal val="1"/>
        </c:dLbls>
        <c:overlap val="100"/>
        <c:axId val="166291328"/>
        <c:axId val="166292864"/>
      </c:barChart>
      <c:catAx>
        <c:axId val="16629132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6292864"/>
        <c:crosses val="autoZero"/>
        <c:auto val="1"/>
        <c:lblAlgn val="ctr"/>
        <c:lblOffset val="100"/>
      </c:catAx>
      <c:valAx>
        <c:axId val="166292864"/>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66291328"/>
        <c:crosses val="autoZero"/>
        <c:crossBetween val="between"/>
      </c:valAx>
    </c:plotArea>
    <c:legend>
      <c:legendPos val="t"/>
      <c:layout>
        <c:manualLayout>
          <c:xMode val="edge"/>
          <c:yMode val="edge"/>
          <c:x val="0.29488197873570887"/>
          <c:y val="2.2089577512488349E-3"/>
          <c:w val="0.47262716512767627"/>
          <c:h val="8.7674628906681068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899"/>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5575221238938052E-2"/>
          <c:y val="0.19318181818181818"/>
          <c:w val="0.87787610619470413"/>
          <c:h val="0.69318181818183056"/>
        </c:manualLayout>
      </c:layout>
      <c:barChart>
        <c:barDir val="col"/>
        <c:grouping val="percentStacked"/>
        <c:ser>
          <c:idx val="0"/>
          <c:order val="0"/>
          <c:tx>
            <c:strRef>
              <c:f>Sheet1!$A$2</c:f>
              <c:strCache>
                <c:ptCount val="1"/>
                <c:pt idx="0">
                  <c:v>Full ownership*</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Sheet1!$B$2:$D$2</c:f>
              <c:numCache>
                <c:formatCode>0.0</c:formatCode>
                <c:ptCount val="3"/>
                <c:pt idx="0">
                  <c:v>77.100000000000009</c:v>
                </c:pt>
                <c:pt idx="1">
                  <c:v>80.7</c:v>
                </c:pt>
                <c:pt idx="2">
                  <c:v>70.3</c:v>
                </c:pt>
              </c:numCache>
            </c:numRef>
          </c:val>
        </c:ser>
        <c:ser>
          <c:idx val="1"/>
          <c:order val="1"/>
          <c:tx>
            <c:strRef>
              <c:f>Sheet1!$A$3</c:f>
              <c:strCache>
                <c:ptCount val="1"/>
                <c:pt idx="0">
                  <c:v>Rented</c:v>
                </c:pt>
              </c:strCache>
            </c:strRef>
          </c:tx>
          <c:cat>
            <c:strRef>
              <c:f>Sheet1!$B$1:$D$1</c:f>
              <c:strCache>
                <c:ptCount val="3"/>
                <c:pt idx="0">
                  <c:v>Palestine</c:v>
                </c:pt>
                <c:pt idx="1">
                  <c:v>West Bank</c:v>
                </c:pt>
                <c:pt idx="2">
                  <c:v>Gaza strip</c:v>
                </c:pt>
              </c:strCache>
            </c:strRef>
          </c:cat>
          <c:val>
            <c:numRef>
              <c:f>Sheet1!$B$3:$D$3</c:f>
              <c:numCache>
                <c:formatCode>0.0</c:formatCode>
                <c:ptCount val="3"/>
                <c:pt idx="0">
                  <c:v>9</c:v>
                </c:pt>
                <c:pt idx="1">
                  <c:v>8.3000000000000007</c:v>
                </c:pt>
                <c:pt idx="2">
                  <c:v>10.4</c:v>
                </c:pt>
              </c:numCache>
            </c:numRef>
          </c:val>
        </c:ser>
        <c:ser>
          <c:idx val="2"/>
          <c:order val="2"/>
          <c:tx>
            <c:strRef>
              <c:f>Sheet1!$A$4</c:f>
              <c:strCache>
                <c:ptCount val="1"/>
                <c:pt idx="0">
                  <c:v>For free </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Palestine</c:v>
                </c:pt>
                <c:pt idx="1">
                  <c:v>West Bank</c:v>
                </c:pt>
                <c:pt idx="2">
                  <c:v>Gaza strip</c:v>
                </c:pt>
              </c:strCache>
            </c:strRef>
          </c:cat>
          <c:val>
            <c:numRef>
              <c:f>Sheet1!$B$4:$D$4</c:f>
              <c:numCache>
                <c:formatCode>0.0</c:formatCode>
                <c:ptCount val="3"/>
                <c:pt idx="0">
                  <c:v>13.7</c:v>
                </c:pt>
                <c:pt idx="1">
                  <c:v>10.8</c:v>
                </c:pt>
                <c:pt idx="2">
                  <c:v>19</c:v>
                </c:pt>
              </c:numCache>
            </c:numRef>
          </c:val>
        </c:ser>
        <c:ser>
          <c:idx val="3"/>
          <c:order val="3"/>
          <c:tx>
            <c:strRef>
              <c:f>Sheet1!$A$5</c:f>
              <c:strCache>
                <c:ptCount val="1"/>
                <c:pt idx="0">
                  <c:v>Other</c:v>
                </c:pt>
              </c:strCache>
            </c:strRef>
          </c:tx>
          <c:dLbls>
            <c:txPr>
              <a:bodyPr/>
              <a:lstStyle/>
              <a:p>
                <a:pPr>
                  <a:defRPr>
                    <a:latin typeface="Arial" pitchFamily="34" charset="0"/>
                    <a:cs typeface="Arial" pitchFamily="34" charset="0"/>
                  </a:defRPr>
                </a:pPr>
                <a:endParaRPr lang="en-US"/>
              </a:p>
            </c:txPr>
            <c:dLblPos val="inBase"/>
            <c:showVal val="1"/>
          </c:dLbls>
          <c:cat>
            <c:strRef>
              <c:f>Sheet1!$B$1:$D$1</c:f>
              <c:strCache>
                <c:ptCount val="3"/>
                <c:pt idx="0">
                  <c:v>Palestine</c:v>
                </c:pt>
                <c:pt idx="1">
                  <c:v>West Bank</c:v>
                </c:pt>
                <c:pt idx="2">
                  <c:v>Gaza strip</c:v>
                </c:pt>
              </c:strCache>
            </c:strRef>
          </c:cat>
          <c:val>
            <c:numRef>
              <c:f>Sheet1!$B$5:$D$5</c:f>
              <c:numCache>
                <c:formatCode>0.0</c:formatCode>
                <c:ptCount val="3"/>
                <c:pt idx="0">
                  <c:v>0.2</c:v>
                </c:pt>
                <c:pt idx="1">
                  <c:v>0.2</c:v>
                </c:pt>
                <c:pt idx="2">
                  <c:v>0.30000000000000032</c:v>
                </c:pt>
              </c:numCache>
            </c:numRef>
          </c:val>
        </c:ser>
        <c:dLbls>
          <c:showVal val="1"/>
        </c:dLbls>
        <c:overlap val="100"/>
        <c:axId val="166341248"/>
        <c:axId val="166347136"/>
      </c:barChart>
      <c:catAx>
        <c:axId val="16634124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66347136"/>
        <c:crosses val="autoZero"/>
        <c:auto val="1"/>
        <c:lblAlgn val="ctr"/>
        <c:lblOffset val="100"/>
      </c:catAx>
      <c:valAx>
        <c:axId val="166347136"/>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66341248"/>
        <c:crosses val="autoZero"/>
        <c:crossBetween val="between"/>
      </c:valAx>
    </c:plotArea>
    <c:legend>
      <c:legendPos val="t"/>
      <c:layout>
        <c:manualLayout>
          <c:xMode val="edge"/>
          <c:yMode val="edge"/>
          <c:x val="0.2890514589290798"/>
          <c:y val="2.0410385504785886E-2"/>
          <c:w val="0.48217906496627688"/>
          <c:h val="8.7861526602854942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2"/>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1EA6BA-AA88-47D9-831A-C5102D0AF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59</Pages>
  <Words>12751</Words>
  <Characters>72687</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85268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mdaoud</cp:lastModifiedBy>
  <cp:revision>31</cp:revision>
  <cp:lastPrinted>2016-10-24T06:29:00Z</cp:lastPrinted>
  <dcterms:created xsi:type="dcterms:W3CDTF">2016-10-23T07:04:00Z</dcterms:created>
  <dcterms:modified xsi:type="dcterms:W3CDTF">2016-10-24T06:32:00Z</dcterms:modified>
</cp:coreProperties>
</file>