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8D2B6F">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BD39D7" w:rsidRDefault="00E55C4A" w:rsidP="005B0436">
      <w:pPr>
        <w:bidi w:val="0"/>
        <w:ind w:right="-1"/>
        <w:jc w:val="lowKashida"/>
        <w:rPr>
          <w:sz w:val="24"/>
          <w:szCs w:val="24"/>
        </w:rPr>
      </w:pPr>
      <w:r w:rsidRPr="00AB2CF1">
        <w:rPr>
          <w:b/>
          <w:bCs/>
          <w:sz w:val="24"/>
          <w:szCs w:val="24"/>
        </w:rPr>
        <w:t xml:space="preserve">1.1  </w:t>
      </w:r>
      <w:r w:rsidR="00456A95" w:rsidRPr="00BD39D7">
        <w:rPr>
          <w:b/>
          <w:bCs/>
          <w:sz w:val="24"/>
          <w:szCs w:val="24"/>
        </w:rPr>
        <w:t>Number of Licenses</w:t>
      </w:r>
      <w:r w:rsidR="007E568B" w:rsidRPr="00BD39D7">
        <w:rPr>
          <w:b/>
          <w:bCs/>
          <w:sz w:val="24"/>
          <w:szCs w:val="24"/>
        </w:rPr>
        <w:t xml:space="preserve">: </w:t>
      </w:r>
      <w:r w:rsidR="00604B5B" w:rsidRPr="00BD39D7">
        <w:rPr>
          <w:sz w:val="24"/>
          <w:szCs w:val="24"/>
        </w:rPr>
        <w:t xml:space="preserve">The following table compares the number of building licenses issued in </w:t>
      </w:r>
      <w:r w:rsidR="00FC66CA">
        <w:rPr>
          <w:rFonts w:cs="Times New Roman"/>
          <w:sz w:val="24"/>
          <w:szCs w:val="24"/>
        </w:rPr>
        <w:t>the</w:t>
      </w:r>
      <w:r w:rsidR="00FC66CA">
        <w:rPr>
          <w:rFonts w:cs="Times New Roman" w:hint="cs"/>
          <w:sz w:val="24"/>
          <w:szCs w:val="24"/>
          <w:rtl/>
        </w:rPr>
        <w:t xml:space="preserve"> </w:t>
      </w:r>
      <w:r w:rsidR="005B0436">
        <w:rPr>
          <w:rStyle w:val="hps"/>
          <w:rFonts w:cs="Times New Roman"/>
          <w:sz w:val="24"/>
          <w:szCs w:val="24"/>
        </w:rPr>
        <w:t>Third</w:t>
      </w:r>
      <w:r w:rsidR="001F5C78">
        <w:rPr>
          <w:rFonts w:cs="Times New Roman"/>
          <w:sz w:val="24"/>
          <w:szCs w:val="24"/>
        </w:rPr>
        <w:t xml:space="preserve"> </w:t>
      </w:r>
      <w:r w:rsidR="00250A24">
        <w:rPr>
          <w:rFonts w:cs="Times New Roman"/>
          <w:sz w:val="24"/>
          <w:szCs w:val="24"/>
        </w:rPr>
        <w:t>quarter</w:t>
      </w:r>
      <w:r w:rsidR="00604B5B" w:rsidRPr="00BD39D7">
        <w:rPr>
          <w:rFonts w:cs="Times New Roman"/>
          <w:sz w:val="24"/>
          <w:szCs w:val="24"/>
        </w:rPr>
        <w:t xml:space="preserve"> of </w:t>
      </w:r>
      <w:r w:rsidR="00AC34A0">
        <w:rPr>
          <w:rFonts w:cs="Times New Roman"/>
          <w:sz w:val="24"/>
          <w:szCs w:val="24"/>
        </w:rPr>
        <w:t>2013</w:t>
      </w:r>
      <w:r w:rsidR="00604B5B" w:rsidRPr="00BD39D7">
        <w:rPr>
          <w:rFonts w:cs="Times New Roman"/>
          <w:sz w:val="24"/>
          <w:szCs w:val="24"/>
        </w:rPr>
        <w:t xml:space="preserve"> in </w:t>
      </w:r>
      <w:r w:rsidR="00250A24">
        <w:rPr>
          <w:rFonts w:cs="Times New Roman"/>
          <w:sz w:val="24"/>
          <w:szCs w:val="24"/>
        </w:rPr>
        <w:t>Palestine</w:t>
      </w:r>
      <w:r w:rsidR="00BF43BC" w:rsidRPr="00BD39D7">
        <w:rPr>
          <w:rFonts w:cs="Times New Roman"/>
          <w:sz w:val="24"/>
          <w:szCs w:val="24"/>
        </w:rPr>
        <w:t>*</w:t>
      </w:r>
      <w:r w:rsidR="00604B5B" w:rsidRPr="00BD39D7">
        <w:rPr>
          <w:rFonts w:cs="Times New Roman"/>
          <w:sz w:val="24"/>
          <w:szCs w:val="24"/>
        </w:rPr>
        <w:t xml:space="preserve"> </w:t>
      </w:r>
      <w:r w:rsidR="00604B5B" w:rsidRPr="00BD39D7">
        <w:rPr>
          <w:sz w:val="24"/>
          <w:szCs w:val="24"/>
        </w:rPr>
        <w:t>with the previous and corresponding quarters:</w:t>
      </w:r>
    </w:p>
    <w:p w:rsidR="007E568B" w:rsidRPr="00BD39D7"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418"/>
        <w:gridCol w:w="864"/>
        <w:gridCol w:w="837"/>
        <w:gridCol w:w="850"/>
        <w:gridCol w:w="3687"/>
      </w:tblGrid>
      <w:tr w:rsidR="004D114A" w:rsidRPr="00BD39D7" w:rsidTr="00EF1CF9">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604B5B" w:rsidRPr="00BD39D7" w:rsidRDefault="00604B5B" w:rsidP="005B043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5B0436">
              <w:rPr>
                <w:rFonts w:asciiTheme="minorBidi" w:hAnsiTheme="minorBidi" w:cstheme="minorBidi"/>
                <w:b/>
                <w:bCs/>
                <w:sz w:val="18"/>
                <w:szCs w:val="18"/>
              </w:rPr>
              <w:t>Third</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AC34A0">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604B5B" w:rsidRPr="00BD39D7" w:rsidRDefault="00604B5B" w:rsidP="005B043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5B0436">
              <w:rPr>
                <w:rFonts w:asciiTheme="minorBidi" w:hAnsiTheme="minorBidi" w:cstheme="minorBidi"/>
                <w:b/>
                <w:bCs/>
                <w:sz w:val="18"/>
                <w:szCs w:val="18"/>
              </w:rPr>
              <w:t>second</w:t>
            </w:r>
            <w:r w:rsidR="00AC34A0">
              <w:rPr>
                <w:rFonts w:asciiTheme="minorBidi" w:hAnsiTheme="minorBidi" w:cstheme="minorBidi"/>
                <w:b/>
                <w:bCs/>
                <w:sz w:val="18"/>
                <w:szCs w:val="18"/>
              </w:rPr>
              <w:t xml:space="preserve">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p>
          <w:p w:rsidR="004D114A" w:rsidRPr="00BD39D7" w:rsidRDefault="00AC34A0" w:rsidP="00B70723">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B70723">
              <w:rPr>
                <w:rFonts w:asciiTheme="minorBidi" w:hAnsiTheme="minorBidi" w:cstheme="minorBidi"/>
                <w:b/>
                <w:bCs/>
                <w:sz w:val="18"/>
                <w:szCs w:val="18"/>
              </w:rPr>
              <w:t>3</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BD39D7" w:rsidRDefault="00604B5B" w:rsidP="005B043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5B0436">
              <w:rPr>
                <w:rFonts w:asciiTheme="minorBidi" w:hAnsiTheme="minorBidi" w:cstheme="minorBidi"/>
                <w:b/>
                <w:bCs/>
                <w:sz w:val="18"/>
                <w:szCs w:val="18"/>
              </w:rPr>
              <w:t>Third</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p>
          <w:p w:rsidR="004D114A" w:rsidRPr="00BD39D7" w:rsidRDefault="00AC34A0" w:rsidP="005B0436">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00604B5B" w:rsidRPr="00BD39D7">
              <w:rPr>
                <w:rFonts w:asciiTheme="minorBidi" w:hAnsiTheme="minorBidi" w:cstheme="minorBidi"/>
                <w:b/>
                <w:bCs/>
                <w:sz w:val="18"/>
                <w:szCs w:val="18"/>
              </w:rPr>
              <w:t xml:space="preserve">  from </w:t>
            </w:r>
            <w:r w:rsidR="005B0436">
              <w:rPr>
                <w:rFonts w:asciiTheme="minorBidi" w:hAnsiTheme="minorBidi" w:cstheme="minorBidi"/>
                <w:b/>
                <w:bCs/>
                <w:sz w:val="18"/>
                <w:szCs w:val="18"/>
              </w:rPr>
              <w:t>Third</w:t>
            </w:r>
            <w:r>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00604B5B"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sidR="00477F6C">
              <w:rPr>
                <w:rFonts w:asciiTheme="minorBidi" w:hAnsiTheme="minorBidi" w:cstheme="minorBidi"/>
                <w:b/>
                <w:bCs/>
                <w:sz w:val="18"/>
                <w:szCs w:val="18"/>
              </w:rPr>
              <w:t>2</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4D114A" w:rsidRPr="00BD39D7" w:rsidRDefault="00604B5B" w:rsidP="00FE70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No. of Licenses Issued </w:t>
            </w:r>
            <w:r w:rsidR="004D114A" w:rsidRPr="00BD39D7">
              <w:rPr>
                <w:rFonts w:asciiTheme="minorBidi" w:hAnsiTheme="minorBidi" w:cstheme="minorBidi"/>
                <w:b/>
                <w:bCs/>
                <w:sz w:val="18"/>
                <w:szCs w:val="18"/>
              </w:rPr>
              <w:t>*</w:t>
            </w:r>
            <w:r w:rsidR="00BF43BC" w:rsidRPr="00BD39D7">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pStyle w:val="Heading1"/>
              <w:jc w:val="center"/>
              <w:rPr>
                <w:rFonts w:ascii="Arial" w:hAnsi="Arial" w:cs="Arial"/>
                <w:sz w:val="18"/>
                <w:szCs w:val="18"/>
                <w:rtl/>
              </w:rPr>
            </w:pPr>
            <w:r w:rsidRPr="00BD39D7">
              <w:rPr>
                <w:rFonts w:ascii="Arial" w:hAnsi="Arial" w:cs="Arial"/>
                <w:sz w:val="18"/>
                <w:szCs w:val="18"/>
              </w:rPr>
              <w:t>Indicator</w:t>
            </w:r>
          </w:p>
        </w:tc>
      </w:tr>
      <w:tr w:rsidR="004D114A" w:rsidRPr="00BD39D7" w:rsidTr="00EF1CF9">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asciiTheme="minorBidi" w:hAnsiTheme="minorBidi" w:cstheme="minorBidi"/>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bidi w:val="0"/>
              <w:jc w:val="center"/>
              <w:rPr>
                <w:rFonts w:asciiTheme="minorBidi" w:hAnsiTheme="minorBidi" w:cstheme="minorBidi"/>
                <w:sz w:val="18"/>
                <w:szCs w:val="18"/>
              </w:rPr>
            </w:pPr>
          </w:p>
        </w:tc>
        <w:tc>
          <w:tcPr>
            <w:tcW w:w="864" w:type="dxa"/>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5B0436" w:rsidP="00DD4DD3">
            <w:pPr>
              <w:jc w:val="center"/>
              <w:rPr>
                <w:rFonts w:asciiTheme="minorBidi" w:hAnsiTheme="minorBidi" w:cstheme="minorBidi"/>
                <w:sz w:val="18"/>
                <w:szCs w:val="18"/>
                <w:lang w:val="fr-FR"/>
              </w:rPr>
            </w:pPr>
            <w:r>
              <w:rPr>
                <w:rFonts w:asciiTheme="minorBidi" w:hAnsiTheme="minorBidi" w:cstheme="minorBidi"/>
                <w:sz w:val="18"/>
                <w:szCs w:val="18"/>
              </w:rPr>
              <w:t>Third</w:t>
            </w:r>
            <w:r w:rsidR="001F5C78">
              <w:rPr>
                <w:rFonts w:asciiTheme="minorBidi" w:hAnsiTheme="minorBidi" w:cstheme="minorBidi"/>
                <w:sz w:val="18"/>
                <w:szCs w:val="18"/>
              </w:rPr>
              <w:t xml:space="preserve">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BD39D7" w:rsidRDefault="005B0436" w:rsidP="00FE7096">
            <w:pPr>
              <w:jc w:val="center"/>
              <w:rPr>
                <w:rFonts w:asciiTheme="minorBidi" w:hAnsiTheme="minorBidi" w:cstheme="minorBidi"/>
                <w:sz w:val="18"/>
                <w:szCs w:val="18"/>
              </w:rPr>
            </w:pPr>
            <w:r>
              <w:rPr>
                <w:rFonts w:asciiTheme="minorBidi" w:hAnsiTheme="minorBidi" w:cstheme="minorBidi"/>
                <w:sz w:val="18"/>
                <w:szCs w:val="18"/>
              </w:rPr>
              <w:t>second</w:t>
            </w:r>
            <w:r w:rsidR="00AC34A0">
              <w:rPr>
                <w:rFonts w:cs="Times New Roman"/>
                <w:sz w:val="24"/>
                <w:szCs w:val="24"/>
              </w:rPr>
              <w:t xml:space="preserve"> </w:t>
            </w:r>
            <w:r w:rsidR="00250A24">
              <w:rPr>
                <w:rFonts w:asciiTheme="minorBidi" w:hAnsiTheme="minorBidi" w:cstheme="minorBidi"/>
                <w:sz w:val="18"/>
                <w:szCs w:val="18"/>
              </w:rPr>
              <w:t>quarter</w:t>
            </w:r>
          </w:p>
          <w:p w:rsidR="004D114A" w:rsidRPr="003C0AE5" w:rsidRDefault="004D114A" w:rsidP="00B70723">
            <w:pPr>
              <w:jc w:val="center"/>
              <w:rPr>
                <w:rFonts w:asciiTheme="minorBidi" w:hAnsiTheme="minorBidi" w:cstheme="minorBidi"/>
                <w:sz w:val="18"/>
                <w:szCs w:val="18"/>
                <w:rtl/>
              </w:rPr>
            </w:pPr>
            <w:r w:rsidRPr="00BD39D7">
              <w:rPr>
                <w:rFonts w:asciiTheme="minorBidi" w:hAnsiTheme="minorBidi" w:cstheme="minorBidi"/>
                <w:sz w:val="18"/>
                <w:szCs w:val="18"/>
                <w:rtl/>
              </w:rPr>
              <w:t>201</w:t>
            </w:r>
            <w:r w:rsidR="00B70723">
              <w:rPr>
                <w:rFonts w:asciiTheme="minorBidi" w:hAnsiTheme="minorBidi" w:cstheme="minorBidi" w:hint="cs"/>
                <w:sz w:val="18"/>
                <w:szCs w:val="18"/>
                <w:rtl/>
              </w:rPr>
              <w:t>3</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5B0436" w:rsidP="00AC34A0">
            <w:pPr>
              <w:bidi w:val="0"/>
              <w:jc w:val="center"/>
              <w:rPr>
                <w:rFonts w:asciiTheme="minorBidi" w:hAnsiTheme="minorBidi" w:cstheme="minorBidi"/>
                <w:sz w:val="18"/>
                <w:szCs w:val="18"/>
                <w:rtl/>
              </w:rPr>
            </w:pPr>
            <w:r>
              <w:rPr>
                <w:rFonts w:asciiTheme="minorBidi" w:hAnsiTheme="minorBidi" w:cstheme="minorBidi"/>
                <w:sz w:val="18"/>
                <w:szCs w:val="18"/>
              </w:rPr>
              <w:t>Third</w:t>
            </w:r>
            <w:r w:rsidR="00AC34A0">
              <w:rPr>
                <w:rFonts w:asciiTheme="majorBidi" w:hAnsiTheme="majorBidi" w:cstheme="majorBidi"/>
                <w:sz w:val="16"/>
                <w:szCs w:val="16"/>
              </w:rPr>
              <w:t xml:space="preserve">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3687"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cs="Simplified Arabic"/>
                <w:b/>
                <w:bCs/>
                <w:sz w:val="18"/>
                <w:szCs w:val="18"/>
              </w:rPr>
            </w:pPr>
          </w:p>
        </w:tc>
      </w:tr>
      <w:tr w:rsidR="007566AC" w:rsidRPr="00BD39D7" w:rsidTr="00121FF7">
        <w:trPr>
          <w:cantSplit/>
          <w:trHeight w:val="340"/>
          <w:jc w:val="center"/>
        </w:trPr>
        <w:tc>
          <w:tcPr>
            <w:tcW w:w="1416" w:type="dxa"/>
            <w:tcBorders>
              <w:top w:val="single" w:sz="4" w:space="0" w:color="auto"/>
              <w:left w:val="single" w:sz="4" w:space="0" w:color="auto"/>
            </w:tcBorders>
            <w:vAlign w:val="center"/>
          </w:tcPr>
          <w:p w:rsidR="007566AC" w:rsidRPr="00A552E8" w:rsidRDefault="003A3AE3"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w:t>
            </w:r>
            <w:r w:rsidR="007566AC">
              <w:rPr>
                <w:rFonts w:ascii="Arial" w:eastAsia="Arial Unicode MS" w:hAnsi="Arial" w:cs="Arial" w:hint="cs"/>
                <w:b/>
                <w:bCs/>
                <w:sz w:val="18"/>
                <w:szCs w:val="18"/>
                <w:rtl/>
              </w:rPr>
              <w:t>.</w:t>
            </w:r>
            <w:r>
              <w:rPr>
                <w:rFonts w:ascii="Arial" w:eastAsia="Arial Unicode MS" w:hAnsi="Arial" w:cs="Arial" w:hint="cs"/>
                <w:b/>
                <w:bCs/>
                <w:sz w:val="18"/>
                <w:szCs w:val="18"/>
                <w:rtl/>
              </w:rPr>
              <w:t>6</w:t>
            </w:r>
            <w:r w:rsidR="007566AC">
              <w:rPr>
                <w:rFonts w:ascii="Arial" w:eastAsia="Arial Unicode MS" w:hAnsi="Arial" w:cs="Arial" w:hint="cs"/>
                <w:b/>
                <w:bCs/>
                <w:sz w:val="18"/>
                <w:szCs w:val="18"/>
                <w:rtl/>
              </w:rPr>
              <w:t>-</w:t>
            </w:r>
          </w:p>
        </w:tc>
        <w:tc>
          <w:tcPr>
            <w:tcW w:w="1418" w:type="dxa"/>
            <w:tcBorders>
              <w:top w:val="single" w:sz="4" w:space="0" w:color="auto"/>
            </w:tcBorders>
            <w:tcMar>
              <w:top w:w="20" w:type="dxa"/>
              <w:left w:w="20" w:type="dxa"/>
              <w:bottom w:w="0" w:type="dxa"/>
              <w:right w:w="20" w:type="dxa"/>
            </w:tcMar>
            <w:vAlign w:val="center"/>
          </w:tcPr>
          <w:p w:rsidR="007566AC" w:rsidRPr="00A552E8" w:rsidRDefault="003A3AE3"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40</w:t>
            </w:r>
            <w:r w:rsidR="007566AC">
              <w:rPr>
                <w:rFonts w:ascii="Arial" w:eastAsia="Arial Unicode MS" w:hAnsi="Arial" w:cs="Arial" w:hint="cs"/>
                <w:b/>
                <w:bCs/>
                <w:sz w:val="18"/>
                <w:szCs w:val="18"/>
                <w:rtl/>
              </w:rPr>
              <w:t>.</w:t>
            </w:r>
            <w:r>
              <w:rPr>
                <w:rFonts w:ascii="Arial" w:eastAsia="Arial Unicode MS" w:hAnsi="Arial" w:cs="Arial" w:hint="cs"/>
                <w:b/>
                <w:bCs/>
                <w:sz w:val="18"/>
                <w:szCs w:val="18"/>
                <w:rtl/>
              </w:rPr>
              <w:t>2</w:t>
            </w:r>
          </w:p>
        </w:tc>
        <w:tc>
          <w:tcPr>
            <w:tcW w:w="864" w:type="dxa"/>
            <w:tcBorders>
              <w:top w:val="single" w:sz="4" w:space="0" w:color="auto"/>
            </w:tcBorders>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sz w:val="18"/>
                <w:szCs w:val="18"/>
              </w:rPr>
            </w:pPr>
            <w:r>
              <w:rPr>
                <w:rFonts w:ascii="Arial" w:eastAsia="Arial Unicode MS" w:hAnsi="Arial" w:cs="Arial" w:hint="cs"/>
                <w:sz w:val="18"/>
                <w:szCs w:val="18"/>
                <w:rtl/>
              </w:rPr>
              <w:t>1,48</w:t>
            </w:r>
            <w:r w:rsidR="003A3AE3">
              <w:rPr>
                <w:rFonts w:ascii="Arial" w:eastAsia="Arial Unicode MS" w:hAnsi="Arial" w:cs="Arial" w:hint="cs"/>
                <w:sz w:val="18"/>
                <w:szCs w:val="18"/>
                <w:rtl/>
              </w:rPr>
              <w:t>5</w:t>
            </w:r>
          </w:p>
        </w:tc>
        <w:tc>
          <w:tcPr>
            <w:tcW w:w="837" w:type="dxa"/>
            <w:tcBorders>
              <w:top w:val="single" w:sz="4" w:space="0" w:color="auto"/>
            </w:tcBorders>
            <w:noWrap/>
            <w:tcMar>
              <w:top w:w="20" w:type="dxa"/>
              <w:left w:w="20" w:type="dxa"/>
              <w:bottom w:w="0" w:type="dxa"/>
              <w:right w:w="20" w:type="dxa"/>
            </w:tcMar>
            <w:vAlign w:val="center"/>
          </w:tcPr>
          <w:p w:rsidR="007566AC" w:rsidRPr="00A552E8" w:rsidRDefault="007566AC" w:rsidP="005B0436">
            <w:pPr>
              <w:ind w:left="144" w:right="57" w:firstLine="122"/>
              <w:rPr>
                <w:rFonts w:ascii="Arial" w:eastAsia="Arial Unicode MS" w:hAnsi="Arial" w:cs="Arial"/>
                <w:sz w:val="18"/>
                <w:szCs w:val="18"/>
              </w:rPr>
            </w:pPr>
            <w:r>
              <w:rPr>
                <w:rFonts w:ascii="Arial" w:eastAsia="Arial Unicode MS" w:hAnsi="Arial" w:cs="Arial" w:hint="cs"/>
                <w:sz w:val="18"/>
                <w:szCs w:val="18"/>
                <w:rtl/>
              </w:rPr>
              <w:t>1,608</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7566AC" w:rsidRPr="00A552E8" w:rsidRDefault="007566AC"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1,059</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7566AC" w:rsidRPr="00BD39D7" w:rsidRDefault="007566AC" w:rsidP="00B25DE8">
            <w:pPr>
              <w:bidi w:val="0"/>
              <w:ind w:left="123" w:right="40"/>
              <w:rPr>
                <w:rFonts w:ascii="Arial" w:hAnsi="Arial" w:cs="Arial"/>
                <w:sz w:val="18"/>
                <w:szCs w:val="18"/>
              </w:rPr>
            </w:pPr>
            <w:r w:rsidRPr="00BD39D7">
              <w:rPr>
                <w:rFonts w:ascii="Arial" w:hAnsi="Arial" w:cs="Arial"/>
                <w:sz w:val="18"/>
                <w:szCs w:val="18"/>
              </w:rPr>
              <w:t>Licenses for new buildings</w:t>
            </w:r>
          </w:p>
        </w:tc>
      </w:tr>
      <w:tr w:rsidR="007566AC" w:rsidRPr="00BD39D7" w:rsidTr="00121FF7">
        <w:trPr>
          <w:cantSplit/>
          <w:trHeight w:val="340"/>
          <w:jc w:val="center"/>
        </w:trPr>
        <w:tc>
          <w:tcPr>
            <w:tcW w:w="1416" w:type="dxa"/>
            <w:tcBorders>
              <w:left w:val="single" w:sz="4" w:space="0" w:color="auto"/>
            </w:tcBorders>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13.2-</w:t>
            </w:r>
          </w:p>
        </w:tc>
        <w:tc>
          <w:tcPr>
            <w:tcW w:w="1418"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b/>
                <w:bCs/>
                <w:sz w:val="18"/>
                <w:szCs w:val="18"/>
                <w:rtl/>
              </w:rPr>
            </w:pPr>
            <w:r>
              <w:rPr>
                <w:rFonts w:ascii="Arial" w:eastAsia="Arial Unicode MS" w:hAnsi="Arial" w:cs="Arial" w:hint="cs"/>
                <w:b/>
                <w:bCs/>
                <w:sz w:val="18"/>
                <w:szCs w:val="18"/>
                <w:rtl/>
              </w:rPr>
              <w:t>14.8-</w:t>
            </w:r>
          </w:p>
        </w:tc>
        <w:tc>
          <w:tcPr>
            <w:tcW w:w="864"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sz w:val="18"/>
                <w:szCs w:val="18"/>
              </w:rPr>
            </w:pPr>
            <w:r>
              <w:rPr>
                <w:rFonts w:ascii="Arial" w:eastAsia="Arial Unicode MS" w:hAnsi="Arial" w:cs="Arial" w:hint="cs"/>
                <w:sz w:val="18"/>
                <w:szCs w:val="18"/>
                <w:rtl/>
              </w:rPr>
              <w:t>282</w:t>
            </w:r>
          </w:p>
        </w:tc>
        <w:tc>
          <w:tcPr>
            <w:tcW w:w="837" w:type="dxa"/>
            <w:noWrap/>
            <w:tcMar>
              <w:top w:w="20" w:type="dxa"/>
              <w:left w:w="20" w:type="dxa"/>
              <w:bottom w:w="0" w:type="dxa"/>
              <w:right w:w="20" w:type="dxa"/>
            </w:tcMar>
            <w:vAlign w:val="center"/>
          </w:tcPr>
          <w:p w:rsidR="007566AC" w:rsidRPr="00A552E8" w:rsidRDefault="007566AC" w:rsidP="005B0436">
            <w:pPr>
              <w:ind w:left="144" w:right="57" w:firstLine="122"/>
              <w:rPr>
                <w:rFonts w:ascii="Arial" w:eastAsia="Arial Unicode MS" w:hAnsi="Arial" w:cs="Arial"/>
                <w:sz w:val="18"/>
                <w:szCs w:val="18"/>
              </w:rPr>
            </w:pPr>
            <w:r>
              <w:rPr>
                <w:rFonts w:ascii="Arial" w:eastAsia="Arial Unicode MS" w:hAnsi="Arial" w:cs="Arial" w:hint="cs"/>
                <w:sz w:val="18"/>
                <w:szCs w:val="18"/>
                <w:rtl/>
              </w:rPr>
              <w:t>325</w:t>
            </w:r>
          </w:p>
        </w:tc>
        <w:tc>
          <w:tcPr>
            <w:tcW w:w="850" w:type="dxa"/>
            <w:tcBorders>
              <w:right w:val="single" w:sz="4" w:space="0" w:color="auto"/>
            </w:tcBorders>
            <w:noWrap/>
            <w:tcMar>
              <w:top w:w="20" w:type="dxa"/>
              <w:left w:w="20" w:type="dxa"/>
              <w:bottom w:w="0" w:type="dxa"/>
              <w:right w:w="20" w:type="dxa"/>
            </w:tcMar>
            <w:vAlign w:val="center"/>
          </w:tcPr>
          <w:p w:rsidR="007566AC" w:rsidRPr="00A552E8" w:rsidRDefault="007566AC"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331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566AC" w:rsidRPr="00BD39D7" w:rsidRDefault="007566AC" w:rsidP="00B25DE8">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7566AC" w:rsidRPr="00BD39D7" w:rsidTr="00121FF7">
        <w:trPr>
          <w:cantSplit/>
          <w:trHeight w:val="340"/>
          <w:jc w:val="center"/>
        </w:trPr>
        <w:tc>
          <w:tcPr>
            <w:tcW w:w="1416" w:type="dxa"/>
            <w:tcBorders>
              <w:left w:val="single" w:sz="4" w:space="0" w:color="auto"/>
            </w:tcBorders>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59.3-</w:t>
            </w:r>
          </w:p>
        </w:tc>
        <w:tc>
          <w:tcPr>
            <w:tcW w:w="1418"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83.3-</w:t>
            </w:r>
          </w:p>
        </w:tc>
        <w:tc>
          <w:tcPr>
            <w:tcW w:w="864"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sz w:val="18"/>
                <w:szCs w:val="18"/>
              </w:rPr>
            </w:pPr>
            <w:r>
              <w:rPr>
                <w:rFonts w:ascii="Arial" w:eastAsia="Arial Unicode MS" w:hAnsi="Arial" w:cs="Arial" w:hint="cs"/>
                <w:sz w:val="18"/>
                <w:szCs w:val="18"/>
                <w:rtl/>
              </w:rPr>
              <w:t>11</w:t>
            </w:r>
          </w:p>
        </w:tc>
        <w:tc>
          <w:tcPr>
            <w:tcW w:w="837" w:type="dxa"/>
            <w:noWrap/>
            <w:tcMar>
              <w:top w:w="20" w:type="dxa"/>
              <w:left w:w="20" w:type="dxa"/>
              <w:bottom w:w="0" w:type="dxa"/>
              <w:right w:w="20" w:type="dxa"/>
            </w:tcMar>
            <w:vAlign w:val="center"/>
          </w:tcPr>
          <w:p w:rsidR="007566AC" w:rsidRPr="00A552E8" w:rsidRDefault="007566AC" w:rsidP="005B0436">
            <w:pPr>
              <w:ind w:left="144" w:right="57" w:firstLine="122"/>
              <w:rPr>
                <w:rFonts w:ascii="Arial" w:eastAsia="Arial Unicode MS" w:hAnsi="Arial" w:cs="Arial"/>
                <w:sz w:val="18"/>
                <w:szCs w:val="18"/>
              </w:rPr>
            </w:pPr>
            <w:r>
              <w:rPr>
                <w:rFonts w:ascii="Arial" w:eastAsia="Arial Unicode MS" w:hAnsi="Arial" w:cs="Arial" w:hint="cs"/>
                <w:sz w:val="18"/>
                <w:szCs w:val="18"/>
                <w:rtl/>
              </w:rPr>
              <w:t>27</w:t>
            </w:r>
          </w:p>
        </w:tc>
        <w:tc>
          <w:tcPr>
            <w:tcW w:w="850" w:type="dxa"/>
            <w:tcBorders>
              <w:right w:val="single" w:sz="4" w:space="0" w:color="auto"/>
            </w:tcBorders>
            <w:noWrap/>
            <w:tcMar>
              <w:top w:w="20" w:type="dxa"/>
              <w:left w:w="20" w:type="dxa"/>
              <w:bottom w:w="0" w:type="dxa"/>
              <w:right w:w="20" w:type="dxa"/>
            </w:tcMar>
            <w:vAlign w:val="center"/>
          </w:tcPr>
          <w:p w:rsidR="007566AC" w:rsidRPr="00A552E8" w:rsidRDefault="007566AC"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66</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566AC" w:rsidRPr="00BD39D7" w:rsidRDefault="007566AC" w:rsidP="00B25DE8">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7566AC" w:rsidRPr="00BD39D7" w:rsidTr="00121FF7">
        <w:trPr>
          <w:cantSplit/>
          <w:trHeight w:val="340"/>
          <w:jc w:val="center"/>
        </w:trPr>
        <w:tc>
          <w:tcPr>
            <w:tcW w:w="1416" w:type="dxa"/>
            <w:tcBorders>
              <w:left w:val="single" w:sz="4" w:space="0" w:color="auto"/>
            </w:tcBorders>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14.9-</w:t>
            </w:r>
          </w:p>
        </w:tc>
        <w:tc>
          <w:tcPr>
            <w:tcW w:w="1418"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45</w:t>
            </w:r>
          </w:p>
        </w:tc>
        <w:tc>
          <w:tcPr>
            <w:tcW w:w="864"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sz w:val="18"/>
                <w:szCs w:val="18"/>
              </w:rPr>
            </w:pPr>
            <w:r>
              <w:rPr>
                <w:rFonts w:ascii="Arial" w:eastAsia="Arial Unicode MS" w:hAnsi="Arial" w:cs="Arial" w:hint="cs"/>
                <w:sz w:val="18"/>
                <w:szCs w:val="18"/>
                <w:rtl/>
              </w:rPr>
              <w:t>422</w:t>
            </w:r>
          </w:p>
        </w:tc>
        <w:tc>
          <w:tcPr>
            <w:tcW w:w="837" w:type="dxa"/>
            <w:noWrap/>
            <w:tcMar>
              <w:top w:w="20" w:type="dxa"/>
              <w:left w:w="20" w:type="dxa"/>
              <w:bottom w:w="0" w:type="dxa"/>
              <w:right w:w="20" w:type="dxa"/>
            </w:tcMar>
            <w:vAlign w:val="center"/>
          </w:tcPr>
          <w:p w:rsidR="007566AC" w:rsidRPr="00A552E8" w:rsidRDefault="007566AC" w:rsidP="005B0436">
            <w:pPr>
              <w:ind w:left="144" w:right="57" w:firstLine="122"/>
              <w:rPr>
                <w:rFonts w:ascii="Arial" w:eastAsia="Arial Unicode MS" w:hAnsi="Arial" w:cs="Arial"/>
                <w:sz w:val="18"/>
                <w:szCs w:val="18"/>
              </w:rPr>
            </w:pPr>
            <w:r>
              <w:rPr>
                <w:rFonts w:ascii="Arial" w:eastAsia="Arial Unicode MS" w:hAnsi="Arial" w:cs="Arial" w:hint="cs"/>
                <w:sz w:val="18"/>
                <w:szCs w:val="18"/>
                <w:rtl/>
              </w:rPr>
              <w:t>496</w:t>
            </w:r>
          </w:p>
        </w:tc>
        <w:tc>
          <w:tcPr>
            <w:tcW w:w="850" w:type="dxa"/>
            <w:tcBorders>
              <w:right w:val="single" w:sz="4" w:space="0" w:color="auto"/>
            </w:tcBorders>
            <w:noWrap/>
            <w:tcMar>
              <w:top w:w="20" w:type="dxa"/>
              <w:left w:w="20" w:type="dxa"/>
              <w:bottom w:w="0" w:type="dxa"/>
              <w:right w:w="20" w:type="dxa"/>
            </w:tcMar>
            <w:vAlign w:val="center"/>
          </w:tcPr>
          <w:p w:rsidR="007566AC" w:rsidRPr="00A552E8" w:rsidRDefault="007566AC"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291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566AC" w:rsidRPr="00BD39D7" w:rsidRDefault="007566AC" w:rsidP="00B25DE8">
            <w:pPr>
              <w:bidi w:val="0"/>
              <w:ind w:left="123" w:right="40"/>
              <w:rPr>
                <w:rFonts w:ascii="Arial" w:hAnsi="Arial" w:cs="Arial"/>
                <w:sz w:val="18"/>
                <w:szCs w:val="18"/>
              </w:rPr>
            </w:pPr>
            <w:r w:rsidRPr="00BD39D7">
              <w:rPr>
                <w:rFonts w:ascii="Arial" w:hAnsi="Arial" w:cs="Arial"/>
                <w:sz w:val="18"/>
                <w:szCs w:val="18"/>
              </w:rPr>
              <w:t>Licenses for existing buildings</w:t>
            </w:r>
          </w:p>
        </w:tc>
      </w:tr>
      <w:tr w:rsidR="007566AC" w:rsidRPr="00BD39D7" w:rsidTr="00121FF7">
        <w:trPr>
          <w:cantSplit/>
          <w:trHeight w:val="340"/>
          <w:jc w:val="center"/>
        </w:trPr>
        <w:tc>
          <w:tcPr>
            <w:tcW w:w="1416" w:type="dxa"/>
            <w:tcBorders>
              <w:left w:val="single" w:sz="4" w:space="0" w:color="auto"/>
            </w:tcBorders>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57.8-</w:t>
            </w:r>
          </w:p>
        </w:tc>
        <w:tc>
          <w:tcPr>
            <w:tcW w:w="1418"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38.7-</w:t>
            </w:r>
          </w:p>
        </w:tc>
        <w:tc>
          <w:tcPr>
            <w:tcW w:w="864" w:type="dxa"/>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sz w:val="18"/>
                <w:szCs w:val="18"/>
              </w:rPr>
            </w:pPr>
            <w:r>
              <w:rPr>
                <w:rFonts w:ascii="Arial" w:eastAsia="Arial Unicode MS" w:hAnsi="Arial" w:cs="Arial" w:hint="cs"/>
                <w:sz w:val="18"/>
                <w:szCs w:val="18"/>
                <w:rtl/>
              </w:rPr>
              <w:t>19</w:t>
            </w:r>
          </w:p>
        </w:tc>
        <w:tc>
          <w:tcPr>
            <w:tcW w:w="837" w:type="dxa"/>
            <w:noWrap/>
            <w:tcMar>
              <w:top w:w="20" w:type="dxa"/>
              <w:left w:w="20" w:type="dxa"/>
              <w:bottom w:w="0" w:type="dxa"/>
              <w:right w:w="20" w:type="dxa"/>
            </w:tcMar>
            <w:vAlign w:val="center"/>
          </w:tcPr>
          <w:p w:rsidR="007566AC" w:rsidRPr="00A552E8" w:rsidRDefault="007566AC" w:rsidP="005B0436">
            <w:pPr>
              <w:ind w:left="144" w:right="57" w:firstLine="122"/>
              <w:rPr>
                <w:rFonts w:ascii="Arial" w:eastAsia="Arial Unicode MS" w:hAnsi="Arial" w:cs="Arial"/>
                <w:sz w:val="18"/>
                <w:szCs w:val="18"/>
              </w:rPr>
            </w:pPr>
            <w:r>
              <w:rPr>
                <w:rFonts w:ascii="Arial" w:eastAsia="Arial Unicode MS" w:hAnsi="Arial" w:cs="Arial" w:hint="cs"/>
                <w:sz w:val="18"/>
                <w:szCs w:val="18"/>
                <w:rtl/>
              </w:rPr>
              <w:t>45</w:t>
            </w:r>
          </w:p>
        </w:tc>
        <w:tc>
          <w:tcPr>
            <w:tcW w:w="850" w:type="dxa"/>
            <w:tcBorders>
              <w:right w:val="single" w:sz="4" w:space="0" w:color="auto"/>
            </w:tcBorders>
            <w:noWrap/>
            <w:tcMar>
              <w:top w:w="20" w:type="dxa"/>
              <w:left w:w="20" w:type="dxa"/>
              <w:bottom w:w="0" w:type="dxa"/>
              <w:right w:w="20" w:type="dxa"/>
            </w:tcMar>
            <w:vAlign w:val="center"/>
          </w:tcPr>
          <w:p w:rsidR="007566AC" w:rsidRPr="00A552E8" w:rsidRDefault="007566AC"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31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566AC" w:rsidRPr="00BD39D7" w:rsidRDefault="007566AC" w:rsidP="00B25DE8">
            <w:pPr>
              <w:bidi w:val="0"/>
              <w:ind w:left="123" w:right="40"/>
              <w:rPr>
                <w:rFonts w:ascii="Arial" w:hAnsi="Arial" w:cs="Arial"/>
                <w:sz w:val="18"/>
                <w:szCs w:val="18"/>
              </w:rPr>
            </w:pPr>
            <w:r w:rsidRPr="00BD39D7">
              <w:rPr>
                <w:rFonts w:ascii="Arial" w:hAnsi="Arial" w:cs="Arial"/>
                <w:sz w:val="18"/>
                <w:szCs w:val="18"/>
              </w:rPr>
              <w:t>Licenses for existing extensions</w:t>
            </w:r>
          </w:p>
        </w:tc>
      </w:tr>
      <w:tr w:rsidR="007566AC" w:rsidRPr="00BD39D7" w:rsidTr="00121FF7">
        <w:trPr>
          <w:cantSplit/>
          <w:trHeight w:val="340"/>
          <w:jc w:val="center"/>
        </w:trPr>
        <w:tc>
          <w:tcPr>
            <w:tcW w:w="1416" w:type="dxa"/>
            <w:tcBorders>
              <w:left w:val="single" w:sz="4" w:space="0" w:color="auto"/>
              <w:bottom w:val="single" w:sz="4" w:space="0" w:color="auto"/>
            </w:tcBorders>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11.3-</w:t>
            </w:r>
          </w:p>
        </w:tc>
        <w:tc>
          <w:tcPr>
            <w:tcW w:w="1418" w:type="dxa"/>
            <w:tcBorders>
              <w:bottom w:val="single" w:sz="4" w:space="0" w:color="auto"/>
            </w:tcBorders>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24.8</w:t>
            </w:r>
          </w:p>
        </w:tc>
        <w:tc>
          <w:tcPr>
            <w:tcW w:w="864" w:type="dxa"/>
            <w:tcBorders>
              <w:bottom w:val="single" w:sz="4" w:space="0" w:color="auto"/>
            </w:tcBorders>
            <w:tcMar>
              <w:top w:w="20" w:type="dxa"/>
              <w:left w:w="20" w:type="dxa"/>
              <w:bottom w:w="0" w:type="dxa"/>
              <w:right w:w="20" w:type="dxa"/>
            </w:tcMar>
            <w:vAlign w:val="center"/>
          </w:tcPr>
          <w:p w:rsidR="007566AC" w:rsidRPr="00A552E8" w:rsidRDefault="007566AC" w:rsidP="003A3AE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2,219</w:t>
            </w:r>
          </w:p>
        </w:tc>
        <w:tc>
          <w:tcPr>
            <w:tcW w:w="837" w:type="dxa"/>
            <w:tcBorders>
              <w:bottom w:val="single" w:sz="4" w:space="0" w:color="auto"/>
            </w:tcBorders>
            <w:noWrap/>
            <w:tcMar>
              <w:top w:w="20" w:type="dxa"/>
              <w:left w:w="20" w:type="dxa"/>
              <w:bottom w:w="0" w:type="dxa"/>
              <w:right w:w="20" w:type="dxa"/>
            </w:tcMar>
            <w:vAlign w:val="center"/>
          </w:tcPr>
          <w:p w:rsidR="007566AC" w:rsidRPr="00A552E8" w:rsidRDefault="007566AC" w:rsidP="005B0436">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2,501</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7566AC" w:rsidRPr="00F32245" w:rsidRDefault="007566AC"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1,778</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566AC" w:rsidRPr="00BD39D7" w:rsidRDefault="007566AC" w:rsidP="00B25DE8">
            <w:pPr>
              <w:pStyle w:val="Heading4"/>
              <w:ind w:left="123" w:right="40"/>
              <w:rPr>
                <w:rFonts w:ascii="Arial" w:hAnsi="Arial" w:cs="Arial"/>
                <w:sz w:val="18"/>
                <w:szCs w:val="18"/>
              </w:rPr>
            </w:pPr>
            <w:r w:rsidRPr="00BD39D7">
              <w:rPr>
                <w:rFonts w:ascii="Arial" w:hAnsi="Arial" w:cs="Arial"/>
                <w:sz w:val="18"/>
                <w:szCs w:val="18"/>
              </w:rPr>
              <w:t>Total</w:t>
            </w:r>
          </w:p>
        </w:tc>
      </w:tr>
      <w:tr w:rsidR="0052423D" w:rsidRPr="00BD39D7" w:rsidTr="00BF43BC">
        <w:trPr>
          <w:cantSplit/>
          <w:trHeight w:val="340"/>
          <w:jc w:val="center"/>
        </w:trPr>
        <w:tc>
          <w:tcPr>
            <w:tcW w:w="9072" w:type="dxa"/>
            <w:gridSpan w:val="6"/>
            <w:tcBorders>
              <w:top w:val="single" w:sz="4" w:space="0" w:color="auto"/>
            </w:tcBorders>
            <w:vAlign w:val="center"/>
          </w:tcPr>
          <w:p w:rsidR="0052423D" w:rsidRPr="00BD39D7" w:rsidRDefault="0052423D" w:rsidP="00BF43BC">
            <w:pPr>
              <w:bidi w:val="0"/>
              <w:ind w:right="16"/>
              <w:rPr>
                <w:rFonts w:ascii="Arial" w:hAnsi="Arial" w:cs="Arial"/>
                <w:sz w:val="18"/>
                <w:szCs w:val="18"/>
              </w:rPr>
            </w:pPr>
            <w:r w:rsidRPr="00BD39D7">
              <w:rPr>
                <w:rFonts w:ascii="Arial" w:hAnsi="Arial" w:cs="Arial"/>
                <w:sz w:val="18"/>
                <w:szCs w:val="18"/>
              </w:rPr>
              <w:t>* The data exclude those parts of Jerusalem annexed by Israel in1967.</w:t>
            </w:r>
          </w:p>
        </w:tc>
      </w:tr>
      <w:tr w:rsidR="0052423D" w:rsidRPr="00BD39D7" w:rsidTr="00BF43BC">
        <w:trPr>
          <w:cantSplit/>
          <w:trHeight w:val="340"/>
          <w:jc w:val="center"/>
        </w:trPr>
        <w:tc>
          <w:tcPr>
            <w:tcW w:w="9072" w:type="dxa"/>
            <w:gridSpan w:val="6"/>
            <w:vAlign w:val="center"/>
          </w:tcPr>
          <w:p w:rsidR="0052423D" w:rsidRDefault="0052423D" w:rsidP="00F212F2">
            <w:pPr>
              <w:bidi w:val="0"/>
              <w:ind w:right="644"/>
              <w:rPr>
                <w:rFonts w:ascii="Arial" w:hAnsi="Arial" w:cs="Arial"/>
                <w:sz w:val="18"/>
                <w:szCs w:val="18"/>
              </w:rPr>
            </w:pPr>
            <w:r w:rsidRPr="00BD39D7">
              <w:rPr>
                <w:rFonts w:ascii="Arial" w:hAnsi="Arial" w:cs="Arial"/>
                <w:sz w:val="18"/>
                <w:szCs w:val="18"/>
              </w:rPr>
              <w:t>** Excluding boundary wall licenses</w:t>
            </w:r>
          </w:p>
          <w:p w:rsidR="0074527F" w:rsidRPr="00BD39D7" w:rsidRDefault="0074527F" w:rsidP="0074527F">
            <w:pPr>
              <w:bidi w:val="0"/>
              <w:ind w:right="644"/>
              <w:rPr>
                <w:rFonts w:ascii="Arial" w:hAnsi="Arial" w:cs="Arial"/>
                <w:sz w:val="18"/>
                <w:szCs w:val="18"/>
              </w:rPr>
            </w:pPr>
          </w:p>
        </w:tc>
      </w:tr>
    </w:tbl>
    <w:p w:rsidR="0074527F" w:rsidRDefault="0074527F" w:rsidP="005B0436">
      <w:pPr>
        <w:bidi w:val="0"/>
        <w:ind w:right="-1"/>
        <w:jc w:val="lowKashida"/>
        <w:rPr>
          <w:sz w:val="24"/>
          <w:szCs w:val="24"/>
        </w:rPr>
      </w:pPr>
      <w:r w:rsidRPr="00BD39D7">
        <w:rPr>
          <w:sz w:val="24"/>
          <w:szCs w:val="24"/>
        </w:rPr>
        <w:t xml:space="preserve">The following </w:t>
      </w:r>
      <w:r>
        <w:rPr>
          <w:sz w:val="24"/>
          <w:szCs w:val="24"/>
        </w:rPr>
        <w:t>chart</w:t>
      </w:r>
      <w:r w:rsidRPr="00BD39D7">
        <w:rPr>
          <w:sz w:val="24"/>
          <w:szCs w:val="24"/>
        </w:rPr>
        <w:t xml:space="preserve"> compares the number of building licenses issued</w:t>
      </w:r>
      <w:r w:rsidR="00386D56">
        <w:rPr>
          <w:sz w:val="24"/>
          <w:szCs w:val="24"/>
        </w:rPr>
        <w:t>*</w:t>
      </w:r>
      <w:r w:rsidRPr="00BD39D7">
        <w:rPr>
          <w:sz w:val="24"/>
          <w:szCs w:val="24"/>
        </w:rPr>
        <w:t xml:space="preserve"> in </w:t>
      </w:r>
      <w:r>
        <w:rPr>
          <w:rFonts w:cs="Times New Roman"/>
          <w:sz w:val="24"/>
          <w:szCs w:val="24"/>
        </w:rPr>
        <w:t>the</w:t>
      </w:r>
      <w:r>
        <w:rPr>
          <w:rFonts w:cs="Times New Roman" w:hint="cs"/>
          <w:sz w:val="24"/>
          <w:szCs w:val="24"/>
          <w:rtl/>
        </w:rPr>
        <w:t xml:space="preserve"> </w:t>
      </w:r>
      <w:r>
        <w:rPr>
          <w:rStyle w:val="hps"/>
          <w:rFonts w:cs="Times New Roman"/>
          <w:sz w:val="24"/>
          <w:szCs w:val="24"/>
        </w:rPr>
        <w:t>first</w:t>
      </w:r>
      <w:r>
        <w:rPr>
          <w:rFonts w:cs="Times New Roman"/>
          <w:sz w:val="24"/>
          <w:szCs w:val="24"/>
        </w:rPr>
        <w:t xml:space="preserve"> quarter</w:t>
      </w:r>
      <w:r w:rsidRPr="00BD39D7">
        <w:rPr>
          <w:rFonts w:cs="Times New Roman"/>
          <w:sz w:val="24"/>
          <w:szCs w:val="24"/>
        </w:rPr>
        <w:t xml:space="preserve"> of </w:t>
      </w:r>
      <w:r>
        <w:rPr>
          <w:rFonts w:cs="Times New Roman"/>
          <w:sz w:val="24"/>
          <w:szCs w:val="24"/>
        </w:rPr>
        <w:t>2012 to</w:t>
      </w:r>
      <w:r w:rsidR="000402A2">
        <w:rPr>
          <w:rFonts w:cs="Times New Roman"/>
          <w:sz w:val="24"/>
          <w:szCs w:val="24"/>
        </w:rPr>
        <w:t xml:space="preserve"> the</w:t>
      </w:r>
      <w:r>
        <w:rPr>
          <w:rFonts w:cs="Times New Roman"/>
          <w:sz w:val="24"/>
          <w:szCs w:val="24"/>
        </w:rPr>
        <w:t xml:space="preserve"> </w:t>
      </w:r>
      <w:r w:rsidR="005B0436">
        <w:rPr>
          <w:rFonts w:cs="Times New Roman"/>
          <w:sz w:val="24"/>
          <w:szCs w:val="24"/>
        </w:rPr>
        <w:t>Third</w:t>
      </w:r>
      <w:r w:rsidR="000402A2">
        <w:rPr>
          <w:rFonts w:cs="Times New Roman"/>
          <w:sz w:val="24"/>
          <w:szCs w:val="24"/>
        </w:rPr>
        <w:t xml:space="preserve"> </w:t>
      </w:r>
      <w:r>
        <w:rPr>
          <w:rFonts w:cs="Times New Roman"/>
          <w:sz w:val="24"/>
          <w:szCs w:val="24"/>
        </w:rPr>
        <w:t>quarter</w:t>
      </w:r>
      <w:r w:rsidR="000402A2" w:rsidRPr="000402A2">
        <w:rPr>
          <w:rFonts w:cs="Times New Roman"/>
          <w:sz w:val="24"/>
          <w:szCs w:val="24"/>
        </w:rPr>
        <w:t xml:space="preserve"> </w:t>
      </w:r>
      <w:r w:rsidR="000402A2">
        <w:rPr>
          <w:rFonts w:cs="Times New Roman"/>
          <w:sz w:val="24"/>
          <w:szCs w:val="24"/>
        </w:rPr>
        <w:t>of</w:t>
      </w:r>
      <w:r>
        <w:rPr>
          <w:rFonts w:cs="Times New Roman"/>
          <w:sz w:val="24"/>
          <w:szCs w:val="24"/>
        </w:rPr>
        <w:t xml:space="preserve"> 2013</w:t>
      </w:r>
      <w:r w:rsidRPr="00BD39D7">
        <w:rPr>
          <w:rFonts w:cs="Times New Roman"/>
          <w:sz w:val="24"/>
          <w:szCs w:val="24"/>
        </w:rPr>
        <w:t xml:space="preserve"> in </w:t>
      </w:r>
      <w:r>
        <w:rPr>
          <w:rFonts w:cs="Times New Roman"/>
          <w:sz w:val="24"/>
          <w:szCs w:val="24"/>
        </w:rPr>
        <w:t>Palestine</w:t>
      </w:r>
      <w:r w:rsidRPr="00BD39D7">
        <w:rPr>
          <w:rFonts w:cs="Times New Roman"/>
          <w:sz w:val="24"/>
          <w:szCs w:val="24"/>
        </w:rPr>
        <w:t>*</w:t>
      </w:r>
      <w:r w:rsidR="00D94AE2">
        <w:rPr>
          <w:rFonts w:cs="Times New Roman"/>
          <w:sz w:val="24"/>
          <w:szCs w:val="24"/>
        </w:rPr>
        <w:t>*</w:t>
      </w:r>
      <w:r w:rsidR="00386D56">
        <w:rPr>
          <w:rFonts w:cs="Times New Roman"/>
          <w:sz w:val="24"/>
          <w:szCs w:val="24"/>
        </w:rPr>
        <w:t>:</w:t>
      </w:r>
    </w:p>
    <w:p w:rsidR="00365A27" w:rsidRPr="00365A27" w:rsidRDefault="00365A27" w:rsidP="00365A27">
      <w:pPr>
        <w:bidi w:val="0"/>
        <w:ind w:right="-1"/>
        <w:jc w:val="lowKashida"/>
        <w:rPr>
          <w:sz w:val="8"/>
          <w:szCs w:val="8"/>
        </w:rPr>
      </w:pPr>
    </w:p>
    <w:p w:rsidR="0074527F" w:rsidRDefault="0074527F" w:rsidP="00365A27">
      <w:pPr>
        <w:pStyle w:val="BodyText3"/>
        <w:ind w:left="1" w:right="1"/>
        <w:jc w:val="center"/>
        <w:rPr>
          <w:rFonts w:cs="Times New Roman"/>
        </w:rPr>
      </w:pPr>
      <w:r w:rsidRPr="0074527F">
        <w:rPr>
          <w:rFonts w:cs="Times New Roman"/>
          <w:noProof/>
        </w:rPr>
        <w:drawing>
          <wp:inline distT="0" distB="0" distL="0" distR="0">
            <wp:extent cx="5668874" cy="2377440"/>
            <wp:effectExtent l="19050" t="0" r="27076" b="381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bidiVisual/>
        <w:tblW w:w="9072" w:type="dxa"/>
        <w:jc w:val="center"/>
        <w:tblLayout w:type="fixed"/>
        <w:tblCellMar>
          <w:left w:w="0" w:type="dxa"/>
          <w:right w:w="0" w:type="dxa"/>
        </w:tblCellMar>
        <w:tblLook w:val="0000"/>
      </w:tblPr>
      <w:tblGrid>
        <w:gridCol w:w="9072"/>
      </w:tblGrid>
      <w:tr w:rsidR="00386D56" w:rsidRPr="00BD39D7" w:rsidTr="00386D56">
        <w:trPr>
          <w:cantSplit/>
          <w:trHeight w:val="340"/>
          <w:jc w:val="center"/>
        </w:trPr>
        <w:tc>
          <w:tcPr>
            <w:tcW w:w="9072" w:type="dxa"/>
            <w:vAlign w:val="center"/>
          </w:tcPr>
          <w:p w:rsidR="00386D56" w:rsidRPr="00BD39D7" w:rsidRDefault="00386D56" w:rsidP="00D94AE2">
            <w:pPr>
              <w:bidi w:val="0"/>
              <w:ind w:right="16"/>
              <w:rPr>
                <w:rFonts w:ascii="Arial" w:hAnsi="Arial" w:cs="Arial"/>
                <w:sz w:val="18"/>
                <w:szCs w:val="18"/>
              </w:rPr>
            </w:pPr>
            <w:r w:rsidRPr="00BD39D7">
              <w:rPr>
                <w:rFonts w:ascii="Arial" w:hAnsi="Arial" w:cs="Arial"/>
                <w:sz w:val="18"/>
                <w:szCs w:val="18"/>
              </w:rPr>
              <w:t>*.</w:t>
            </w:r>
            <w:r w:rsidR="00D94AE2" w:rsidRPr="00BD39D7">
              <w:rPr>
                <w:rFonts w:ascii="Arial" w:hAnsi="Arial" w:cs="Arial"/>
                <w:sz w:val="18"/>
                <w:szCs w:val="18"/>
              </w:rPr>
              <w:t xml:space="preserve"> Excluding boundary wall licenses</w:t>
            </w:r>
            <w:r w:rsidR="00D94AE2">
              <w:rPr>
                <w:rFonts w:ascii="Arial" w:hAnsi="Arial" w:cs="Arial"/>
                <w:sz w:val="18"/>
                <w:szCs w:val="18"/>
              </w:rPr>
              <w:t>.</w:t>
            </w:r>
          </w:p>
        </w:tc>
      </w:tr>
      <w:tr w:rsidR="00386D56" w:rsidRPr="00BD39D7" w:rsidTr="00386D56">
        <w:trPr>
          <w:cantSplit/>
          <w:trHeight w:val="340"/>
          <w:jc w:val="center"/>
        </w:trPr>
        <w:tc>
          <w:tcPr>
            <w:tcW w:w="9072" w:type="dxa"/>
            <w:vAlign w:val="center"/>
          </w:tcPr>
          <w:p w:rsidR="00386D56" w:rsidRDefault="00386D56" w:rsidP="00386D56">
            <w:pPr>
              <w:bidi w:val="0"/>
              <w:ind w:right="644"/>
              <w:rPr>
                <w:rFonts w:ascii="Arial" w:hAnsi="Arial" w:cs="Arial"/>
                <w:sz w:val="18"/>
                <w:szCs w:val="18"/>
              </w:rPr>
            </w:pPr>
            <w:r w:rsidRPr="00BD39D7">
              <w:rPr>
                <w:rFonts w:ascii="Arial" w:hAnsi="Arial" w:cs="Arial"/>
                <w:sz w:val="18"/>
                <w:szCs w:val="18"/>
              </w:rPr>
              <w:t xml:space="preserve">** </w:t>
            </w:r>
            <w:r w:rsidR="00D94AE2" w:rsidRPr="00BD39D7">
              <w:rPr>
                <w:rFonts w:ascii="Arial" w:hAnsi="Arial" w:cs="Arial"/>
                <w:sz w:val="18"/>
                <w:szCs w:val="18"/>
              </w:rPr>
              <w:t>The data exclude those parts of Jerusalem annexed by Israel in1967</w:t>
            </w:r>
            <w:r w:rsidR="00D94AE2">
              <w:rPr>
                <w:rFonts w:ascii="Arial" w:hAnsi="Arial" w:cs="Arial"/>
                <w:sz w:val="18"/>
                <w:szCs w:val="18"/>
              </w:rPr>
              <w:t>.</w:t>
            </w:r>
          </w:p>
          <w:p w:rsidR="00386D56" w:rsidRPr="00BD39D7" w:rsidRDefault="00386D56" w:rsidP="00386D56">
            <w:pPr>
              <w:bidi w:val="0"/>
              <w:ind w:right="644"/>
              <w:rPr>
                <w:rFonts w:ascii="Arial" w:hAnsi="Arial" w:cs="Arial"/>
                <w:sz w:val="18"/>
                <w:szCs w:val="18"/>
              </w:rPr>
            </w:pPr>
          </w:p>
        </w:tc>
      </w:tr>
    </w:tbl>
    <w:p w:rsidR="0074527F" w:rsidRDefault="0074527F" w:rsidP="00B70723">
      <w:pPr>
        <w:pStyle w:val="BodyText3"/>
        <w:ind w:left="1" w:right="1"/>
        <w:jc w:val="lowKashida"/>
        <w:rPr>
          <w:rFonts w:cs="Times New Roman"/>
        </w:rPr>
      </w:pPr>
    </w:p>
    <w:p w:rsidR="00226D02" w:rsidRPr="00343DC6" w:rsidRDefault="00226D02" w:rsidP="00B11161">
      <w:pPr>
        <w:pStyle w:val="BodyText3"/>
        <w:ind w:left="1" w:right="1"/>
        <w:jc w:val="lowKashida"/>
        <w:rPr>
          <w:rFonts w:cs="Times New Roman"/>
        </w:rPr>
      </w:pPr>
      <w:r w:rsidRPr="00343DC6">
        <w:rPr>
          <w:rFonts w:cs="Times New Roman"/>
        </w:rPr>
        <w:t xml:space="preserve">The total number of building licenses issued in the </w:t>
      </w:r>
      <w:r w:rsidR="005B0436">
        <w:rPr>
          <w:rFonts w:cs="Times New Roman"/>
        </w:rPr>
        <w:t>Third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r w:rsidR="00B11161">
        <w:rPr>
          <w:rFonts w:cs="Times New Roman"/>
        </w:rPr>
        <w:t>de</w:t>
      </w:r>
      <w:r>
        <w:rPr>
          <w:rFonts w:cs="Times New Roman"/>
        </w:rPr>
        <w:t>creased</w:t>
      </w:r>
      <w:r w:rsidRPr="00343DC6">
        <w:rPr>
          <w:rFonts w:cs="Times New Roman"/>
        </w:rPr>
        <w:t xml:space="preserve"> by </w:t>
      </w:r>
      <w:r w:rsidR="00B11161">
        <w:rPr>
          <w:rFonts w:cs="Times New Roman"/>
        </w:rPr>
        <w:t>11.3</w:t>
      </w:r>
      <w:r w:rsidRPr="00343DC6">
        <w:rPr>
          <w:rFonts w:cs="Times New Roman"/>
        </w:rPr>
        <w:t xml:space="preserve">% compared with the </w:t>
      </w:r>
      <w:r w:rsidR="005B0436">
        <w:rPr>
          <w:rFonts w:cs="Times New Roman"/>
        </w:rPr>
        <w:t>second</w:t>
      </w:r>
      <w:r>
        <w:rPr>
          <w:rFonts w:cs="Times New Roman"/>
        </w:rPr>
        <w:t xml:space="preserve"> quarter</w:t>
      </w:r>
      <w:r w:rsidRPr="00343DC6">
        <w:rPr>
          <w:rFonts w:cs="Times New Roman"/>
        </w:rPr>
        <w:t xml:space="preserve"> of 201</w:t>
      </w:r>
      <w:r w:rsidR="00B70723">
        <w:rPr>
          <w:rFonts w:cs="Times New Roman"/>
        </w:rPr>
        <w:t>3</w:t>
      </w:r>
      <w:r w:rsidRPr="00343DC6">
        <w:rPr>
          <w:rFonts w:cs="Times New Roman"/>
        </w:rPr>
        <w:t xml:space="preserve">. The total number of building licenses issued </w:t>
      </w:r>
      <w:r>
        <w:rPr>
          <w:rFonts w:cs="Times New Roman"/>
        </w:rPr>
        <w:t xml:space="preserve">was </w:t>
      </w:r>
      <w:r w:rsidR="00B11161">
        <w:rPr>
          <w:rFonts w:cs="Times New Roman"/>
        </w:rPr>
        <w:t>24.8</w:t>
      </w:r>
      <w:r w:rsidRPr="00343DC6">
        <w:rPr>
          <w:rFonts w:cs="Times New Roman"/>
        </w:rPr>
        <w:t xml:space="preserve">% </w:t>
      </w:r>
      <w:r>
        <w:rPr>
          <w:rFonts w:cs="Times New Roman"/>
        </w:rPr>
        <w:t xml:space="preserve">higher </w:t>
      </w:r>
      <w:r w:rsidRPr="00343DC6">
        <w:rPr>
          <w:rFonts w:cs="Times New Roman"/>
        </w:rPr>
        <w:t xml:space="preserve">in the </w:t>
      </w:r>
      <w:r w:rsidR="005B0436">
        <w:rPr>
          <w:rFonts w:cs="Times New Roman"/>
        </w:rPr>
        <w:t>third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r>
        <w:rPr>
          <w:rFonts w:cs="Times New Roman"/>
        </w:rPr>
        <w:t>than in</w:t>
      </w:r>
      <w:r w:rsidRPr="00343DC6">
        <w:rPr>
          <w:rFonts w:cs="Times New Roman"/>
        </w:rPr>
        <w:t xml:space="preserve"> the </w:t>
      </w:r>
      <w:r w:rsidR="005B0436">
        <w:rPr>
          <w:rFonts w:cs="Times New Roman"/>
        </w:rPr>
        <w:t>third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2012</w:t>
      </w:r>
      <w:r w:rsidRPr="00343DC6">
        <w:rPr>
          <w:rFonts w:cs="Times New Roman"/>
        </w:rPr>
        <w:t xml:space="preserve">.  </w:t>
      </w:r>
    </w:p>
    <w:p w:rsidR="00E07382" w:rsidRDefault="00E07382" w:rsidP="00FE2E12">
      <w:pPr>
        <w:pStyle w:val="BodyText3"/>
        <w:tabs>
          <w:tab w:val="left" w:pos="3131"/>
        </w:tabs>
        <w:ind w:left="-1" w:right="-1"/>
        <w:rPr>
          <w:rFonts w:ascii="Arial" w:hAnsi="Arial" w:cs="Arial"/>
          <w:sz w:val="28"/>
          <w:szCs w:val="28"/>
        </w:rPr>
      </w:pPr>
    </w:p>
    <w:p w:rsidR="00E07382" w:rsidRDefault="00E07382" w:rsidP="00FE2E12">
      <w:pPr>
        <w:pStyle w:val="BodyText3"/>
        <w:tabs>
          <w:tab w:val="left" w:pos="3131"/>
        </w:tabs>
        <w:ind w:left="-1" w:right="-1"/>
        <w:rPr>
          <w:rFonts w:ascii="Arial" w:hAnsi="Arial" w:cs="Arial"/>
          <w:sz w:val="28"/>
          <w:szCs w:val="28"/>
        </w:rPr>
      </w:pPr>
    </w:p>
    <w:p w:rsidR="004926FD" w:rsidRDefault="00FE2E12" w:rsidP="00FE2E12">
      <w:pPr>
        <w:pStyle w:val="BodyText3"/>
        <w:tabs>
          <w:tab w:val="left" w:pos="3131"/>
        </w:tabs>
        <w:ind w:left="-1" w:right="-1"/>
        <w:rPr>
          <w:rFonts w:ascii="Arial" w:hAnsi="Arial" w:cs="Arial"/>
          <w:sz w:val="28"/>
          <w:szCs w:val="28"/>
        </w:rPr>
      </w:pPr>
      <w:r w:rsidRPr="00324BB6">
        <w:rPr>
          <w:rFonts w:ascii="Arial" w:hAnsi="Arial" w:cs="Arial"/>
          <w:sz w:val="28"/>
          <w:szCs w:val="28"/>
        </w:rPr>
        <w:tab/>
      </w:r>
    </w:p>
    <w:p w:rsidR="00CC4FFA" w:rsidRPr="00324BB6" w:rsidRDefault="00CC4FFA" w:rsidP="00FE2E12">
      <w:pPr>
        <w:pStyle w:val="BodyText3"/>
        <w:tabs>
          <w:tab w:val="left" w:pos="3131"/>
        </w:tabs>
        <w:ind w:left="-1" w:right="-1"/>
        <w:rPr>
          <w:rFonts w:ascii="Arial" w:hAnsi="Arial" w:cs="Arial"/>
          <w:sz w:val="28"/>
          <w:szCs w:val="28"/>
        </w:rPr>
      </w:pPr>
    </w:p>
    <w:p w:rsidR="0017058D" w:rsidRDefault="0048677E" w:rsidP="00BC06DA">
      <w:pPr>
        <w:bidi w:val="0"/>
        <w:jc w:val="both"/>
        <w:rPr>
          <w:rFonts w:cs="Times New Roman"/>
          <w:sz w:val="24"/>
          <w:szCs w:val="24"/>
        </w:rPr>
      </w:pPr>
      <w:r w:rsidRPr="00324BB6">
        <w:rPr>
          <w:rFonts w:cs="Times New Roman"/>
          <w:b/>
          <w:bCs/>
          <w:sz w:val="24"/>
          <w:szCs w:val="24"/>
        </w:rPr>
        <w:lastRenderedPageBreak/>
        <w:t xml:space="preserve">1.2 </w:t>
      </w:r>
      <w:r w:rsidR="0088617D" w:rsidRPr="00324BB6">
        <w:rPr>
          <w:rFonts w:cs="Times New Roman"/>
          <w:b/>
          <w:bCs/>
          <w:sz w:val="24"/>
          <w:szCs w:val="24"/>
        </w:rPr>
        <w:t xml:space="preserve"> </w:t>
      </w:r>
      <w:r w:rsidR="00456A95" w:rsidRPr="00324BB6">
        <w:rPr>
          <w:rFonts w:cs="Times New Roman"/>
          <w:b/>
          <w:bCs/>
          <w:sz w:val="24"/>
          <w:szCs w:val="24"/>
        </w:rPr>
        <w:t>Number of Licenses by Governorate</w:t>
      </w:r>
      <w:r w:rsidR="00456A95" w:rsidRPr="00324BB6">
        <w:rPr>
          <w:rFonts w:cs="Times New Roman"/>
          <w:sz w:val="24"/>
          <w:szCs w:val="24"/>
        </w:rPr>
        <w:t xml:space="preserve">: </w:t>
      </w:r>
      <w:r w:rsidR="00B70723">
        <w:rPr>
          <w:rFonts w:cs="Times New Roman"/>
          <w:sz w:val="24"/>
          <w:szCs w:val="24"/>
        </w:rPr>
        <w:t>Nablus</w:t>
      </w:r>
      <w:r w:rsidR="00226D02" w:rsidRPr="00324BB6">
        <w:rPr>
          <w:rFonts w:cs="Times New Roman"/>
          <w:sz w:val="24"/>
          <w:szCs w:val="24"/>
        </w:rPr>
        <w:t xml:space="preserve"> recorded the highest number of building licenses </w:t>
      </w:r>
      <w:r w:rsidR="00226D02">
        <w:rPr>
          <w:rFonts w:cs="Times New Roman"/>
          <w:sz w:val="24"/>
          <w:szCs w:val="24"/>
        </w:rPr>
        <w:t xml:space="preserve">with </w:t>
      </w:r>
      <w:r w:rsidR="008D5DA8">
        <w:rPr>
          <w:rFonts w:cs="Times New Roman"/>
          <w:sz w:val="24"/>
          <w:szCs w:val="24"/>
        </w:rPr>
        <w:t>5</w:t>
      </w:r>
      <w:r w:rsidR="00BC06DA">
        <w:rPr>
          <w:rFonts w:cs="Times New Roman"/>
          <w:sz w:val="24"/>
          <w:szCs w:val="24"/>
        </w:rPr>
        <w:t>52</w:t>
      </w:r>
      <w:r w:rsidR="00226D02" w:rsidRPr="00324BB6">
        <w:rPr>
          <w:rFonts w:cs="Times New Roman"/>
          <w:sz w:val="24"/>
          <w:szCs w:val="24"/>
        </w:rPr>
        <w:t xml:space="preserve"> issued for residential buildings during the </w:t>
      </w:r>
      <w:r w:rsidR="005B0436">
        <w:rPr>
          <w:rFonts w:cs="Times New Roman"/>
          <w:sz w:val="24"/>
          <w:szCs w:val="24"/>
        </w:rPr>
        <w:t>Third</w:t>
      </w:r>
      <w:r w:rsidR="00226D02">
        <w:rPr>
          <w:rFonts w:asciiTheme="majorBidi" w:hAnsiTheme="majorBidi" w:cstheme="majorBidi"/>
          <w:sz w:val="16"/>
          <w:szCs w:val="16"/>
        </w:rPr>
        <w:t xml:space="preserve"> </w:t>
      </w:r>
      <w:r w:rsidR="00226D02">
        <w:rPr>
          <w:rFonts w:cs="Times New Roman"/>
          <w:sz w:val="24"/>
          <w:szCs w:val="24"/>
        </w:rPr>
        <w:t>quarter</w:t>
      </w:r>
      <w:r w:rsidR="00226D02" w:rsidRPr="00324BB6">
        <w:rPr>
          <w:rFonts w:cs="Times New Roman"/>
          <w:sz w:val="24"/>
          <w:szCs w:val="24"/>
        </w:rPr>
        <w:t xml:space="preserve"> of </w:t>
      </w:r>
      <w:r w:rsidR="00226D02">
        <w:rPr>
          <w:rFonts w:cs="Times New Roman"/>
          <w:sz w:val="24"/>
          <w:szCs w:val="24"/>
        </w:rPr>
        <w:t>2013</w:t>
      </w:r>
      <w:r w:rsidR="00226D02" w:rsidRPr="00324BB6">
        <w:rPr>
          <w:rFonts w:cs="Times New Roman"/>
          <w:sz w:val="24"/>
          <w:szCs w:val="24"/>
        </w:rPr>
        <w:t xml:space="preserve">, while </w:t>
      </w:r>
      <w:r w:rsidR="008D5DA8">
        <w:rPr>
          <w:rFonts w:cs="Times New Roman"/>
          <w:sz w:val="24"/>
          <w:szCs w:val="24"/>
        </w:rPr>
        <w:t>Hebron</w:t>
      </w:r>
      <w:r w:rsidR="00226D02" w:rsidRPr="00324BB6">
        <w:rPr>
          <w:rFonts w:cs="Times New Roman"/>
          <w:sz w:val="24"/>
          <w:szCs w:val="24"/>
        </w:rPr>
        <w:t xml:space="preserve"> governorate was second with</w:t>
      </w:r>
      <w:r w:rsidR="008D5DA8">
        <w:rPr>
          <w:rFonts w:cs="Times New Roman"/>
          <w:sz w:val="24"/>
          <w:szCs w:val="24"/>
        </w:rPr>
        <w:t xml:space="preserve"> </w:t>
      </w:r>
      <w:r w:rsidR="00BC06DA">
        <w:rPr>
          <w:rFonts w:cs="Times New Roman"/>
          <w:sz w:val="24"/>
          <w:szCs w:val="24"/>
        </w:rPr>
        <w:t>372</w:t>
      </w:r>
      <w:r w:rsidR="00226D02">
        <w:rPr>
          <w:rFonts w:cs="Times New Roman"/>
          <w:sz w:val="24"/>
          <w:szCs w:val="24"/>
        </w:rPr>
        <w:t xml:space="preserve"> licenses. </w:t>
      </w:r>
      <w:r w:rsidR="00226D02" w:rsidRPr="00324BB6">
        <w:rPr>
          <w:rFonts w:cs="Times New Roman"/>
          <w:sz w:val="24"/>
          <w:szCs w:val="24"/>
        </w:rPr>
        <w:t>The highest number of licenses</w:t>
      </w:r>
      <w:r w:rsidR="00226D02">
        <w:rPr>
          <w:rFonts w:cs="Times New Roman"/>
          <w:sz w:val="24"/>
          <w:szCs w:val="24"/>
        </w:rPr>
        <w:t xml:space="preserve"> fo</w:t>
      </w:r>
      <w:r w:rsidR="001F5C78">
        <w:rPr>
          <w:rFonts w:cs="Times New Roman"/>
          <w:sz w:val="24"/>
          <w:szCs w:val="24"/>
        </w:rPr>
        <w:t>r non-residential buildings was</w:t>
      </w:r>
      <w:r w:rsidR="00226D02" w:rsidRPr="00324BB6">
        <w:rPr>
          <w:rFonts w:cs="Times New Roman"/>
          <w:sz w:val="24"/>
          <w:szCs w:val="24"/>
        </w:rPr>
        <w:t xml:space="preserve"> in Nablus governorate.</w:t>
      </w:r>
    </w:p>
    <w:p w:rsidR="00E07382" w:rsidRDefault="00E07382" w:rsidP="00E07382">
      <w:pPr>
        <w:bidi w:val="0"/>
        <w:jc w:val="both"/>
        <w:rPr>
          <w:rFonts w:cs="Times New Roman"/>
          <w:sz w:val="24"/>
          <w:szCs w:val="24"/>
        </w:rPr>
      </w:pPr>
    </w:p>
    <w:p w:rsidR="00131593" w:rsidRDefault="00604B5B" w:rsidP="00170DBA">
      <w:pPr>
        <w:bidi w:val="0"/>
        <w:jc w:val="both"/>
        <w:rPr>
          <w:rFonts w:cs="Times New Roman"/>
          <w:sz w:val="24"/>
          <w:szCs w:val="24"/>
        </w:rPr>
      </w:pPr>
      <w:r w:rsidRPr="00AB2CF1">
        <w:rPr>
          <w:rFonts w:cs="Times New Roman"/>
          <w:sz w:val="24"/>
          <w:szCs w:val="24"/>
        </w:rPr>
        <w:t xml:space="preserve">The following </w:t>
      </w:r>
      <w:r w:rsidR="00E07382">
        <w:rPr>
          <w:rFonts w:cs="Times New Roman"/>
          <w:sz w:val="24"/>
          <w:szCs w:val="24"/>
        </w:rPr>
        <w:t>chart</w:t>
      </w:r>
      <w:r w:rsidRPr="00AB2CF1">
        <w:rPr>
          <w:rFonts w:cs="Times New Roman"/>
          <w:sz w:val="24"/>
          <w:szCs w:val="24"/>
        </w:rPr>
        <w:t xml:space="preserve"> shows the number of</w:t>
      </w:r>
      <w:r w:rsidR="00E07382">
        <w:rPr>
          <w:rFonts w:cs="Times New Roman"/>
          <w:sz w:val="24"/>
          <w:szCs w:val="24"/>
        </w:rPr>
        <w:t xml:space="preserve"> residential</w:t>
      </w:r>
      <w:r w:rsidRPr="00AB2CF1">
        <w:rPr>
          <w:rFonts w:cs="Times New Roman"/>
          <w:sz w:val="24"/>
          <w:szCs w:val="24"/>
        </w:rPr>
        <w:t xml:space="preserve"> building licenses issued in </w:t>
      </w:r>
      <w:r w:rsidR="00250A24">
        <w:rPr>
          <w:rFonts w:cs="Times New Roman"/>
          <w:sz w:val="24"/>
          <w:szCs w:val="24"/>
        </w:rPr>
        <w:t>Palestine</w:t>
      </w:r>
      <w:r w:rsidRPr="00AB2CF1">
        <w:rPr>
          <w:rFonts w:cs="Times New Roman"/>
          <w:sz w:val="24"/>
          <w:szCs w:val="24"/>
        </w:rPr>
        <w:t xml:space="preserve"> in the </w:t>
      </w:r>
      <w:r w:rsidR="005B0436">
        <w:rPr>
          <w:rFonts w:cs="Times New Roman"/>
          <w:sz w:val="24"/>
          <w:szCs w:val="24"/>
        </w:rPr>
        <w:t>Third</w:t>
      </w:r>
      <w:r w:rsidR="00AC34A0">
        <w:rPr>
          <w:rFonts w:asciiTheme="majorBidi" w:hAnsiTheme="majorBidi" w:cstheme="majorBidi"/>
          <w:sz w:val="16"/>
          <w:szCs w:val="16"/>
        </w:rPr>
        <w:t xml:space="preserve"> </w:t>
      </w:r>
      <w:r w:rsidR="00250A24">
        <w:rPr>
          <w:rFonts w:asciiTheme="majorBidi" w:hAnsiTheme="majorBidi" w:cstheme="majorBidi"/>
          <w:sz w:val="24"/>
          <w:szCs w:val="24"/>
        </w:rPr>
        <w:t>quarter</w:t>
      </w:r>
      <w:r w:rsidRPr="00AB2CF1">
        <w:rPr>
          <w:rFonts w:cs="Times New Roman"/>
          <w:sz w:val="24"/>
          <w:szCs w:val="24"/>
        </w:rPr>
        <w:t xml:space="preserve"> of </w:t>
      </w:r>
      <w:r w:rsidR="00AC34A0">
        <w:rPr>
          <w:rFonts w:cs="Times New Roman"/>
          <w:sz w:val="24"/>
          <w:szCs w:val="24"/>
        </w:rPr>
        <w:t>2013</w:t>
      </w:r>
      <w:r w:rsidRPr="00AB2CF1">
        <w:rPr>
          <w:rFonts w:cs="Times New Roman"/>
          <w:sz w:val="24"/>
          <w:szCs w:val="24"/>
        </w:rPr>
        <w:t xml:space="preserve"> compared to the </w:t>
      </w:r>
      <w:r w:rsidR="005B0436">
        <w:rPr>
          <w:rFonts w:cs="Times New Roman"/>
          <w:sz w:val="24"/>
          <w:szCs w:val="24"/>
        </w:rPr>
        <w:t>second</w:t>
      </w:r>
      <w:r w:rsidR="008D5DA8">
        <w:rPr>
          <w:rFonts w:cs="Times New Roman"/>
          <w:sz w:val="24"/>
          <w:szCs w:val="24"/>
        </w:rPr>
        <w:t xml:space="preserve"> </w:t>
      </w:r>
      <w:r w:rsidR="00250A24">
        <w:rPr>
          <w:rFonts w:asciiTheme="majorBidi" w:hAnsiTheme="majorBidi" w:cstheme="majorBidi"/>
          <w:sz w:val="24"/>
          <w:szCs w:val="24"/>
        </w:rPr>
        <w:t>quarter</w:t>
      </w:r>
      <w:r w:rsidRPr="00AB2CF1">
        <w:rPr>
          <w:rFonts w:cs="Times New Roman"/>
          <w:sz w:val="24"/>
          <w:szCs w:val="24"/>
        </w:rPr>
        <w:t xml:space="preserve"> of 201</w:t>
      </w:r>
      <w:r w:rsidR="008D5DA8">
        <w:rPr>
          <w:rFonts w:cs="Times New Roman"/>
          <w:sz w:val="24"/>
          <w:szCs w:val="24"/>
        </w:rPr>
        <w:t>3</w:t>
      </w:r>
      <w:r w:rsidR="00131593" w:rsidRPr="00AB2CF1">
        <w:rPr>
          <w:rFonts w:cs="Times New Roman"/>
          <w:sz w:val="24"/>
          <w:szCs w:val="24"/>
        </w:rPr>
        <w:t>:</w:t>
      </w:r>
    </w:p>
    <w:p w:rsidR="00131593" w:rsidRPr="00E07382" w:rsidRDefault="00386D56" w:rsidP="00365A27">
      <w:pPr>
        <w:bidi w:val="0"/>
        <w:jc w:val="center"/>
        <w:rPr>
          <w:rStyle w:val="longtext1"/>
          <w:rFonts w:cs="Times New Roman"/>
          <w:spacing w:val="0"/>
          <w:sz w:val="24"/>
          <w:szCs w:val="24"/>
        </w:rPr>
      </w:pPr>
      <w:r w:rsidRPr="00386D56">
        <w:rPr>
          <w:rFonts w:cs="Times New Roman"/>
          <w:noProof/>
          <w:sz w:val="24"/>
          <w:szCs w:val="24"/>
        </w:rPr>
        <w:drawing>
          <wp:inline distT="0" distB="0" distL="0" distR="0">
            <wp:extent cx="5662222" cy="3108960"/>
            <wp:effectExtent l="19050" t="0" r="14678"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bidiVisual/>
        <w:tblW w:w="9230" w:type="dxa"/>
        <w:jc w:val="center"/>
        <w:tblInd w:w="324" w:type="dxa"/>
        <w:tblCellMar>
          <w:left w:w="0" w:type="dxa"/>
          <w:right w:w="0" w:type="dxa"/>
        </w:tblCellMar>
        <w:tblLook w:val="0000"/>
      </w:tblPr>
      <w:tblGrid>
        <w:gridCol w:w="9230"/>
      </w:tblGrid>
      <w:tr w:rsidR="003A2D3E" w:rsidRPr="00AB2CF1" w:rsidTr="003A2D3E">
        <w:trPr>
          <w:cantSplit/>
          <w:trHeight w:val="340"/>
          <w:jc w:val="center"/>
        </w:trPr>
        <w:tc>
          <w:tcPr>
            <w:tcW w:w="9230" w:type="dxa"/>
            <w:vAlign w:val="center"/>
          </w:tcPr>
          <w:p w:rsidR="003A2D3E" w:rsidRPr="00BD39D7" w:rsidRDefault="003A2D3E" w:rsidP="0017058D">
            <w:pPr>
              <w:bidi w:val="0"/>
              <w:ind w:right="16" w:firstLine="222"/>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170DBA" w:rsidRDefault="00170DBA" w:rsidP="00170DBA">
      <w:pPr>
        <w:bidi w:val="0"/>
        <w:jc w:val="both"/>
        <w:rPr>
          <w:b/>
          <w:bCs/>
        </w:rPr>
      </w:pPr>
    </w:p>
    <w:p w:rsidR="00170DBA" w:rsidRDefault="00170DBA" w:rsidP="00170DBA">
      <w:pPr>
        <w:bidi w:val="0"/>
        <w:jc w:val="both"/>
      </w:pPr>
    </w:p>
    <w:p w:rsidR="00E07382" w:rsidRDefault="00E07382" w:rsidP="00170DBA">
      <w:pPr>
        <w:bidi w:val="0"/>
        <w:jc w:val="both"/>
        <w:rPr>
          <w:rFonts w:cs="Times New Roman"/>
          <w:sz w:val="24"/>
          <w:szCs w:val="24"/>
        </w:rPr>
      </w:pPr>
      <w:r w:rsidRPr="00AB2CF1">
        <w:rPr>
          <w:rFonts w:cs="Times New Roman"/>
          <w:sz w:val="24"/>
          <w:szCs w:val="24"/>
        </w:rPr>
        <w:t xml:space="preserve">The following </w:t>
      </w:r>
      <w:r>
        <w:rPr>
          <w:rFonts w:cs="Times New Roman"/>
          <w:sz w:val="24"/>
          <w:szCs w:val="24"/>
        </w:rPr>
        <w:t>chart</w:t>
      </w:r>
      <w:r w:rsidRPr="00AB2CF1">
        <w:rPr>
          <w:rFonts w:cs="Times New Roman"/>
          <w:sz w:val="24"/>
          <w:szCs w:val="24"/>
        </w:rPr>
        <w:t xml:space="preserve"> shows the number of</w:t>
      </w:r>
      <w:r>
        <w:rPr>
          <w:rFonts w:cs="Times New Roman"/>
          <w:sz w:val="24"/>
          <w:szCs w:val="24"/>
        </w:rPr>
        <w:t xml:space="preserve"> </w:t>
      </w:r>
      <w:r w:rsidR="0007460F">
        <w:rPr>
          <w:rFonts w:cs="Times New Roman"/>
          <w:sz w:val="24"/>
          <w:szCs w:val="24"/>
        </w:rPr>
        <w:t>non-residential</w:t>
      </w:r>
      <w:r w:rsidR="0007460F" w:rsidRPr="00AB2CF1">
        <w:rPr>
          <w:rFonts w:cs="Times New Roman"/>
          <w:sz w:val="24"/>
          <w:szCs w:val="24"/>
        </w:rPr>
        <w:t xml:space="preserve"> </w:t>
      </w:r>
      <w:r w:rsidRPr="00AB2CF1">
        <w:rPr>
          <w:rFonts w:cs="Times New Roman"/>
          <w:sz w:val="24"/>
          <w:szCs w:val="24"/>
        </w:rPr>
        <w:t>building licenses issued</w:t>
      </w:r>
      <w:r>
        <w:rPr>
          <w:rFonts w:cs="Times New Roman"/>
          <w:sz w:val="24"/>
          <w:szCs w:val="24"/>
        </w:rPr>
        <w:t>*</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in the </w:t>
      </w:r>
      <w:r w:rsidR="005B0436">
        <w:rPr>
          <w:rFonts w:cs="Times New Roman"/>
          <w:sz w:val="24"/>
          <w:szCs w:val="24"/>
        </w:rPr>
        <w:t>Third</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2013</w:t>
      </w:r>
      <w:r w:rsidRPr="00AB2CF1">
        <w:rPr>
          <w:rFonts w:cs="Times New Roman"/>
          <w:sz w:val="24"/>
          <w:szCs w:val="24"/>
        </w:rPr>
        <w:t xml:space="preserve"> compared to the </w:t>
      </w:r>
      <w:r w:rsidR="005B0436">
        <w:rPr>
          <w:rFonts w:cs="Times New Roman"/>
          <w:sz w:val="24"/>
          <w:szCs w:val="24"/>
        </w:rPr>
        <w:t>second</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201</w:t>
      </w:r>
      <w:r>
        <w:rPr>
          <w:rFonts w:cs="Times New Roman"/>
          <w:sz w:val="24"/>
          <w:szCs w:val="24"/>
        </w:rPr>
        <w:t>3</w:t>
      </w:r>
      <w:r w:rsidRPr="00AB2CF1">
        <w:rPr>
          <w:rFonts w:cs="Times New Roman"/>
          <w:sz w:val="24"/>
          <w:szCs w:val="24"/>
        </w:rPr>
        <w:t>:</w:t>
      </w:r>
    </w:p>
    <w:p w:rsidR="00E07382" w:rsidRDefault="00E07382" w:rsidP="00365A27">
      <w:pPr>
        <w:bidi w:val="0"/>
        <w:jc w:val="center"/>
        <w:rPr>
          <w:rFonts w:cs="Times New Roman"/>
          <w:sz w:val="24"/>
          <w:szCs w:val="24"/>
        </w:rPr>
      </w:pPr>
      <w:r w:rsidRPr="00E07382">
        <w:rPr>
          <w:rFonts w:cs="Times New Roman"/>
          <w:noProof/>
          <w:sz w:val="24"/>
          <w:szCs w:val="24"/>
        </w:rPr>
        <w:drawing>
          <wp:inline distT="0" distB="0" distL="0" distR="0">
            <wp:extent cx="5663492" cy="3108960"/>
            <wp:effectExtent l="19050" t="0" r="13408"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bidiVisual/>
        <w:tblW w:w="9230" w:type="dxa"/>
        <w:jc w:val="center"/>
        <w:tblInd w:w="324" w:type="dxa"/>
        <w:tblCellMar>
          <w:left w:w="0" w:type="dxa"/>
          <w:right w:w="0" w:type="dxa"/>
        </w:tblCellMar>
        <w:tblLook w:val="0000"/>
      </w:tblPr>
      <w:tblGrid>
        <w:gridCol w:w="9230"/>
      </w:tblGrid>
      <w:tr w:rsidR="00A01C6B" w:rsidRPr="00AB2CF1" w:rsidTr="005B0436">
        <w:trPr>
          <w:cantSplit/>
          <w:trHeight w:val="340"/>
          <w:jc w:val="center"/>
        </w:trPr>
        <w:tc>
          <w:tcPr>
            <w:tcW w:w="9230" w:type="dxa"/>
            <w:vAlign w:val="center"/>
          </w:tcPr>
          <w:p w:rsidR="00A01C6B" w:rsidRPr="00AB2CF1" w:rsidRDefault="00A01C6B" w:rsidP="005B0436">
            <w:pPr>
              <w:bidi w:val="0"/>
              <w:ind w:right="644" w:firstLine="222"/>
              <w:rPr>
                <w:rFonts w:ascii="Arial" w:hAnsi="Arial" w:cs="Arial"/>
                <w:sz w:val="18"/>
                <w:szCs w:val="18"/>
              </w:rPr>
            </w:pPr>
            <w:r w:rsidRPr="00AB2CF1">
              <w:rPr>
                <w:rFonts w:ascii="Arial" w:hAnsi="Arial" w:cs="Arial"/>
                <w:sz w:val="18"/>
                <w:szCs w:val="18"/>
              </w:rPr>
              <w:t xml:space="preserve">*Excluding boundary wall licenses </w:t>
            </w:r>
          </w:p>
        </w:tc>
      </w:tr>
      <w:tr w:rsidR="00A01C6B" w:rsidRPr="00BD39D7" w:rsidTr="005B0436">
        <w:trPr>
          <w:cantSplit/>
          <w:trHeight w:val="340"/>
          <w:jc w:val="center"/>
        </w:trPr>
        <w:tc>
          <w:tcPr>
            <w:tcW w:w="9230" w:type="dxa"/>
            <w:vAlign w:val="center"/>
          </w:tcPr>
          <w:p w:rsidR="00A01C6B" w:rsidRPr="00BD39D7" w:rsidRDefault="00A01C6B" w:rsidP="005B0436">
            <w:pPr>
              <w:bidi w:val="0"/>
              <w:ind w:right="16" w:firstLine="222"/>
              <w:rPr>
                <w:rFonts w:ascii="Arial" w:hAnsi="Arial" w:cs="Arial"/>
                <w:sz w:val="18"/>
                <w:szCs w:val="18"/>
              </w:rPr>
            </w:pPr>
            <w:r w:rsidRPr="00BD39D7">
              <w:rPr>
                <w:rFonts w:ascii="Arial" w:hAnsi="Arial" w:cs="Arial"/>
                <w:sz w:val="18"/>
                <w:szCs w:val="18"/>
              </w:rPr>
              <w:t>** The data exclude those parts of Jerusalem annexed by Israel in1967.</w:t>
            </w:r>
          </w:p>
        </w:tc>
      </w:tr>
    </w:tbl>
    <w:p w:rsidR="00E357D6" w:rsidRPr="00AB2CF1" w:rsidRDefault="0088617D" w:rsidP="007A214F">
      <w:pPr>
        <w:bidi w:val="0"/>
        <w:jc w:val="both"/>
        <w:rPr>
          <w:sz w:val="24"/>
          <w:szCs w:val="24"/>
        </w:rPr>
      </w:pPr>
      <w:r w:rsidRPr="00AB2CF1">
        <w:rPr>
          <w:b/>
          <w:bCs/>
          <w:sz w:val="24"/>
          <w:szCs w:val="24"/>
        </w:rPr>
        <w:lastRenderedPageBreak/>
        <w:t xml:space="preserve">1.3  </w:t>
      </w:r>
      <w:r w:rsidR="00456A95" w:rsidRPr="00AB2CF1">
        <w:rPr>
          <w:b/>
          <w:bCs/>
          <w:sz w:val="24"/>
          <w:szCs w:val="24"/>
        </w:rPr>
        <w:t xml:space="preserve">Licensed </w:t>
      </w:r>
      <w:r w:rsidR="00456A95">
        <w:rPr>
          <w:b/>
          <w:bCs/>
          <w:sz w:val="24"/>
          <w:szCs w:val="24"/>
        </w:rPr>
        <w:t>A</w:t>
      </w:r>
      <w:r w:rsidR="00456A95" w:rsidRPr="00AB2CF1">
        <w:rPr>
          <w:b/>
          <w:bCs/>
          <w:sz w:val="24"/>
          <w:szCs w:val="24"/>
        </w:rPr>
        <w:t>rea</w:t>
      </w:r>
      <w:r w:rsidR="005B7BA2" w:rsidRPr="00AB2CF1">
        <w:rPr>
          <w:sz w:val="24"/>
          <w:szCs w:val="24"/>
        </w:rPr>
        <w:t xml:space="preserve">: The following table compares the licensed area in </w:t>
      </w:r>
      <w:r w:rsidR="00250A24">
        <w:rPr>
          <w:sz w:val="24"/>
          <w:szCs w:val="24"/>
        </w:rPr>
        <w:t>Palestine</w:t>
      </w:r>
      <w:r w:rsidR="008A0D39">
        <w:rPr>
          <w:sz w:val="24"/>
          <w:szCs w:val="24"/>
        </w:rPr>
        <w:t>*</w:t>
      </w:r>
      <w:r w:rsidR="005B7BA2" w:rsidRPr="00AB2CF1">
        <w:rPr>
          <w:sz w:val="24"/>
          <w:szCs w:val="24"/>
        </w:rPr>
        <w:t xml:space="preserve"> for </w:t>
      </w:r>
      <w:r w:rsidR="005B7BA2" w:rsidRPr="00AB2CF1">
        <w:rPr>
          <w:rFonts w:cs="Times New Roman"/>
          <w:sz w:val="24"/>
          <w:szCs w:val="24"/>
        </w:rPr>
        <w:t xml:space="preserve">the </w:t>
      </w:r>
      <w:r w:rsidR="007A214F">
        <w:rPr>
          <w:rFonts w:cs="Times New Roman"/>
          <w:sz w:val="24"/>
          <w:szCs w:val="24"/>
        </w:rPr>
        <w:t>Third</w:t>
      </w:r>
      <w:r w:rsidR="004D005C">
        <w:rPr>
          <w:rFonts w:cs="Times New Roman"/>
          <w:sz w:val="24"/>
          <w:szCs w:val="24"/>
        </w:rPr>
        <w:t xml:space="preserve"> </w:t>
      </w:r>
      <w:r w:rsidR="007F6DCD">
        <w:rPr>
          <w:rFonts w:asciiTheme="majorBidi" w:hAnsiTheme="majorBidi" w:cstheme="majorBidi"/>
          <w:sz w:val="16"/>
          <w:szCs w:val="16"/>
        </w:rPr>
        <w:t xml:space="preserve"> </w:t>
      </w:r>
      <w:r w:rsidR="005B7BA2" w:rsidRPr="00AB2CF1">
        <w:rPr>
          <w:rFonts w:cs="Times New Roman"/>
          <w:sz w:val="24"/>
          <w:szCs w:val="24"/>
        </w:rPr>
        <w:t xml:space="preserve">quarter of </w:t>
      </w:r>
      <w:r w:rsidR="007F6DCD">
        <w:rPr>
          <w:rFonts w:cs="Times New Roman"/>
          <w:sz w:val="24"/>
          <w:szCs w:val="24"/>
        </w:rPr>
        <w:t>2013</w:t>
      </w:r>
      <w:r w:rsidR="005B7BA2" w:rsidRPr="00AB2CF1">
        <w:rPr>
          <w:rFonts w:cs="Times New Roman"/>
          <w:sz w:val="24"/>
          <w:szCs w:val="24"/>
        </w:rPr>
        <w:t xml:space="preserve"> </w:t>
      </w:r>
      <w:r w:rsidR="005B7BA2"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1844"/>
        <w:gridCol w:w="1276"/>
        <w:gridCol w:w="1276"/>
        <w:gridCol w:w="1134"/>
        <w:gridCol w:w="1842"/>
        <w:gridCol w:w="1700"/>
      </w:tblGrid>
      <w:tr w:rsidR="00110FD6" w:rsidRPr="00AB2CF1" w:rsidTr="0017058D">
        <w:trPr>
          <w:trHeight w:val="340"/>
          <w:jc w:val="center"/>
        </w:trPr>
        <w:tc>
          <w:tcPr>
            <w:tcW w:w="1844"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86" w:type="dxa"/>
            <w:gridSpan w:val="3"/>
            <w:vAlign w:val="center"/>
          </w:tcPr>
          <w:p w:rsidR="00110FD6" w:rsidRPr="00AB2CF1" w:rsidRDefault="00110FD6"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842" w:type="dxa"/>
            <w:vMerge w:val="restart"/>
            <w:vAlign w:val="center"/>
          </w:tcPr>
          <w:p w:rsidR="00110FD6" w:rsidRPr="00BD39D7" w:rsidRDefault="004D005C" w:rsidP="007A214F">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7A214F">
              <w:rPr>
                <w:rFonts w:asciiTheme="minorBidi" w:hAnsiTheme="minorBidi" w:cstheme="minorBidi"/>
                <w:b/>
                <w:bCs/>
                <w:sz w:val="18"/>
                <w:szCs w:val="18"/>
              </w:rPr>
              <w:t>Third</w:t>
            </w:r>
            <w:r w:rsidR="00110FD6">
              <w:rPr>
                <w:rFonts w:asciiTheme="majorBidi" w:hAnsiTheme="majorBidi" w:cstheme="majorBidi"/>
                <w:sz w:val="16"/>
                <w:szCs w:val="16"/>
              </w:rPr>
              <w:t xml:space="preserve"> </w:t>
            </w:r>
            <w:r w:rsidR="00110FD6">
              <w:rPr>
                <w:rFonts w:asciiTheme="minorBidi" w:hAnsiTheme="minorBidi" w:cstheme="minorBidi"/>
                <w:b/>
                <w:bCs/>
                <w:sz w:val="18"/>
                <w:szCs w:val="18"/>
              </w:rPr>
              <w:t>quarter</w:t>
            </w:r>
            <w:r w:rsidR="00110FD6" w:rsidRPr="00BD39D7">
              <w:rPr>
                <w:rFonts w:asciiTheme="minorBidi" w:hAnsiTheme="minorBidi" w:cstheme="minorBidi"/>
                <w:b/>
                <w:bCs/>
                <w:sz w:val="18"/>
                <w:szCs w:val="18"/>
              </w:rPr>
              <w:t xml:space="preserve"> </w:t>
            </w:r>
            <w:r w:rsidR="00110FD6">
              <w:rPr>
                <w:rFonts w:asciiTheme="minorBidi" w:hAnsiTheme="minorBidi" w:cstheme="minorBidi" w:hint="cs"/>
                <w:b/>
                <w:bCs/>
                <w:sz w:val="18"/>
                <w:szCs w:val="18"/>
                <w:rtl/>
              </w:rPr>
              <w:t>2013</w:t>
            </w:r>
            <w:r w:rsidR="00110FD6" w:rsidRPr="00BD39D7">
              <w:rPr>
                <w:rFonts w:asciiTheme="minorBidi" w:hAnsiTheme="minorBidi" w:cstheme="minorBidi"/>
                <w:b/>
                <w:bCs/>
                <w:sz w:val="18"/>
                <w:szCs w:val="18"/>
              </w:rPr>
              <w:t xml:space="preserve"> from</w:t>
            </w:r>
          </w:p>
          <w:p w:rsidR="00110FD6" w:rsidRPr="00BD39D7" w:rsidRDefault="00110FD6" w:rsidP="007A21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7A214F">
              <w:rPr>
                <w:rFonts w:asciiTheme="minorBidi" w:hAnsiTheme="minorBidi" w:cstheme="minorBidi"/>
                <w:b/>
                <w:bCs/>
                <w:sz w:val="18"/>
                <w:szCs w:val="18"/>
              </w:rPr>
              <w:t>second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110FD6" w:rsidRPr="00BD39D7" w:rsidRDefault="00110FD6" w:rsidP="008D5DA8">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8D5DA8">
              <w:rPr>
                <w:rFonts w:asciiTheme="minorBidi" w:hAnsiTheme="minorBidi" w:cstheme="minorBidi"/>
                <w:b/>
                <w:bCs/>
                <w:sz w:val="18"/>
                <w:szCs w:val="18"/>
              </w:rPr>
              <w:t>3</w:t>
            </w:r>
          </w:p>
        </w:tc>
        <w:tc>
          <w:tcPr>
            <w:tcW w:w="1700" w:type="dxa"/>
            <w:vMerge w:val="restart"/>
            <w:vAlign w:val="center"/>
          </w:tcPr>
          <w:p w:rsidR="00110FD6" w:rsidRPr="00BD39D7" w:rsidRDefault="00110FD6" w:rsidP="007A21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A214F">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7A214F">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7A214F">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17058D">
        <w:trPr>
          <w:trHeight w:val="340"/>
          <w:jc w:val="center"/>
        </w:trPr>
        <w:tc>
          <w:tcPr>
            <w:tcW w:w="1844"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276" w:type="dxa"/>
            <w:tcBorders>
              <w:bottom w:val="single" w:sz="4" w:space="0" w:color="auto"/>
            </w:tcBorders>
            <w:vAlign w:val="center"/>
          </w:tcPr>
          <w:p w:rsidR="00241D99" w:rsidRPr="00BD39D7" w:rsidRDefault="007A214F" w:rsidP="008D2B6F">
            <w:pPr>
              <w:jc w:val="center"/>
              <w:rPr>
                <w:rFonts w:asciiTheme="minorBidi" w:hAnsiTheme="minorBidi" w:cstheme="minorBidi"/>
                <w:sz w:val="18"/>
                <w:szCs w:val="18"/>
                <w:lang w:val="fr-FR"/>
              </w:rPr>
            </w:pPr>
            <w:r>
              <w:rPr>
                <w:rFonts w:asciiTheme="minorBidi" w:hAnsiTheme="minorBidi" w:cstheme="minorBidi"/>
                <w:sz w:val="18"/>
                <w:szCs w:val="18"/>
              </w:rPr>
              <w:t>Third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rPr>
            </w:pPr>
            <w:r>
              <w:rPr>
                <w:rFonts w:asciiTheme="minorBidi" w:hAnsiTheme="minorBidi" w:cstheme="minorBidi"/>
                <w:sz w:val="18"/>
                <w:szCs w:val="18"/>
                <w:lang w:val="fr-FR"/>
              </w:rPr>
              <w:t>2013</w:t>
            </w:r>
          </w:p>
        </w:tc>
        <w:tc>
          <w:tcPr>
            <w:tcW w:w="1276" w:type="dxa"/>
            <w:tcBorders>
              <w:bottom w:val="single" w:sz="4" w:space="0" w:color="auto"/>
            </w:tcBorders>
            <w:vAlign w:val="center"/>
          </w:tcPr>
          <w:p w:rsidR="00241D99" w:rsidRPr="00BD39D7" w:rsidRDefault="007A214F" w:rsidP="008D2B6F">
            <w:pPr>
              <w:jc w:val="center"/>
              <w:rPr>
                <w:rFonts w:asciiTheme="minorBidi" w:hAnsiTheme="minorBidi" w:cstheme="minorBidi"/>
                <w:sz w:val="18"/>
                <w:szCs w:val="18"/>
              </w:rPr>
            </w:pPr>
            <w:r>
              <w:rPr>
                <w:rFonts w:asciiTheme="minorBidi" w:hAnsiTheme="minorBidi" w:cstheme="minorBidi"/>
                <w:sz w:val="18"/>
                <w:szCs w:val="18"/>
              </w:rPr>
              <w:t>second</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1134" w:type="dxa"/>
            <w:tcBorders>
              <w:bottom w:val="single" w:sz="4" w:space="0" w:color="auto"/>
            </w:tcBorders>
            <w:vAlign w:val="center"/>
          </w:tcPr>
          <w:p w:rsidR="00241D99" w:rsidRPr="00BD39D7" w:rsidRDefault="007A214F" w:rsidP="008D2B6F">
            <w:pPr>
              <w:bidi w:val="0"/>
              <w:jc w:val="center"/>
              <w:rPr>
                <w:rFonts w:asciiTheme="minorBidi" w:hAnsiTheme="minorBidi" w:cstheme="minorBidi"/>
                <w:sz w:val="18"/>
                <w:szCs w:val="18"/>
                <w:rtl/>
              </w:rPr>
            </w:pPr>
            <w:r>
              <w:rPr>
                <w:rFonts w:asciiTheme="minorBidi" w:hAnsiTheme="minorBidi" w:cstheme="minorBidi"/>
                <w:sz w:val="18"/>
                <w:szCs w:val="18"/>
              </w:rPr>
              <w:t>Third</w:t>
            </w:r>
            <w:r w:rsidR="004D005C">
              <w:rPr>
                <w:rFonts w:asciiTheme="minorBidi" w:hAnsiTheme="minorBidi" w:cstheme="minorBidi"/>
                <w:sz w:val="18"/>
                <w:szCs w:val="18"/>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842"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700"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716F2A" w:rsidRPr="00AB2CF1" w:rsidTr="002C5943">
        <w:trPr>
          <w:trHeight w:val="340"/>
          <w:jc w:val="center"/>
        </w:trPr>
        <w:tc>
          <w:tcPr>
            <w:tcW w:w="1844" w:type="dxa"/>
            <w:tcBorders>
              <w:top w:val="single" w:sz="4" w:space="0" w:color="auto"/>
              <w:left w:val="single" w:sz="4" w:space="0" w:color="auto"/>
              <w:bottom w:val="nil"/>
              <w:right w:val="single" w:sz="4" w:space="0" w:color="auto"/>
            </w:tcBorders>
            <w:vAlign w:val="center"/>
          </w:tcPr>
          <w:p w:rsidR="00716F2A" w:rsidRPr="00AB2CF1" w:rsidRDefault="00716F2A"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276" w:type="dxa"/>
            <w:tcBorders>
              <w:top w:val="single" w:sz="4" w:space="0" w:color="auto"/>
              <w:left w:val="single" w:sz="4" w:space="0" w:color="auto"/>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1,047.1</w:t>
            </w:r>
          </w:p>
        </w:tc>
        <w:tc>
          <w:tcPr>
            <w:tcW w:w="1276" w:type="dxa"/>
            <w:tcBorders>
              <w:top w:val="single" w:sz="4" w:space="0" w:color="auto"/>
              <w:left w:val="nil"/>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1,081.6</w:t>
            </w:r>
          </w:p>
        </w:tc>
        <w:tc>
          <w:tcPr>
            <w:tcW w:w="1134" w:type="dxa"/>
            <w:tcBorders>
              <w:top w:val="single" w:sz="4" w:space="0" w:color="auto"/>
              <w:left w:val="nil"/>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805.9</w:t>
            </w:r>
          </w:p>
        </w:tc>
        <w:tc>
          <w:tcPr>
            <w:tcW w:w="1842" w:type="dxa"/>
            <w:tcBorders>
              <w:top w:val="single" w:sz="4" w:space="0" w:color="auto"/>
              <w:left w:val="nil"/>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3.2-</w:t>
            </w:r>
          </w:p>
        </w:tc>
        <w:tc>
          <w:tcPr>
            <w:tcW w:w="1700" w:type="dxa"/>
            <w:tcBorders>
              <w:top w:val="single" w:sz="4" w:space="0" w:color="auto"/>
              <w:left w:val="nil"/>
              <w:bottom w:val="nil"/>
              <w:right w:val="single" w:sz="4" w:space="0" w:color="auto"/>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29.9</w:t>
            </w:r>
          </w:p>
        </w:tc>
      </w:tr>
      <w:tr w:rsidR="00716F2A" w:rsidRPr="00AB2CF1" w:rsidTr="002C5943">
        <w:trPr>
          <w:trHeight w:val="340"/>
          <w:jc w:val="center"/>
        </w:trPr>
        <w:tc>
          <w:tcPr>
            <w:tcW w:w="1844" w:type="dxa"/>
            <w:tcBorders>
              <w:top w:val="nil"/>
              <w:left w:val="single" w:sz="4" w:space="0" w:color="auto"/>
              <w:bottom w:val="nil"/>
              <w:right w:val="single" w:sz="4" w:space="0" w:color="auto"/>
            </w:tcBorders>
            <w:vAlign w:val="center"/>
          </w:tcPr>
          <w:p w:rsidR="00716F2A" w:rsidRPr="00AB2CF1" w:rsidRDefault="00716F2A"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276" w:type="dxa"/>
            <w:tcBorders>
              <w:top w:val="nil"/>
              <w:left w:val="single" w:sz="4" w:space="0" w:color="auto"/>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919.3</w:t>
            </w:r>
          </w:p>
        </w:tc>
        <w:tc>
          <w:tcPr>
            <w:tcW w:w="1276" w:type="dxa"/>
            <w:tcBorders>
              <w:top w:val="nil"/>
              <w:left w:val="nil"/>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905.8</w:t>
            </w:r>
          </w:p>
        </w:tc>
        <w:tc>
          <w:tcPr>
            <w:tcW w:w="1134" w:type="dxa"/>
            <w:tcBorders>
              <w:top w:val="nil"/>
              <w:left w:val="nil"/>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697.2</w:t>
            </w:r>
          </w:p>
        </w:tc>
        <w:tc>
          <w:tcPr>
            <w:tcW w:w="1842" w:type="dxa"/>
            <w:tcBorders>
              <w:top w:val="nil"/>
              <w:left w:val="nil"/>
              <w:bottom w:val="nil"/>
              <w:right w:val="nil"/>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1.5</w:t>
            </w:r>
          </w:p>
        </w:tc>
        <w:tc>
          <w:tcPr>
            <w:tcW w:w="1700" w:type="dxa"/>
            <w:tcBorders>
              <w:top w:val="nil"/>
              <w:left w:val="nil"/>
              <w:bottom w:val="nil"/>
              <w:right w:val="single" w:sz="4" w:space="0" w:color="auto"/>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31.9</w:t>
            </w:r>
          </w:p>
        </w:tc>
      </w:tr>
      <w:tr w:rsidR="00716F2A" w:rsidRPr="00AB2CF1" w:rsidTr="002C5943">
        <w:trPr>
          <w:trHeight w:val="340"/>
          <w:jc w:val="center"/>
        </w:trPr>
        <w:tc>
          <w:tcPr>
            <w:tcW w:w="1844" w:type="dxa"/>
            <w:tcBorders>
              <w:top w:val="nil"/>
              <w:left w:val="single" w:sz="4" w:space="0" w:color="auto"/>
              <w:bottom w:val="single" w:sz="4" w:space="0" w:color="auto"/>
              <w:right w:val="single" w:sz="4" w:space="0" w:color="auto"/>
            </w:tcBorders>
            <w:vAlign w:val="center"/>
          </w:tcPr>
          <w:p w:rsidR="00716F2A" w:rsidRPr="00AB2CF1" w:rsidRDefault="00716F2A"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276" w:type="dxa"/>
            <w:tcBorders>
              <w:top w:val="nil"/>
              <w:left w:val="single" w:sz="4" w:space="0" w:color="auto"/>
              <w:bottom w:val="single" w:sz="4" w:space="0" w:color="auto"/>
              <w:right w:val="nil"/>
            </w:tcBorders>
            <w:vAlign w:val="center"/>
          </w:tcPr>
          <w:p w:rsidR="00716F2A" w:rsidRPr="002D4260" w:rsidRDefault="00716F2A" w:rsidP="003A3AE3">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127.8</w:t>
            </w:r>
          </w:p>
        </w:tc>
        <w:tc>
          <w:tcPr>
            <w:tcW w:w="1276" w:type="dxa"/>
            <w:tcBorders>
              <w:top w:val="nil"/>
              <w:left w:val="nil"/>
              <w:bottom w:val="single" w:sz="4" w:space="0" w:color="auto"/>
              <w:right w:val="nil"/>
            </w:tcBorders>
            <w:vAlign w:val="center"/>
          </w:tcPr>
          <w:p w:rsidR="00716F2A" w:rsidRPr="002D4260" w:rsidRDefault="00716F2A" w:rsidP="003A3AE3">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175.8</w:t>
            </w:r>
          </w:p>
        </w:tc>
        <w:tc>
          <w:tcPr>
            <w:tcW w:w="1134" w:type="dxa"/>
            <w:tcBorders>
              <w:top w:val="nil"/>
              <w:left w:val="nil"/>
              <w:bottom w:val="single" w:sz="4" w:space="0" w:color="auto"/>
              <w:right w:val="nil"/>
            </w:tcBorders>
            <w:vAlign w:val="center"/>
          </w:tcPr>
          <w:p w:rsidR="00716F2A" w:rsidRPr="002D4260" w:rsidRDefault="00716F2A" w:rsidP="003A3AE3">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108.7</w:t>
            </w:r>
          </w:p>
        </w:tc>
        <w:tc>
          <w:tcPr>
            <w:tcW w:w="1842" w:type="dxa"/>
            <w:tcBorders>
              <w:top w:val="nil"/>
              <w:left w:val="nil"/>
              <w:bottom w:val="single" w:sz="4" w:space="0" w:color="auto"/>
              <w:right w:val="nil"/>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27.3-</w:t>
            </w:r>
          </w:p>
        </w:tc>
        <w:tc>
          <w:tcPr>
            <w:tcW w:w="1700" w:type="dxa"/>
            <w:tcBorders>
              <w:top w:val="nil"/>
              <w:left w:val="nil"/>
              <w:bottom w:val="single" w:sz="4" w:space="0" w:color="auto"/>
              <w:right w:val="single" w:sz="4" w:space="0" w:color="auto"/>
            </w:tcBorders>
            <w:vAlign w:val="center"/>
          </w:tcPr>
          <w:p w:rsidR="00716F2A" w:rsidRPr="002D426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17.6</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8D2B6F" w:rsidRDefault="00FE7096" w:rsidP="00FE7096">
      <w:pPr>
        <w:bidi w:val="0"/>
        <w:jc w:val="both"/>
      </w:pPr>
    </w:p>
    <w:p w:rsidR="00131593" w:rsidRPr="00AB2CF1" w:rsidRDefault="00C87EA1" w:rsidP="007A214F">
      <w:pPr>
        <w:bidi w:val="0"/>
        <w:jc w:val="both"/>
        <w:rPr>
          <w:rFonts w:asciiTheme="majorBidi" w:hAnsiTheme="majorBidi" w:cstheme="majorBidi"/>
          <w:sz w:val="24"/>
          <w:szCs w:val="24"/>
        </w:rPr>
      </w:pPr>
      <w:r w:rsidRPr="00AB2CF1">
        <w:rPr>
          <w:rFonts w:asciiTheme="majorBidi" w:hAnsiTheme="majorBidi" w:cstheme="majorBidi"/>
          <w:b/>
          <w:bCs/>
          <w:sz w:val="24"/>
          <w:szCs w:val="24"/>
        </w:rPr>
        <w:t xml:space="preserve">1.4 </w:t>
      </w:r>
      <w:r w:rsidR="00456A95" w:rsidRPr="00AB2CF1">
        <w:rPr>
          <w:rFonts w:asciiTheme="majorBidi" w:hAnsiTheme="majorBidi" w:cstheme="majorBidi"/>
          <w:b/>
          <w:bCs/>
          <w:sz w:val="24"/>
          <w:szCs w:val="24"/>
        </w:rPr>
        <w:t xml:space="preserve">Licensed </w:t>
      </w:r>
      <w:r w:rsidR="00456A95">
        <w:rPr>
          <w:rFonts w:asciiTheme="majorBidi" w:hAnsiTheme="majorBidi" w:cstheme="majorBidi"/>
          <w:b/>
          <w:bCs/>
          <w:sz w:val="24"/>
          <w:szCs w:val="24"/>
        </w:rPr>
        <w:t>B</w:t>
      </w:r>
      <w:r w:rsidR="00456A95" w:rsidRPr="00AB2CF1">
        <w:rPr>
          <w:rFonts w:asciiTheme="majorBidi" w:hAnsiTheme="majorBidi" w:cstheme="majorBidi"/>
          <w:b/>
          <w:bCs/>
          <w:sz w:val="24"/>
          <w:szCs w:val="24"/>
        </w:rPr>
        <w:t xml:space="preserve">oundary </w:t>
      </w:r>
      <w:r w:rsidR="00456A95">
        <w:rPr>
          <w:rFonts w:asciiTheme="majorBidi" w:hAnsiTheme="majorBidi" w:cstheme="majorBidi"/>
          <w:b/>
          <w:bCs/>
          <w:sz w:val="24"/>
          <w:szCs w:val="24"/>
        </w:rPr>
        <w:t>W</w:t>
      </w:r>
      <w:r w:rsidR="00456A95" w:rsidRPr="00AB2CF1">
        <w:rPr>
          <w:rFonts w:asciiTheme="majorBidi" w:hAnsiTheme="majorBidi" w:cstheme="majorBidi"/>
          <w:b/>
          <w:bCs/>
          <w:sz w:val="24"/>
          <w:szCs w:val="24"/>
        </w:rPr>
        <w:t>alls</w:t>
      </w:r>
      <w:r w:rsidRPr="00AB2CF1">
        <w:rPr>
          <w:rFonts w:asciiTheme="majorBidi" w:hAnsiTheme="majorBidi" w:cstheme="majorBidi"/>
          <w:b/>
          <w:bCs/>
          <w:sz w:val="24"/>
          <w:szCs w:val="24"/>
        </w:rPr>
        <w:t>:</w:t>
      </w:r>
      <w:r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 xml:space="preserve">The following table compares licenses issued for boundary walls in </w:t>
      </w:r>
      <w:r w:rsidR="00250A24">
        <w:rPr>
          <w:rFonts w:asciiTheme="majorBidi" w:hAnsiTheme="majorBidi" w:cstheme="majorBidi"/>
          <w:sz w:val="24"/>
          <w:szCs w:val="24"/>
        </w:rPr>
        <w:t>Palestine</w:t>
      </w:r>
      <w:r w:rsidR="008A0D39">
        <w:rPr>
          <w:rFonts w:asciiTheme="majorBidi" w:hAnsiTheme="majorBidi" w:cstheme="majorBidi"/>
          <w:sz w:val="24"/>
          <w:szCs w:val="24"/>
        </w:rPr>
        <w:t>*</w:t>
      </w:r>
      <w:r w:rsidR="00EC622D" w:rsidRPr="00AB2CF1">
        <w:rPr>
          <w:rFonts w:asciiTheme="majorBidi" w:hAnsiTheme="majorBidi" w:cstheme="majorBidi"/>
          <w:sz w:val="24"/>
          <w:szCs w:val="24"/>
        </w:rPr>
        <w:t xml:space="preserve"> for the </w:t>
      </w:r>
      <w:r w:rsidR="007A214F">
        <w:rPr>
          <w:rFonts w:cs="Times New Roman"/>
          <w:sz w:val="24"/>
          <w:szCs w:val="24"/>
        </w:rPr>
        <w:t>Third</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asciiTheme="majorBidi" w:hAnsiTheme="majorBidi" w:cstheme="majorBidi"/>
          <w:sz w:val="24"/>
          <w:szCs w:val="24"/>
        </w:rPr>
        <w:t xml:space="preserve"> of </w:t>
      </w:r>
      <w:r w:rsidR="007F6DCD">
        <w:rPr>
          <w:rFonts w:asciiTheme="majorBidi" w:hAnsiTheme="majorBidi" w:cstheme="majorBidi"/>
          <w:sz w:val="24"/>
          <w:szCs w:val="24"/>
        </w:rPr>
        <w:t>2013</w:t>
      </w:r>
      <w:r w:rsidR="00EC622D" w:rsidRPr="00AB2CF1">
        <w:rPr>
          <w:rFonts w:asciiTheme="majorBidi" w:hAnsiTheme="majorBidi" w:cstheme="majorBidi"/>
          <w:sz w:val="24"/>
          <w:szCs w:val="24"/>
        </w:rPr>
        <w:t xml:space="preserve"> with the previous and corresponding quarters:</w:t>
      </w:r>
    </w:p>
    <w:p w:rsidR="00897DCD" w:rsidRPr="00AB2CF1" w:rsidRDefault="00897DCD" w:rsidP="00FE7096">
      <w:pPr>
        <w:bidi w:val="0"/>
        <w:jc w:val="both"/>
        <w:rPr>
          <w:sz w:val="12"/>
          <w:szCs w:val="12"/>
        </w:rPr>
      </w:pPr>
    </w:p>
    <w:tbl>
      <w:tblPr>
        <w:tblStyle w:val="TableGrid"/>
        <w:tblW w:w="0" w:type="auto"/>
        <w:tblInd w:w="108" w:type="dxa"/>
        <w:tblLayout w:type="fixed"/>
        <w:tblLook w:val="04A0"/>
      </w:tblPr>
      <w:tblGrid>
        <w:gridCol w:w="3358"/>
        <w:gridCol w:w="1037"/>
        <w:gridCol w:w="992"/>
        <w:gridCol w:w="850"/>
        <w:gridCol w:w="1560"/>
        <w:gridCol w:w="1381"/>
      </w:tblGrid>
      <w:tr w:rsidR="00110FD6" w:rsidRPr="00AB2CF1" w:rsidTr="00B308AC">
        <w:trPr>
          <w:trHeight w:val="340"/>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2879" w:type="dxa"/>
            <w:gridSpan w:val="3"/>
            <w:vAlign w:val="center"/>
          </w:tcPr>
          <w:p w:rsidR="00110FD6" w:rsidRPr="00AB2CF1" w:rsidRDefault="00110FD6"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560" w:type="dxa"/>
            <w:vMerge w:val="restart"/>
            <w:vAlign w:val="center"/>
          </w:tcPr>
          <w:p w:rsidR="00110FD6" w:rsidRPr="00BD39D7" w:rsidRDefault="00110FD6" w:rsidP="007A21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A214F">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7A214F" w:rsidP="008D5DA8">
            <w:pPr>
              <w:bidi w:val="0"/>
              <w:jc w:val="center"/>
              <w:rPr>
                <w:rFonts w:asciiTheme="minorBidi" w:hAnsiTheme="minorBidi" w:cstheme="minorBidi"/>
                <w:b/>
                <w:bCs/>
                <w:sz w:val="18"/>
                <w:szCs w:val="18"/>
              </w:rPr>
            </w:pPr>
            <w:r>
              <w:rPr>
                <w:rFonts w:asciiTheme="minorBidi" w:hAnsiTheme="minorBidi" w:cstheme="minorBidi"/>
                <w:b/>
                <w:bCs/>
                <w:sz w:val="18"/>
                <w:szCs w:val="18"/>
              </w:rPr>
              <w:t>second</w:t>
            </w:r>
            <w:r w:rsidR="00110FD6">
              <w:rPr>
                <w:rFonts w:asciiTheme="minorBidi" w:hAnsiTheme="minorBidi" w:cstheme="minorBidi"/>
                <w:b/>
                <w:bCs/>
                <w:sz w:val="18"/>
                <w:szCs w:val="18"/>
              </w:rPr>
              <w:t xml:space="preserve"> quarter</w:t>
            </w:r>
            <w:r w:rsidR="00110FD6" w:rsidRPr="00BD39D7">
              <w:rPr>
                <w:rFonts w:asciiTheme="minorBidi" w:hAnsiTheme="minorBidi" w:cstheme="minorBidi"/>
                <w:b/>
                <w:bCs/>
                <w:sz w:val="18"/>
                <w:szCs w:val="18"/>
              </w:rPr>
              <w:t xml:space="preserve"> </w:t>
            </w:r>
          </w:p>
          <w:p w:rsidR="00110FD6" w:rsidRPr="00BD39D7" w:rsidRDefault="00110FD6" w:rsidP="008D5DA8">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8D5DA8">
              <w:rPr>
                <w:rFonts w:asciiTheme="minorBidi" w:hAnsiTheme="minorBidi" w:cstheme="minorBidi"/>
                <w:b/>
                <w:bCs/>
                <w:sz w:val="18"/>
                <w:szCs w:val="18"/>
              </w:rPr>
              <w:t>3</w:t>
            </w:r>
          </w:p>
        </w:tc>
        <w:tc>
          <w:tcPr>
            <w:tcW w:w="1381" w:type="dxa"/>
            <w:vMerge w:val="restart"/>
            <w:vAlign w:val="center"/>
          </w:tcPr>
          <w:p w:rsidR="00110FD6" w:rsidRPr="00BD39D7" w:rsidRDefault="00110FD6" w:rsidP="007A21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A214F">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7A214F">
            <w:pPr>
              <w:bidi w:val="0"/>
              <w:jc w:val="center"/>
              <w:rPr>
                <w:rFonts w:asciiTheme="minorBidi" w:hAnsiTheme="minorBidi" w:cstheme="minorBidi"/>
                <w:b/>
                <w:bCs/>
                <w:sz w:val="18"/>
                <w:szCs w:val="18"/>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7A214F">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B308AC">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7A214F" w:rsidP="008D2B6F">
            <w:pPr>
              <w:jc w:val="center"/>
              <w:rPr>
                <w:rFonts w:asciiTheme="minorBidi" w:hAnsiTheme="minorBidi" w:cstheme="minorBidi"/>
                <w:sz w:val="18"/>
                <w:szCs w:val="18"/>
                <w:lang w:val="fr-FR"/>
              </w:rPr>
            </w:pPr>
            <w:r>
              <w:rPr>
                <w:rFonts w:asciiTheme="minorBidi" w:hAnsiTheme="minorBidi" w:cstheme="minorBidi"/>
                <w:sz w:val="18"/>
                <w:szCs w:val="18"/>
              </w:rPr>
              <w:t>Third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241D99" w:rsidRPr="00BD39D7" w:rsidRDefault="007A214F" w:rsidP="008D2B6F">
            <w:pPr>
              <w:jc w:val="center"/>
              <w:rPr>
                <w:rFonts w:asciiTheme="minorBidi" w:hAnsiTheme="minorBidi" w:cstheme="minorBidi"/>
                <w:sz w:val="18"/>
                <w:szCs w:val="18"/>
              </w:rPr>
            </w:pPr>
            <w:r>
              <w:rPr>
                <w:rFonts w:asciiTheme="minorBidi" w:hAnsiTheme="minorBidi" w:cstheme="minorBidi"/>
                <w:sz w:val="18"/>
                <w:szCs w:val="18"/>
              </w:rPr>
              <w:t>second</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850" w:type="dxa"/>
            <w:tcBorders>
              <w:bottom w:val="single" w:sz="4" w:space="0" w:color="auto"/>
            </w:tcBorders>
            <w:vAlign w:val="center"/>
          </w:tcPr>
          <w:p w:rsidR="00241D99" w:rsidRPr="00BD39D7" w:rsidRDefault="007A214F" w:rsidP="004D005C">
            <w:pPr>
              <w:bidi w:val="0"/>
              <w:jc w:val="center"/>
              <w:rPr>
                <w:rFonts w:asciiTheme="minorBidi" w:hAnsiTheme="minorBidi" w:cstheme="minorBidi"/>
                <w:sz w:val="18"/>
                <w:szCs w:val="18"/>
                <w:rtl/>
              </w:rPr>
            </w:pPr>
            <w:r>
              <w:rPr>
                <w:rFonts w:asciiTheme="minorBidi" w:hAnsiTheme="minorBidi" w:cstheme="minorBidi"/>
                <w:sz w:val="18"/>
                <w:szCs w:val="18"/>
              </w:rPr>
              <w:t>Third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560"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716F2A" w:rsidRPr="00AB2CF1" w:rsidTr="00B308AC">
        <w:trPr>
          <w:trHeight w:val="340"/>
        </w:trPr>
        <w:tc>
          <w:tcPr>
            <w:tcW w:w="3358" w:type="dxa"/>
            <w:tcBorders>
              <w:top w:val="single" w:sz="4" w:space="0" w:color="auto"/>
              <w:left w:val="single" w:sz="4" w:space="0" w:color="auto"/>
              <w:bottom w:val="nil"/>
              <w:right w:val="single" w:sz="4" w:space="0" w:color="auto"/>
            </w:tcBorders>
            <w:vAlign w:val="center"/>
          </w:tcPr>
          <w:p w:rsidR="00716F2A" w:rsidRPr="00AB2CF1" w:rsidRDefault="00716F2A"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716F2A" w:rsidRPr="001C57F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73</w:t>
            </w:r>
          </w:p>
        </w:tc>
        <w:tc>
          <w:tcPr>
            <w:tcW w:w="992" w:type="dxa"/>
            <w:tcBorders>
              <w:top w:val="single" w:sz="4" w:space="0" w:color="auto"/>
              <w:left w:val="nil"/>
              <w:bottom w:val="nil"/>
              <w:right w:val="nil"/>
            </w:tcBorders>
            <w:vAlign w:val="center"/>
          </w:tcPr>
          <w:p w:rsidR="00716F2A" w:rsidRPr="001C57F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850" w:type="dxa"/>
            <w:tcBorders>
              <w:top w:val="single" w:sz="4" w:space="0" w:color="auto"/>
              <w:left w:val="nil"/>
              <w:bottom w:val="nil"/>
              <w:right w:val="nil"/>
            </w:tcBorders>
            <w:vAlign w:val="center"/>
          </w:tcPr>
          <w:p w:rsidR="00716F2A" w:rsidRPr="001C57F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52</w:t>
            </w:r>
          </w:p>
        </w:tc>
        <w:tc>
          <w:tcPr>
            <w:tcW w:w="1560" w:type="dxa"/>
            <w:tcBorders>
              <w:top w:val="single" w:sz="4" w:space="0" w:color="auto"/>
              <w:left w:val="nil"/>
              <w:bottom w:val="nil"/>
              <w:right w:val="nil"/>
            </w:tcBorders>
            <w:vAlign w:val="center"/>
          </w:tcPr>
          <w:p w:rsidR="00716F2A" w:rsidRPr="001C57F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23.7</w:t>
            </w:r>
          </w:p>
        </w:tc>
        <w:tc>
          <w:tcPr>
            <w:tcW w:w="1381" w:type="dxa"/>
            <w:tcBorders>
              <w:top w:val="single" w:sz="4" w:space="0" w:color="auto"/>
              <w:left w:val="nil"/>
              <w:bottom w:val="nil"/>
              <w:right w:val="single" w:sz="4" w:space="0" w:color="auto"/>
            </w:tcBorders>
            <w:vAlign w:val="center"/>
          </w:tcPr>
          <w:p w:rsidR="00716F2A" w:rsidRPr="001C57F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40.4</w:t>
            </w:r>
          </w:p>
        </w:tc>
      </w:tr>
      <w:tr w:rsidR="00716F2A" w:rsidRPr="00AB2CF1" w:rsidTr="00B308AC">
        <w:trPr>
          <w:trHeight w:val="340"/>
        </w:trPr>
        <w:tc>
          <w:tcPr>
            <w:tcW w:w="3358" w:type="dxa"/>
            <w:tcBorders>
              <w:top w:val="nil"/>
              <w:left w:val="single" w:sz="4" w:space="0" w:color="auto"/>
              <w:bottom w:val="single" w:sz="4" w:space="0" w:color="auto"/>
              <w:right w:val="single" w:sz="4" w:space="0" w:color="auto"/>
            </w:tcBorders>
            <w:vAlign w:val="center"/>
          </w:tcPr>
          <w:p w:rsidR="00716F2A" w:rsidRPr="00AB2CF1" w:rsidRDefault="00716F2A"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716F2A" w:rsidRPr="001C57F0" w:rsidRDefault="00716F2A" w:rsidP="003A3AE3">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w:t>
            </w:r>
          </w:p>
        </w:tc>
        <w:tc>
          <w:tcPr>
            <w:tcW w:w="992" w:type="dxa"/>
            <w:tcBorders>
              <w:top w:val="nil"/>
              <w:left w:val="nil"/>
              <w:bottom w:val="single" w:sz="4" w:space="0" w:color="auto"/>
              <w:right w:val="nil"/>
            </w:tcBorders>
            <w:vAlign w:val="center"/>
          </w:tcPr>
          <w:p w:rsidR="00716F2A" w:rsidRPr="001C57F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6.0</w:t>
            </w:r>
          </w:p>
        </w:tc>
        <w:tc>
          <w:tcPr>
            <w:tcW w:w="850" w:type="dxa"/>
            <w:tcBorders>
              <w:top w:val="nil"/>
              <w:left w:val="nil"/>
              <w:bottom w:val="single" w:sz="4" w:space="0" w:color="auto"/>
              <w:right w:val="nil"/>
            </w:tcBorders>
            <w:vAlign w:val="center"/>
          </w:tcPr>
          <w:p w:rsidR="00716F2A" w:rsidRPr="001C57F0" w:rsidRDefault="00716F2A" w:rsidP="003A3AE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4.7</w:t>
            </w:r>
          </w:p>
        </w:tc>
        <w:tc>
          <w:tcPr>
            <w:tcW w:w="1560" w:type="dxa"/>
            <w:tcBorders>
              <w:top w:val="nil"/>
              <w:left w:val="nil"/>
              <w:bottom w:val="single" w:sz="4" w:space="0" w:color="auto"/>
              <w:right w:val="nil"/>
            </w:tcBorders>
            <w:vAlign w:val="center"/>
          </w:tcPr>
          <w:p w:rsidR="00716F2A" w:rsidRPr="001C57F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11.7</w:t>
            </w:r>
          </w:p>
        </w:tc>
        <w:tc>
          <w:tcPr>
            <w:tcW w:w="1381" w:type="dxa"/>
            <w:tcBorders>
              <w:top w:val="nil"/>
              <w:left w:val="nil"/>
              <w:bottom w:val="single" w:sz="4" w:space="0" w:color="auto"/>
              <w:right w:val="single" w:sz="4" w:space="0" w:color="auto"/>
            </w:tcBorders>
            <w:vAlign w:val="center"/>
          </w:tcPr>
          <w:p w:rsidR="00716F2A" w:rsidRPr="001C57F0"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42.6</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Pr="00AB2CF1" w:rsidRDefault="008A0D39" w:rsidP="00EA710E">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EA710E" w:rsidRDefault="00EA710E" w:rsidP="007A214F">
      <w:pPr>
        <w:bidi w:val="0"/>
        <w:ind w:right="-1"/>
        <w:jc w:val="lowKashida"/>
        <w:rPr>
          <w:b/>
          <w:bCs/>
          <w:sz w:val="24"/>
          <w:szCs w:val="24"/>
        </w:rPr>
      </w:pPr>
    </w:p>
    <w:p w:rsidR="009F67CA" w:rsidRPr="00AB2CF1" w:rsidRDefault="009F67CA" w:rsidP="00EA710E">
      <w:pPr>
        <w:bidi w:val="0"/>
        <w:ind w:right="-1"/>
        <w:jc w:val="lowKashida"/>
        <w:rPr>
          <w:sz w:val="24"/>
          <w:szCs w:val="24"/>
        </w:rPr>
      </w:pPr>
      <w:r w:rsidRPr="00AB2CF1">
        <w:rPr>
          <w:b/>
          <w:bCs/>
          <w:sz w:val="24"/>
          <w:szCs w:val="24"/>
        </w:rPr>
        <w:t xml:space="preserve">1.5 </w:t>
      </w:r>
      <w:r w:rsidR="00456A95" w:rsidRPr="00AB2CF1">
        <w:rPr>
          <w:b/>
          <w:bCs/>
          <w:sz w:val="24"/>
          <w:szCs w:val="24"/>
        </w:rPr>
        <w:t xml:space="preserve">Number and </w:t>
      </w:r>
      <w:r w:rsidR="00456A95">
        <w:rPr>
          <w:b/>
          <w:bCs/>
          <w:sz w:val="24"/>
          <w:szCs w:val="24"/>
        </w:rPr>
        <w:t>A</w:t>
      </w:r>
      <w:r w:rsidR="00456A95" w:rsidRPr="00AB2CF1">
        <w:rPr>
          <w:b/>
          <w:bCs/>
          <w:sz w:val="24"/>
          <w:szCs w:val="24"/>
        </w:rPr>
        <w:t xml:space="preserve">rea of </w:t>
      </w:r>
      <w:r w:rsidR="00456A95">
        <w:rPr>
          <w:b/>
          <w:bCs/>
          <w:sz w:val="24"/>
          <w:szCs w:val="24"/>
        </w:rPr>
        <w:t>L</w:t>
      </w:r>
      <w:r w:rsidR="00456A95" w:rsidRPr="00AB2CF1">
        <w:rPr>
          <w:b/>
          <w:bCs/>
          <w:sz w:val="24"/>
          <w:szCs w:val="24"/>
        </w:rPr>
        <w:t xml:space="preserve">icensed </w:t>
      </w:r>
      <w:r w:rsidR="00456A95">
        <w:rPr>
          <w:b/>
          <w:bCs/>
          <w:sz w:val="24"/>
          <w:szCs w:val="24"/>
        </w:rPr>
        <w:t>D</w:t>
      </w:r>
      <w:r w:rsidR="00456A95" w:rsidRPr="00AB2CF1">
        <w:rPr>
          <w:b/>
          <w:bCs/>
          <w:sz w:val="24"/>
          <w:szCs w:val="24"/>
        </w:rPr>
        <w:t>wellings</w:t>
      </w:r>
      <w:r w:rsidRPr="00AB2CF1">
        <w:rPr>
          <w:b/>
          <w:bCs/>
          <w:sz w:val="24"/>
          <w:szCs w:val="24"/>
        </w:rPr>
        <w:t>:</w:t>
      </w:r>
      <w:r w:rsidRPr="00AB2CF1">
        <w:rPr>
          <w:sz w:val="24"/>
          <w:szCs w:val="24"/>
        </w:rPr>
        <w:t xml:space="preserve"> </w:t>
      </w:r>
      <w:r w:rsidR="00EC622D" w:rsidRPr="00AB2CF1">
        <w:rPr>
          <w:sz w:val="24"/>
          <w:szCs w:val="24"/>
        </w:rPr>
        <w:t xml:space="preserve">The following table compares the number and total area of licensed dwellings in </w:t>
      </w:r>
      <w:r w:rsidR="00250A24">
        <w:rPr>
          <w:sz w:val="24"/>
          <w:szCs w:val="24"/>
        </w:rPr>
        <w:t>Palestine</w:t>
      </w:r>
      <w:r w:rsidR="008A0D39">
        <w:rPr>
          <w:sz w:val="24"/>
          <w:szCs w:val="24"/>
        </w:rPr>
        <w:t>*</w:t>
      </w:r>
      <w:r w:rsidR="00EC622D" w:rsidRPr="00AB2CF1">
        <w:rPr>
          <w:sz w:val="24"/>
          <w:szCs w:val="24"/>
        </w:rPr>
        <w:t xml:space="preserve"> for the </w:t>
      </w:r>
      <w:r w:rsidR="007A214F">
        <w:rPr>
          <w:rFonts w:cs="Times New Roman"/>
          <w:sz w:val="24"/>
          <w:szCs w:val="24"/>
        </w:rPr>
        <w:t>Third</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cs="Times New Roman"/>
          <w:sz w:val="24"/>
          <w:szCs w:val="24"/>
        </w:rPr>
        <w:t xml:space="preserve"> of </w:t>
      </w:r>
      <w:r w:rsidR="007F6DCD">
        <w:rPr>
          <w:rFonts w:cs="Times New Roman"/>
          <w:sz w:val="24"/>
          <w:szCs w:val="24"/>
        </w:rPr>
        <w:t>2013</w:t>
      </w:r>
      <w:r w:rsidR="00EC622D" w:rsidRPr="00AB2CF1">
        <w:rPr>
          <w:rFonts w:cs="Times New Roman"/>
          <w:sz w:val="24"/>
          <w:szCs w:val="24"/>
        </w:rPr>
        <w:t xml:space="preserve"> </w:t>
      </w:r>
      <w:r w:rsidR="00EC622D" w:rsidRPr="00AB2CF1">
        <w:rPr>
          <w:sz w:val="24"/>
          <w:szCs w:val="24"/>
        </w:rPr>
        <w:t>with the previous and corresponding quarters:</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110FD6" w:rsidRPr="00AB2CF1" w:rsidTr="00283473">
        <w:trPr>
          <w:trHeight w:val="566"/>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110FD6" w:rsidRPr="00AB2CF1" w:rsidRDefault="00110FD6"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110FD6" w:rsidRPr="00BD39D7" w:rsidRDefault="00110FD6" w:rsidP="007A21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A214F">
              <w:rPr>
                <w:rFonts w:asciiTheme="minorBidi" w:hAnsiTheme="minorBidi" w:cstheme="minorBidi"/>
                <w:b/>
                <w:bCs/>
                <w:sz w:val="18"/>
                <w:szCs w:val="18"/>
              </w:rPr>
              <w:t>Third</w:t>
            </w:r>
            <w:r w:rsidR="004D005C">
              <w:rPr>
                <w:rFonts w:asciiTheme="minorBidi" w:hAnsiTheme="minorBidi" w:cstheme="minorBidi"/>
                <w:b/>
                <w:bCs/>
                <w:sz w:val="18"/>
                <w:szCs w:val="18"/>
              </w:rPr>
              <w:t xml:space="preserve"> </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7A214F" w:rsidP="008D2B6F">
            <w:pPr>
              <w:bidi w:val="0"/>
              <w:jc w:val="center"/>
              <w:rPr>
                <w:rFonts w:asciiTheme="minorBidi" w:hAnsiTheme="minorBidi" w:cstheme="minorBidi"/>
                <w:b/>
                <w:bCs/>
                <w:sz w:val="18"/>
                <w:szCs w:val="18"/>
              </w:rPr>
            </w:pPr>
            <w:r>
              <w:rPr>
                <w:rFonts w:asciiTheme="minorBidi" w:hAnsiTheme="minorBidi" w:cstheme="minorBidi"/>
                <w:b/>
                <w:bCs/>
                <w:sz w:val="18"/>
                <w:szCs w:val="18"/>
              </w:rPr>
              <w:t>Second</w:t>
            </w:r>
            <w:r w:rsidR="00110FD6">
              <w:rPr>
                <w:rFonts w:asciiTheme="minorBidi" w:hAnsiTheme="minorBidi" w:cstheme="minorBidi"/>
                <w:b/>
                <w:bCs/>
                <w:sz w:val="18"/>
                <w:szCs w:val="18"/>
              </w:rPr>
              <w:t xml:space="preserve"> quarter</w:t>
            </w:r>
            <w:r w:rsidR="00110FD6" w:rsidRPr="00BD39D7">
              <w:rPr>
                <w:rFonts w:asciiTheme="minorBidi" w:hAnsiTheme="minorBidi" w:cstheme="minorBidi"/>
                <w:b/>
                <w:bCs/>
                <w:sz w:val="18"/>
                <w:szCs w:val="18"/>
              </w:rPr>
              <w:t xml:space="preserve"> </w:t>
            </w:r>
          </w:p>
          <w:p w:rsidR="00110FD6" w:rsidRPr="00BD39D7" w:rsidRDefault="00110FD6" w:rsidP="0050464E">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50464E">
              <w:rPr>
                <w:rFonts w:asciiTheme="minorBidi" w:hAnsiTheme="minorBidi" w:cstheme="minorBidi"/>
                <w:b/>
                <w:bCs/>
                <w:sz w:val="18"/>
                <w:szCs w:val="18"/>
              </w:rPr>
              <w:t>3</w:t>
            </w:r>
          </w:p>
        </w:tc>
        <w:tc>
          <w:tcPr>
            <w:tcW w:w="1381" w:type="dxa"/>
            <w:vMerge w:val="restart"/>
            <w:vAlign w:val="center"/>
          </w:tcPr>
          <w:p w:rsidR="00110FD6" w:rsidRPr="00BD39D7" w:rsidRDefault="00110FD6" w:rsidP="007A214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A214F">
              <w:rPr>
                <w:rFonts w:asciiTheme="minorBidi" w:hAnsiTheme="minorBidi" w:cstheme="minorBidi"/>
                <w:b/>
                <w:bCs/>
                <w:sz w:val="18"/>
                <w:szCs w:val="18"/>
              </w:rPr>
              <w:t>Third</w:t>
            </w:r>
            <w:r w:rsidR="004D005C">
              <w:rPr>
                <w:rFonts w:asciiTheme="minorBidi" w:hAnsiTheme="minorBidi" w:cstheme="minorBidi"/>
                <w:b/>
                <w:bCs/>
                <w:sz w:val="18"/>
                <w:szCs w:val="18"/>
              </w:rPr>
              <w:t xml:space="preserve"> </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7A214F">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7A214F">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283473">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7A214F" w:rsidP="008D2B6F">
            <w:pPr>
              <w:jc w:val="center"/>
              <w:rPr>
                <w:rFonts w:asciiTheme="minorBidi" w:hAnsiTheme="minorBidi" w:cstheme="minorBidi"/>
                <w:sz w:val="18"/>
                <w:szCs w:val="18"/>
                <w:lang w:val="fr-FR"/>
              </w:rPr>
            </w:pPr>
            <w:r>
              <w:rPr>
                <w:rFonts w:asciiTheme="minorBidi" w:hAnsiTheme="minorBidi" w:cstheme="minorBidi"/>
                <w:sz w:val="18"/>
                <w:szCs w:val="18"/>
              </w:rPr>
              <w:t>Third</w:t>
            </w:r>
            <w:r w:rsidR="004D005C">
              <w:rPr>
                <w:rFonts w:asciiTheme="minorBidi" w:hAnsiTheme="minorBidi" w:cstheme="minorBidi"/>
                <w:sz w:val="18"/>
                <w:szCs w:val="18"/>
              </w:rPr>
              <w:t xml:space="preserve"> </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241D99" w:rsidRPr="00BD39D7" w:rsidRDefault="007A214F" w:rsidP="008D2B6F">
            <w:pPr>
              <w:jc w:val="center"/>
              <w:rPr>
                <w:rFonts w:asciiTheme="minorBidi" w:hAnsiTheme="minorBidi" w:cstheme="minorBidi"/>
                <w:sz w:val="18"/>
                <w:szCs w:val="18"/>
              </w:rPr>
            </w:pPr>
            <w:r>
              <w:rPr>
                <w:rFonts w:asciiTheme="minorBidi" w:hAnsiTheme="minorBidi" w:cstheme="minorBidi"/>
                <w:sz w:val="18"/>
                <w:szCs w:val="18"/>
              </w:rPr>
              <w:t>second</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992" w:type="dxa"/>
            <w:tcBorders>
              <w:bottom w:val="single" w:sz="4" w:space="0" w:color="auto"/>
            </w:tcBorders>
            <w:vAlign w:val="center"/>
          </w:tcPr>
          <w:p w:rsidR="00241D99" w:rsidRPr="00BD39D7" w:rsidRDefault="007A214F" w:rsidP="008D2B6F">
            <w:pPr>
              <w:bidi w:val="0"/>
              <w:jc w:val="center"/>
              <w:rPr>
                <w:rFonts w:asciiTheme="minorBidi" w:hAnsiTheme="minorBidi" w:cstheme="minorBidi"/>
                <w:sz w:val="18"/>
                <w:szCs w:val="18"/>
                <w:rtl/>
              </w:rPr>
            </w:pPr>
            <w:r>
              <w:rPr>
                <w:rFonts w:asciiTheme="minorBidi" w:hAnsiTheme="minorBidi" w:cstheme="minorBidi"/>
                <w:sz w:val="18"/>
                <w:szCs w:val="18"/>
              </w:rPr>
              <w:t>Third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41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r>
      <w:tr w:rsidR="00716F2A"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716F2A" w:rsidRPr="00AB2CF1" w:rsidRDefault="00716F2A"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3,926</w:t>
            </w:r>
          </w:p>
        </w:tc>
        <w:tc>
          <w:tcPr>
            <w:tcW w:w="992" w:type="dxa"/>
            <w:tcBorders>
              <w:top w:val="single" w:sz="4" w:space="0" w:color="auto"/>
              <w:left w:val="nil"/>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3,540</w:t>
            </w:r>
          </w:p>
        </w:tc>
        <w:tc>
          <w:tcPr>
            <w:tcW w:w="992" w:type="dxa"/>
            <w:tcBorders>
              <w:top w:val="single" w:sz="4" w:space="0" w:color="auto"/>
              <w:left w:val="nil"/>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3,107</w:t>
            </w:r>
          </w:p>
        </w:tc>
        <w:tc>
          <w:tcPr>
            <w:tcW w:w="1418" w:type="dxa"/>
            <w:tcBorders>
              <w:top w:val="single" w:sz="4" w:space="0" w:color="auto"/>
              <w:left w:val="nil"/>
              <w:bottom w:val="nil"/>
              <w:right w:val="nil"/>
            </w:tcBorders>
            <w:vAlign w:val="center"/>
          </w:tcPr>
          <w:p w:rsidR="00716F2A" w:rsidRPr="004F7BF3" w:rsidRDefault="00716F2A" w:rsidP="003A3AE3">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10.9</w:t>
            </w:r>
          </w:p>
        </w:tc>
        <w:tc>
          <w:tcPr>
            <w:tcW w:w="1381" w:type="dxa"/>
            <w:tcBorders>
              <w:top w:val="single" w:sz="4" w:space="0" w:color="auto"/>
              <w:left w:val="nil"/>
              <w:bottom w:val="nil"/>
              <w:right w:val="single" w:sz="4" w:space="0" w:color="auto"/>
            </w:tcBorders>
            <w:vAlign w:val="center"/>
          </w:tcPr>
          <w:p w:rsidR="00716F2A" w:rsidRPr="004F7BF3"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26.4</w:t>
            </w:r>
          </w:p>
        </w:tc>
      </w:tr>
      <w:tr w:rsidR="00716F2A" w:rsidRPr="00AB2CF1" w:rsidTr="009B3155">
        <w:trPr>
          <w:trHeight w:val="340"/>
        </w:trPr>
        <w:tc>
          <w:tcPr>
            <w:tcW w:w="3358" w:type="dxa"/>
            <w:tcBorders>
              <w:top w:val="nil"/>
              <w:left w:val="single" w:sz="4" w:space="0" w:color="auto"/>
              <w:bottom w:val="nil"/>
              <w:right w:val="single" w:sz="4" w:space="0" w:color="auto"/>
            </w:tcBorders>
            <w:vAlign w:val="center"/>
          </w:tcPr>
          <w:p w:rsidR="00716F2A" w:rsidRPr="00AB2CF1" w:rsidRDefault="00716F2A"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675.3</w:t>
            </w:r>
          </w:p>
        </w:tc>
        <w:tc>
          <w:tcPr>
            <w:tcW w:w="992" w:type="dxa"/>
            <w:tcBorders>
              <w:top w:val="nil"/>
              <w:left w:val="nil"/>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593.5</w:t>
            </w:r>
          </w:p>
        </w:tc>
        <w:tc>
          <w:tcPr>
            <w:tcW w:w="992" w:type="dxa"/>
            <w:tcBorders>
              <w:top w:val="nil"/>
              <w:left w:val="nil"/>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529.6</w:t>
            </w:r>
          </w:p>
        </w:tc>
        <w:tc>
          <w:tcPr>
            <w:tcW w:w="1418" w:type="dxa"/>
            <w:tcBorders>
              <w:top w:val="nil"/>
              <w:left w:val="nil"/>
              <w:bottom w:val="nil"/>
              <w:right w:val="nil"/>
            </w:tcBorders>
            <w:vAlign w:val="center"/>
          </w:tcPr>
          <w:p w:rsidR="00716F2A" w:rsidRPr="004F7BF3"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13.8</w:t>
            </w:r>
          </w:p>
        </w:tc>
        <w:tc>
          <w:tcPr>
            <w:tcW w:w="1381" w:type="dxa"/>
            <w:tcBorders>
              <w:top w:val="nil"/>
              <w:left w:val="nil"/>
              <w:bottom w:val="nil"/>
              <w:right w:val="single" w:sz="4" w:space="0" w:color="auto"/>
            </w:tcBorders>
            <w:vAlign w:val="center"/>
          </w:tcPr>
          <w:p w:rsidR="00716F2A" w:rsidRPr="004F7BF3" w:rsidRDefault="007D7395" w:rsidP="007D73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27.5</w:t>
            </w:r>
          </w:p>
        </w:tc>
      </w:tr>
      <w:tr w:rsidR="00716F2A" w:rsidRPr="00AB2CF1" w:rsidTr="009B3155">
        <w:trPr>
          <w:trHeight w:val="340"/>
        </w:trPr>
        <w:tc>
          <w:tcPr>
            <w:tcW w:w="3358" w:type="dxa"/>
            <w:tcBorders>
              <w:top w:val="nil"/>
              <w:left w:val="single" w:sz="4" w:space="0" w:color="auto"/>
              <w:bottom w:val="nil"/>
              <w:right w:val="single" w:sz="4" w:space="0" w:color="auto"/>
            </w:tcBorders>
            <w:vAlign w:val="center"/>
          </w:tcPr>
          <w:p w:rsidR="00716F2A" w:rsidRPr="00AB2CF1" w:rsidRDefault="00716F2A"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656</w:t>
            </w:r>
          </w:p>
        </w:tc>
        <w:tc>
          <w:tcPr>
            <w:tcW w:w="992" w:type="dxa"/>
            <w:tcBorders>
              <w:top w:val="nil"/>
              <w:left w:val="nil"/>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829</w:t>
            </w:r>
          </w:p>
        </w:tc>
        <w:tc>
          <w:tcPr>
            <w:tcW w:w="992" w:type="dxa"/>
            <w:tcBorders>
              <w:top w:val="nil"/>
              <w:left w:val="nil"/>
              <w:bottom w:val="nil"/>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w:t>
            </w:r>
          </w:p>
        </w:tc>
        <w:tc>
          <w:tcPr>
            <w:tcW w:w="1418" w:type="dxa"/>
            <w:tcBorders>
              <w:top w:val="nil"/>
              <w:left w:val="nil"/>
              <w:bottom w:val="nil"/>
              <w:right w:val="nil"/>
            </w:tcBorders>
            <w:vAlign w:val="center"/>
          </w:tcPr>
          <w:p w:rsidR="00716F2A" w:rsidRPr="004F7BF3"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20.9-</w:t>
            </w:r>
          </w:p>
        </w:tc>
        <w:tc>
          <w:tcPr>
            <w:tcW w:w="1381" w:type="dxa"/>
            <w:tcBorders>
              <w:top w:val="nil"/>
              <w:left w:val="nil"/>
              <w:bottom w:val="nil"/>
              <w:right w:val="single" w:sz="4" w:space="0" w:color="auto"/>
            </w:tcBorders>
            <w:vAlign w:val="center"/>
          </w:tcPr>
          <w:p w:rsidR="00716F2A" w:rsidRPr="004F7BF3"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21.3</w:t>
            </w:r>
          </w:p>
        </w:tc>
      </w:tr>
      <w:tr w:rsidR="00716F2A"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716F2A" w:rsidRPr="00AB2CF1" w:rsidRDefault="00716F2A"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106.2</w:t>
            </w:r>
          </w:p>
        </w:tc>
        <w:tc>
          <w:tcPr>
            <w:tcW w:w="992" w:type="dxa"/>
            <w:tcBorders>
              <w:top w:val="nil"/>
              <w:left w:val="nil"/>
              <w:bottom w:val="single" w:sz="4" w:space="0" w:color="auto"/>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144.9</w:t>
            </w:r>
          </w:p>
        </w:tc>
        <w:tc>
          <w:tcPr>
            <w:tcW w:w="992" w:type="dxa"/>
            <w:tcBorders>
              <w:top w:val="nil"/>
              <w:left w:val="nil"/>
              <w:bottom w:val="single" w:sz="4" w:space="0" w:color="auto"/>
              <w:right w:val="nil"/>
            </w:tcBorders>
            <w:vAlign w:val="center"/>
          </w:tcPr>
          <w:p w:rsidR="00716F2A" w:rsidRPr="00A8090F" w:rsidRDefault="00716F2A" w:rsidP="003A3AE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92.7</w:t>
            </w:r>
          </w:p>
        </w:tc>
        <w:tc>
          <w:tcPr>
            <w:tcW w:w="1418" w:type="dxa"/>
            <w:tcBorders>
              <w:top w:val="nil"/>
              <w:left w:val="nil"/>
              <w:bottom w:val="single" w:sz="4" w:space="0" w:color="auto"/>
              <w:right w:val="nil"/>
            </w:tcBorders>
            <w:vAlign w:val="center"/>
          </w:tcPr>
          <w:p w:rsidR="00716F2A" w:rsidRPr="004F7BF3"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26.7-</w:t>
            </w:r>
          </w:p>
        </w:tc>
        <w:tc>
          <w:tcPr>
            <w:tcW w:w="1381" w:type="dxa"/>
            <w:tcBorders>
              <w:top w:val="nil"/>
              <w:left w:val="nil"/>
              <w:bottom w:val="single" w:sz="4" w:space="0" w:color="auto"/>
              <w:right w:val="single" w:sz="4" w:space="0" w:color="auto"/>
            </w:tcBorders>
            <w:vAlign w:val="center"/>
          </w:tcPr>
          <w:p w:rsidR="00716F2A" w:rsidRPr="004F7BF3" w:rsidRDefault="00716F2A" w:rsidP="003A3AE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14.6</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C53343" w:rsidRDefault="00C53343" w:rsidP="0007460F">
      <w:pPr>
        <w:bidi w:val="0"/>
        <w:ind w:right="-2"/>
        <w:jc w:val="center"/>
        <w:rPr>
          <w:sz w:val="24"/>
          <w:szCs w:val="24"/>
        </w:rPr>
      </w:pPr>
      <w:r>
        <w:rPr>
          <w:sz w:val="24"/>
          <w:szCs w:val="24"/>
        </w:rPr>
        <w:lastRenderedPageBreak/>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456A95" w:rsidRPr="000C0E0B" w:rsidRDefault="00456A95" w:rsidP="00456A95">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98572B" w:rsidRDefault="0098572B" w:rsidP="0098572B">
      <w:pPr>
        <w:tabs>
          <w:tab w:val="right" w:pos="9072"/>
        </w:tabs>
        <w:bidi w:val="0"/>
        <w:ind w:right="720"/>
        <w:jc w:val="both"/>
        <w:rPr>
          <w:sz w:val="24"/>
          <w:szCs w:val="24"/>
        </w:rPr>
      </w:pPr>
    </w:p>
    <w:p w:rsidR="0098572B" w:rsidRPr="00653646" w:rsidRDefault="0098572B" w:rsidP="006C3812">
      <w:pPr>
        <w:tabs>
          <w:tab w:val="right" w:pos="9072"/>
        </w:tabs>
        <w:bidi w:val="0"/>
        <w:ind w:right="720"/>
        <w:jc w:val="both"/>
        <w:rPr>
          <w:b/>
          <w:bCs/>
          <w:sz w:val="24"/>
          <w:szCs w:val="24"/>
        </w:rPr>
      </w:pPr>
      <w:r w:rsidRPr="00653646">
        <w:rPr>
          <w:b/>
          <w:bCs/>
          <w:sz w:val="24"/>
          <w:szCs w:val="24"/>
        </w:rPr>
        <w:t>2.</w:t>
      </w:r>
      <w:r w:rsidR="006C3812" w:rsidRPr="00653646">
        <w:rPr>
          <w:b/>
          <w:bCs/>
          <w:sz w:val="24"/>
          <w:szCs w:val="24"/>
        </w:rPr>
        <w:t>2 Coverage</w:t>
      </w:r>
    </w:p>
    <w:p w:rsidR="00226D02" w:rsidRPr="00653646" w:rsidRDefault="00226D02" w:rsidP="00226D02">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232717" w:rsidRPr="00653646" w:rsidRDefault="00B86EA9" w:rsidP="006C3812">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6C3812" w:rsidRPr="00653646">
        <w:rPr>
          <w:b/>
          <w:bCs/>
          <w:sz w:val="24"/>
          <w:szCs w:val="24"/>
        </w:rPr>
        <w:t>Data Collection</w:t>
      </w:r>
    </w:p>
    <w:p w:rsidR="00232717" w:rsidRPr="00653646" w:rsidRDefault="00226D02" w:rsidP="00B86EA9">
      <w:pPr>
        <w:tabs>
          <w:tab w:val="right" w:pos="9072"/>
        </w:tabs>
        <w:bidi w:val="0"/>
        <w:ind w:right="-2"/>
        <w:jc w:val="both"/>
        <w:rPr>
          <w:sz w:val="24"/>
          <w:szCs w:val="24"/>
        </w:rPr>
      </w:pPr>
      <w:r w:rsidRPr="00653646">
        <w:rPr>
          <w:sz w:val="24"/>
          <w:szCs w:val="24"/>
        </w:rPr>
        <w:t>Data was collected by field workers through direct interviews with the issuing authority and according to use</w:t>
      </w:r>
      <w:r w:rsidR="00B86EA9" w:rsidRPr="00653646">
        <w:rPr>
          <w:sz w:val="24"/>
          <w:szCs w:val="24"/>
        </w:rPr>
        <w:t xml:space="preserve">. </w:t>
      </w:r>
    </w:p>
    <w:p w:rsidR="004722EF" w:rsidRPr="00653646" w:rsidRDefault="004722EF" w:rsidP="004722EF">
      <w:pPr>
        <w:tabs>
          <w:tab w:val="right" w:pos="9072"/>
        </w:tabs>
        <w:bidi w:val="0"/>
        <w:ind w:right="-2"/>
        <w:jc w:val="both"/>
        <w:rPr>
          <w:sz w:val="24"/>
          <w:szCs w:val="24"/>
        </w:rPr>
      </w:pPr>
    </w:p>
    <w:p w:rsidR="004722EF" w:rsidRPr="00653646" w:rsidRDefault="004722EF" w:rsidP="006C3812">
      <w:pPr>
        <w:tabs>
          <w:tab w:val="right" w:pos="9072"/>
        </w:tabs>
        <w:bidi w:val="0"/>
        <w:ind w:right="-2"/>
        <w:jc w:val="both"/>
        <w:rPr>
          <w:b/>
          <w:bCs/>
          <w:sz w:val="24"/>
          <w:szCs w:val="24"/>
        </w:rPr>
      </w:pPr>
      <w:r w:rsidRPr="00653646">
        <w:rPr>
          <w:b/>
          <w:bCs/>
          <w:sz w:val="24"/>
          <w:szCs w:val="24"/>
        </w:rPr>
        <w:t>2.</w:t>
      </w:r>
      <w:r w:rsidR="006C3812" w:rsidRPr="00653646">
        <w:rPr>
          <w:b/>
          <w:bCs/>
          <w:sz w:val="24"/>
          <w:szCs w:val="24"/>
        </w:rPr>
        <w:t>4</w:t>
      </w:r>
      <w:r w:rsidRPr="00653646">
        <w:rPr>
          <w:b/>
          <w:bCs/>
          <w:sz w:val="24"/>
          <w:szCs w:val="24"/>
        </w:rPr>
        <w:t xml:space="preserve"> </w:t>
      </w:r>
      <w:r w:rsidR="006C3812" w:rsidRPr="00653646">
        <w:rPr>
          <w:b/>
          <w:bCs/>
          <w:sz w:val="24"/>
          <w:szCs w:val="24"/>
        </w:rPr>
        <w:t>Data Entry Process</w:t>
      </w:r>
    </w:p>
    <w:p w:rsidR="00226D02" w:rsidRPr="00653646" w:rsidRDefault="00226D02" w:rsidP="00226D02">
      <w:pPr>
        <w:tabs>
          <w:tab w:val="right" w:pos="9072"/>
        </w:tabs>
        <w:bidi w:val="0"/>
        <w:ind w:right="-2"/>
        <w:jc w:val="both"/>
        <w:rPr>
          <w:sz w:val="24"/>
          <w:szCs w:val="24"/>
        </w:rPr>
      </w:pPr>
      <w:r w:rsidRPr="00653646">
        <w:rPr>
          <w:sz w:val="24"/>
          <w:szCs w:val="24"/>
        </w:rPr>
        <w:t>The instructions, forms and necessary tools for data entry were prepared in advance. Data entry workers were trained as supervisors and data entry operators. The data entry team was composed of an entry supervisor, data entry processors and entry checkers.</w:t>
      </w:r>
    </w:p>
    <w:p w:rsidR="00EF36BF" w:rsidRPr="00653646" w:rsidRDefault="00EF36BF" w:rsidP="00EF36BF">
      <w:pPr>
        <w:tabs>
          <w:tab w:val="right" w:pos="9072"/>
        </w:tabs>
        <w:bidi w:val="0"/>
        <w:ind w:right="-2"/>
        <w:jc w:val="both"/>
        <w:rPr>
          <w:sz w:val="24"/>
          <w:szCs w:val="24"/>
          <w:rtl/>
        </w:rPr>
      </w:pPr>
    </w:p>
    <w:p w:rsidR="00EF36BF" w:rsidRPr="00653646" w:rsidRDefault="00EF36BF" w:rsidP="00EF36BF">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Data </w:t>
      </w:r>
      <w:r w:rsidRPr="00653646">
        <w:rPr>
          <w:rStyle w:val="shorttext"/>
          <w:rFonts w:asciiTheme="majorBidi" w:hAnsiTheme="majorBidi" w:cstheme="majorBidi"/>
          <w:b/>
          <w:bCs/>
          <w:sz w:val="24"/>
          <w:szCs w:val="24"/>
        </w:rPr>
        <w:t xml:space="preserve">Processing and </w:t>
      </w:r>
      <w:r w:rsidRPr="00653646">
        <w:rPr>
          <w:rFonts w:asciiTheme="majorBidi" w:hAnsiTheme="majorBidi" w:cstheme="majorBidi"/>
          <w:b/>
          <w:bCs/>
          <w:sz w:val="24"/>
          <w:szCs w:val="24"/>
        </w:rPr>
        <w:t>Tabulation:</w:t>
      </w:r>
    </w:p>
    <w:p w:rsidR="00EF36BF" w:rsidRPr="00653646" w:rsidRDefault="00EF36BF" w:rsidP="00EF36BF">
      <w:pPr>
        <w:tabs>
          <w:tab w:val="right" w:pos="9072"/>
        </w:tabs>
        <w:bidi w:val="0"/>
        <w:ind w:right="-2"/>
        <w:jc w:val="both"/>
        <w:rPr>
          <w:sz w:val="24"/>
          <w:szCs w:val="24"/>
        </w:rPr>
      </w:pPr>
      <w:r w:rsidRPr="00653646">
        <w:rPr>
          <w:sz w:val="24"/>
          <w:szCs w:val="24"/>
        </w:rPr>
        <w:t>Following the processes of data entry, checking and rectification of work, preliminary tables of the survey results carried out by the responsible department, are prepared in accordance with the tabulation forms set previously for this survey. These tables are checked according to rules of modes and certain formula to obtain 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226D02" w:rsidP="00535D43">
      <w:pPr>
        <w:bidi w:val="0"/>
        <w:jc w:val="both"/>
        <w:rPr>
          <w:rFonts w:cs="Times New Roman"/>
          <w:color w:val="000000"/>
          <w:sz w:val="24"/>
          <w:szCs w:val="24"/>
          <w:lang w:bidi="ar-LB"/>
        </w:rPr>
      </w:pPr>
      <w:r>
        <w:rPr>
          <w:rFonts w:cs="Times New Roman"/>
          <w:color w:val="000000"/>
          <w:sz w:val="24"/>
          <w:szCs w:val="24"/>
          <w:lang w:bidi="ar-LB"/>
        </w:rPr>
        <w:t>Non-statistical errors are possible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r w:rsidR="00535D43">
        <w:rPr>
          <w:rFonts w:cs="Times New Roman"/>
          <w:color w:val="000000"/>
          <w:sz w:val="24"/>
          <w:szCs w:val="24"/>
          <w:lang w:bidi="ar-LB"/>
        </w:rPr>
        <w:t>.</w:t>
      </w:r>
    </w:p>
    <w:p w:rsidR="00535D43" w:rsidRDefault="00535D43" w:rsidP="00535D43">
      <w:pPr>
        <w:bidi w:val="0"/>
        <w:jc w:val="both"/>
        <w:rPr>
          <w:rFonts w:cs="Times New Roman"/>
          <w:color w:val="000000"/>
          <w:sz w:val="22"/>
          <w:szCs w:val="22"/>
          <w:lang w:bidi="ar-LB"/>
        </w:rPr>
      </w:pPr>
    </w:p>
    <w:p w:rsidR="00EF36BF" w:rsidRPr="00FE7096" w:rsidRDefault="00EF36BF" w:rsidP="00EF36BF">
      <w:pPr>
        <w:bidi w:val="0"/>
        <w:jc w:val="both"/>
        <w:rPr>
          <w:rFonts w:cs="Times New Roman"/>
          <w:color w:val="000000"/>
          <w:sz w:val="22"/>
          <w:szCs w:val="22"/>
          <w:lang w:bidi="ar-LB"/>
        </w:rPr>
      </w:pPr>
    </w:p>
    <w:p w:rsidR="00535D43" w:rsidRDefault="00535D43" w:rsidP="00EF36BF">
      <w:pPr>
        <w:bidi w:val="0"/>
        <w:jc w:val="both"/>
        <w:rPr>
          <w:rFonts w:cs="Times New Roman"/>
          <w:b/>
          <w:bCs/>
          <w:sz w:val="24"/>
          <w:szCs w:val="24"/>
        </w:rPr>
      </w:pPr>
      <w:r>
        <w:rPr>
          <w:rFonts w:cs="Times New Roman"/>
          <w:b/>
          <w:bCs/>
          <w:sz w:val="24"/>
          <w:szCs w:val="24"/>
        </w:rPr>
        <w:lastRenderedPageBreak/>
        <w:t>2.</w:t>
      </w:r>
      <w:r w:rsidR="00EF36BF">
        <w:rPr>
          <w:rFonts w:cs="Times New Roman"/>
          <w:b/>
          <w:bCs/>
          <w:sz w:val="24"/>
          <w:szCs w:val="24"/>
        </w:rPr>
        <w:t>7</w:t>
      </w:r>
      <w:r>
        <w:rPr>
          <w:rFonts w:cs="Times New Roman"/>
          <w:b/>
          <w:bCs/>
          <w:sz w:val="24"/>
          <w:szCs w:val="24"/>
        </w:rPr>
        <w:t xml:space="preserve">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EF36BF">
      <w:pPr>
        <w:bidi w:val="0"/>
        <w:ind w:right="360"/>
        <w:jc w:val="both"/>
        <w:rPr>
          <w:rFonts w:cs="Times New Roman"/>
          <w:b/>
          <w:bCs/>
          <w:color w:val="000000"/>
          <w:sz w:val="24"/>
          <w:szCs w:val="24"/>
        </w:rPr>
      </w:pPr>
      <w:r>
        <w:rPr>
          <w:rFonts w:cs="Times New Roman"/>
          <w:b/>
          <w:bCs/>
          <w:color w:val="000000"/>
          <w:sz w:val="24"/>
          <w:szCs w:val="24"/>
        </w:rPr>
        <w:t>2.</w:t>
      </w:r>
      <w:r w:rsidR="00EF36BF">
        <w:rPr>
          <w:rFonts w:cs="Times New Roman"/>
          <w:b/>
          <w:bCs/>
          <w:color w:val="000000"/>
          <w:sz w:val="24"/>
          <w:szCs w:val="24"/>
        </w:rPr>
        <w:t>8</w:t>
      </w:r>
      <w:r>
        <w:rPr>
          <w:rFonts w:cs="Times New Roman"/>
          <w:b/>
          <w:bCs/>
          <w:color w:val="000000"/>
          <w:sz w:val="24"/>
          <w:szCs w:val="24"/>
        </w:rPr>
        <w:t xml:space="preserve">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E26CB1"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 xml:space="preserve">Tables exclude building licenses for those parts of Jerusalem annexed by Israel in 1967, </w:t>
      </w:r>
      <w:r w:rsidR="004779B9" w:rsidRPr="00E26CB1">
        <w:rPr>
          <w:sz w:val="24"/>
          <w:szCs w:val="24"/>
        </w:rPr>
        <w:t xml:space="preserve">while </w:t>
      </w:r>
      <w:r w:rsidRPr="00E26CB1">
        <w:rPr>
          <w:sz w:val="24"/>
          <w:szCs w:val="24"/>
        </w:rPr>
        <w:t>(J2) includes the rem</w:t>
      </w:r>
      <w:r w:rsidR="000F5156" w:rsidRPr="00E26CB1">
        <w:rPr>
          <w:sz w:val="24"/>
          <w:szCs w:val="24"/>
        </w:rPr>
        <w:t>aining parts of the governorate</w:t>
      </w:r>
      <w:r w:rsidR="00E26CB1" w:rsidRPr="00E26CB1">
        <w:rPr>
          <w:sz w:val="24"/>
          <w:szCs w:val="24"/>
        </w:rPr>
        <w:t>.</w:t>
      </w:r>
    </w:p>
    <w:p w:rsidR="00535D43"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5B2C60" w:rsidRDefault="005B2C60" w:rsidP="005B2C60">
      <w:pPr>
        <w:numPr>
          <w:ilvl w:val="0"/>
          <w:numId w:val="7"/>
        </w:numPr>
        <w:tabs>
          <w:tab w:val="clear" w:pos="862"/>
        </w:tabs>
        <w:bidi w:val="0"/>
        <w:ind w:left="426" w:right="-1" w:hanging="284"/>
        <w:jc w:val="both"/>
        <w:rPr>
          <w:sz w:val="24"/>
          <w:szCs w:val="24"/>
        </w:rPr>
      </w:pPr>
      <w:r w:rsidRPr="005B2C60">
        <w:rPr>
          <w:sz w:val="24"/>
          <w:szCs w:val="24"/>
        </w:rPr>
        <w:t>Governorates may not appear in some tables due to the non issued of some</w:t>
      </w:r>
      <w:r>
        <w:rPr>
          <w:sz w:val="24"/>
          <w:szCs w:val="24"/>
        </w:rPr>
        <w:t xml:space="preserve"> licensed in these governorates.</w:t>
      </w:r>
    </w:p>
    <w:p w:rsidR="00BE1A53" w:rsidRDefault="00226D02" w:rsidP="005B2C60">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7201AE">
      <w:pPr>
        <w:numPr>
          <w:ilvl w:val="0"/>
          <w:numId w:val="8"/>
        </w:numPr>
        <w:bidi w:val="0"/>
        <w:ind w:right="720"/>
        <w:jc w:val="both"/>
        <w:rPr>
          <w:sz w:val="24"/>
          <w:szCs w:val="24"/>
        </w:rPr>
      </w:pPr>
      <w:r w:rsidRPr="00C90F36">
        <w:rPr>
          <w:sz w:val="24"/>
          <w:szCs w:val="24"/>
        </w:rPr>
        <w:t>Private.</w:t>
      </w:r>
    </w:p>
    <w:p w:rsidR="007201AE" w:rsidRPr="00C90F36" w:rsidRDefault="007201AE" w:rsidP="007201AE">
      <w:pPr>
        <w:numPr>
          <w:ilvl w:val="0"/>
          <w:numId w:val="8"/>
        </w:numPr>
        <w:bidi w:val="0"/>
        <w:ind w:right="720"/>
        <w:jc w:val="both"/>
        <w:rPr>
          <w:sz w:val="24"/>
          <w:szCs w:val="24"/>
        </w:rPr>
      </w:pPr>
      <w:r w:rsidRPr="00C90F36">
        <w:rPr>
          <w:sz w:val="24"/>
          <w:szCs w:val="24"/>
        </w:rPr>
        <w:t>Governmental.</w:t>
      </w:r>
    </w:p>
    <w:p w:rsidR="007201AE" w:rsidRPr="00C90F36" w:rsidRDefault="007201AE" w:rsidP="007201AE">
      <w:pPr>
        <w:numPr>
          <w:ilvl w:val="0"/>
          <w:numId w:val="8"/>
        </w:numPr>
        <w:bidi w:val="0"/>
        <w:ind w:right="720"/>
        <w:jc w:val="both"/>
        <w:rPr>
          <w:sz w:val="24"/>
          <w:szCs w:val="24"/>
        </w:rPr>
      </w:pPr>
      <w:r w:rsidRPr="00C90F36">
        <w:rPr>
          <w:sz w:val="24"/>
          <w:szCs w:val="24"/>
        </w:rPr>
        <w:t>Local Authority.</w:t>
      </w:r>
    </w:p>
    <w:p w:rsidR="007201AE" w:rsidRPr="00C90F36" w:rsidRDefault="007201AE" w:rsidP="007201AE">
      <w:pPr>
        <w:numPr>
          <w:ilvl w:val="0"/>
          <w:numId w:val="8"/>
        </w:numPr>
        <w:bidi w:val="0"/>
        <w:ind w:right="720"/>
        <w:jc w:val="both"/>
        <w:rPr>
          <w:sz w:val="24"/>
          <w:szCs w:val="24"/>
        </w:rPr>
      </w:pPr>
      <w:r w:rsidRPr="00C90F36">
        <w:rPr>
          <w:sz w:val="24"/>
          <w:szCs w:val="24"/>
        </w:rPr>
        <w:t>Cooperative.</w:t>
      </w:r>
    </w:p>
    <w:p w:rsidR="007201AE" w:rsidRPr="00C90F36" w:rsidRDefault="007201AE" w:rsidP="007201AE">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EB585A" w:rsidP="007201AE">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r w:rsidR="007201AE" w:rsidRPr="00C90F36">
        <w:rPr>
          <w:b/>
          <w:bCs/>
          <w:sz w:val="24"/>
          <w:szCs w:val="24"/>
        </w:rPr>
        <w:t>:</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A25642" w:rsidRDefault="004779B9" w:rsidP="004779B9">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 xml:space="preserve">When the building is not for residential purposes or more than half of </w:t>
      </w:r>
      <w:r w:rsidR="00A15F83" w:rsidRPr="00A25642">
        <w:rPr>
          <w:rFonts w:cs="Times New Roman"/>
          <w:sz w:val="24"/>
          <w:szCs w:val="24"/>
        </w:rPr>
        <w:t xml:space="preserve">its area was for </w:t>
      </w:r>
      <w:r w:rsidR="00A25642" w:rsidRPr="00A25642">
        <w:rPr>
          <w:rFonts w:cs="Times New Roman"/>
          <w:sz w:val="24"/>
          <w:szCs w:val="24"/>
        </w:rPr>
        <w:t>non-</w:t>
      </w:r>
      <w:r w:rsidR="00A15F83" w:rsidRPr="00A25642">
        <w:rPr>
          <w:rFonts w:cs="Times New Roman"/>
          <w:sz w:val="24"/>
          <w:szCs w:val="24"/>
        </w:rPr>
        <w:t>residential purposes it must be classified as industrial, commercial,</w:t>
      </w:r>
      <w:r w:rsidRPr="00A25642">
        <w:rPr>
          <w:rFonts w:cs="Times New Roman"/>
          <w:sz w:val="24"/>
          <w:szCs w:val="24"/>
        </w:rPr>
        <w:t xml:space="preserve"> educational, etc.</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sidR="00A25C0D">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AE3" w:rsidRDefault="003A3AE3" w:rsidP="00E703CA">
      <w:r>
        <w:separator/>
      </w:r>
    </w:p>
  </w:endnote>
  <w:endnote w:type="continuationSeparator" w:id="0">
    <w:p w:rsidR="003A3AE3" w:rsidRDefault="003A3AE3"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A3AE3" w:rsidRDefault="003A3AE3">
        <w:pPr>
          <w:pStyle w:val="Footer"/>
          <w:jc w:val="center"/>
        </w:pPr>
        <w:r>
          <w:t>]</w:t>
        </w:r>
        <w:fldSimple w:instr=" PAGE   \* MERGEFORMAT ">
          <w:r w:rsidR="00477B11">
            <w:rPr>
              <w:noProof/>
              <w:rtl/>
            </w:rPr>
            <w:t>14</w:t>
          </w:r>
        </w:fldSimple>
        <w:r>
          <w:t>[</w:t>
        </w:r>
      </w:p>
    </w:sdtContent>
  </w:sdt>
  <w:p w:rsidR="003A3AE3" w:rsidRDefault="003A3A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AE3" w:rsidRDefault="003A3AE3" w:rsidP="00E703CA">
      <w:r>
        <w:separator/>
      </w:r>
    </w:p>
  </w:footnote>
  <w:footnote w:type="continuationSeparator" w:id="0">
    <w:p w:rsidR="003A3AE3" w:rsidRDefault="003A3AE3"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AE3" w:rsidRPr="00E703CA" w:rsidRDefault="003A3AE3" w:rsidP="007A214F">
    <w:pPr>
      <w:pStyle w:val="Header"/>
      <w:bidi w:val="0"/>
      <w:rPr>
        <w:sz w:val="16"/>
        <w:szCs w:val="16"/>
      </w:rPr>
    </w:pPr>
    <w:r w:rsidRPr="00A31171">
      <w:rPr>
        <w:sz w:val="16"/>
        <w:szCs w:val="16"/>
      </w:rPr>
      <w:t xml:space="preserve">PCBS: </w:t>
    </w:r>
    <w:r>
      <w:rPr>
        <w:rFonts w:cs="Times New Roman"/>
        <w:sz w:val="16"/>
        <w:szCs w:val="16"/>
      </w:rPr>
      <w:t xml:space="preserve">Building Licenses Statistics, </w:t>
    </w:r>
    <w:r>
      <w:rPr>
        <w:rFonts w:asciiTheme="majorBidi" w:hAnsiTheme="majorBidi" w:cstheme="majorBidi"/>
        <w:sz w:val="16"/>
        <w:szCs w:val="16"/>
      </w:rPr>
      <w:t xml:space="preserve">Third </w:t>
    </w:r>
    <w:r w:rsidRPr="00EE5BCC">
      <w:rPr>
        <w:rFonts w:cs="Times New Roman"/>
        <w:sz w:val="16"/>
        <w:szCs w:val="16"/>
      </w:rPr>
      <w:t>Quarter</w:t>
    </w:r>
    <w:r>
      <w:rPr>
        <w:sz w:val="16"/>
        <w:szCs w:val="16"/>
      </w:rPr>
      <w:t xml:space="preserv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5">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6">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9"/>
  </w:num>
  <w:num w:numId="2">
    <w:abstractNumId w:val="3"/>
  </w:num>
  <w:num w:numId="3">
    <w:abstractNumId w:val="4"/>
  </w:num>
  <w:num w:numId="4">
    <w:abstractNumId w:val="10"/>
  </w:num>
  <w:num w:numId="5">
    <w:abstractNumId w:val="0"/>
  </w:num>
  <w:num w:numId="6">
    <w:abstractNumId w:val="6"/>
  </w:num>
  <w:num w:numId="7">
    <w:abstractNumId w:val="5"/>
  </w:num>
  <w:num w:numId="8">
    <w:abstractNumId w:val="7"/>
  </w:num>
  <w:num w:numId="9">
    <w:abstractNumId w:val="2"/>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05D56"/>
    <w:rsid w:val="0001026E"/>
    <w:rsid w:val="0002066D"/>
    <w:rsid w:val="0003061D"/>
    <w:rsid w:val="0003530C"/>
    <w:rsid w:val="000402A2"/>
    <w:rsid w:val="00040453"/>
    <w:rsid w:val="00040D98"/>
    <w:rsid w:val="0005134C"/>
    <w:rsid w:val="00053CB7"/>
    <w:rsid w:val="0007063F"/>
    <w:rsid w:val="000728C0"/>
    <w:rsid w:val="0007460F"/>
    <w:rsid w:val="0007591D"/>
    <w:rsid w:val="0008271E"/>
    <w:rsid w:val="00085CFC"/>
    <w:rsid w:val="00086E48"/>
    <w:rsid w:val="000A20FB"/>
    <w:rsid w:val="000A5FBE"/>
    <w:rsid w:val="000C0D42"/>
    <w:rsid w:val="000C0E0B"/>
    <w:rsid w:val="000C64A6"/>
    <w:rsid w:val="000C7670"/>
    <w:rsid w:val="000D7E10"/>
    <w:rsid w:val="000E49EF"/>
    <w:rsid w:val="000F05A4"/>
    <w:rsid w:val="000F380F"/>
    <w:rsid w:val="000F5156"/>
    <w:rsid w:val="00110FD6"/>
    <w:rsid w:val="00113176"/>
    <w:rsid w:val="00117040"/>
    <w:rsid w:val="00120F55"/>
    <w:rsid w:val="00121FF7"/>
    <w:rsid w:val="00131593"/>
    <w:rsid w:val="00136517"/>
    <w:rsid w:val="0014613D"/>
    <w:rsid w:val="001475C3"/>
    <w:rsid w:val="00152CFB"/>
    <w:rsid w:val="0016036B"/>
    <w:rsid w:val="00160A67"/>
    <w:rsid w:val="0017058D"/>
    <w:rsid w:val="00170DBA"/>
    <w:rsid w:val="00171E5B"/>
    <w:rsid w:val="0017650F"/>
    <w:rsid w:val="00184B31"/>
    <w:rsid w:val="0018797F"/>
    <w:rsid w:val="00190CB0"/>
    <w:rsid w:val="00193DD9"/>
    <w:rsid w:val="001A38D5"/>
    <w:rsid w:val="001A3FBA"/>
    <w:rsid w:val="001A7A7B"/>
    <w:rsid w:val="001B1849"/>
    <w:rsid w:val="001B5137"/>
    <w:rsid w:val="001B69DE"/>
    <w:rsid w:val="001B725C"/>
    <w:rsid w:val="001B7A0C"/>
    <w:rsid w:val="001E3A91"/>
    <w:rsid w:val="001F1017"/>
    <w:rsid w:val="001F5C78"/>
    <w:rsid w:val="001F713E"/>
    <w:rsid w:val="002035E2"/>
    <w:rsid w:val="002139B8"/>
    <w:rsid w:val="00220E07"/>
    <w:rsid w:val="00226D02"/>
    <w:rsid w:val="00230C44"/>
    <w:rsid w:val="00232717"/>
    <w:rsid w:val="00232CAA"/>
    <w:rsid w:val="0023370D"/>
    <w:rsid w:val="00234B2A"/>
    <w:rsid w:val="002358B9"/>
    <w:rsid w:val="00241D99"/>
    <w:rsid w:val="00250A24"/>
    <w:rsid w:val="0027634C"/>
    <w:rsid w:val="00283473"/>
    <w:rsid w:val="00286EBF"/>
    <w:rsid w:val="002958E0"/>
    <w:rsid w:val="002A4FF0"/>
    <w:rsid w:val="002B55BE"/>
    <w:rsid w:val="002B6E44"/>
    <w:rsid w:val="002C220B"/>
    <w:rsid w:val="002C5943"/>
    <w:rsid w:val="002D2F50"/>
    <w:rsid w:val="002F0814"/>
    <w:rsid w:val="002F64D7"/>
    <w:rsid w:val="002F749C"/>
    <w:rsid w:val="00324BB6"/>
    <w:rsid w:val="00343DC6"/>
    <w:rsid w:val="003451A7"/>
    <w:rsid w:val="00350E4C"/>
    <w:rsid w:val="00355238"/>
    <w:rsid w:val="00361AA7"/>
    <w:rsid w:val="00365A27"/>
    <w:rsid w:val="00372540"/>
    <w:rsid w:val="00374099"/>
    <w:rsid w:val="0037620F"/>
    <w:rsid w:val="0038248D"/>
    <w:rsid w:val="0038461F"/>
    <w:rsid w:val="00386D56"/>
    <w:rsid w:val="003A2D3E"/>
    <w:rsid w:val="003A3AE3"/>
    <w:rsid w:val="003B0AD8"/>
    <w:rsid w:val="003B62DF"/>
    <w:rsid w:val="003C0AE5"/>
    <w:rsid w:val="003C1F3D"/>
    <w:rsid w:val="003D5FA4"/>
    <w:rsid w:val="004126FC"/>
    <w:rsid w:val="00416A42"/>
    <w:rsid w:val="004203D9"/>
    <w:rsid w:val="00420B97"/>
    <w:rsid w:val="00434A05"/>
    <w:rsid w:val="00456A95"/>
    <w:rsid w:val="004722EF"/>
    <w:rsid w:val="00475B7E"/>
    <w:rsid w:val="004779B9"/>
    <w:rsid w:val="00477B11"/>
    <w:rsid w:val="00477F6C"/>
    <w:rsid w:val="0048677E"/>
    <w:rsid w:val="0048697D"/>
    <w:rsid w:val="00491434"/>
    <w:rsid w:val="004926FD"/>
    <w:rsid w:val="004951FB"/>
    <w:rsid w:val="00497B92"/>
    <w:rsid w:val="004A2789"/>
    <w:rsid w:val="004A616C"/>
    <w:rsid w:val="004B4914"/>
    <w:rsid w:val="004B620D"/>
    <w:rsid w:val="004C1573"/>
    <w:rsid w:val="004C4EC9"/>
    <w:rsid w:val="004C74FC"/>
    <w:rsid w:val="004D005C"/>
    <w:rsid w:val="004D114A"/>
    <w:rsid w:val="004E4CEF"/>
    <w:rsid w:val="004E7B4C"/>
    <w:rsid w:val="0050464E"/>
    <w:rsid w:val="005170B2"/>
    <w:rsid w:val="0052010C"/>
    <w:rsid w:val="0052423D"/>
    <w:rsid w:val="00526BFD"/>
    <w:rsid w:val="00530DA8"/>
    <w:rsid w:val="00535D43"/>
    <w:rsid w:val="00554905"/>
    <w:rsid w:val="00554A81"/>
    <w:rsid w:val="00557E2F"/>
    <w:rsid w:val="00560B70"/>
    <w:rsid w:val="00562FD1"/>
    <w:rsid w:val="005657BD"/>
    <w:rsid w:val="00565EE2"/>
    <w:rsid w:val="00577EC1"/>
    <w:rsid w:val="00594E49"/>
    <w:rsid w:val="005B0436"/>
    <w:rsid w:val="005B2C60"/>
    <w:rsid w:val="005B7BA2"/>
    <w:rsid w:val="005C2BC8"/>
    <w:rsid w:val="005C332B"/>
    <w:rsid w:val="005C6E80"/>
    <w:rsid w:val="005C7849"/>
    <w:rsid w:val="005D0E2B"/>
    <w:rsid w:val="005D1370"/>
    <w:rsid w:val="005D4665"/>
    <w:rsid w:val="005F0BC4"/>
    <w:rsid w:val="00604301"/>
    <w:rsid w:val="00604B5B"/>
    <w:rsid w:val="00613606"/>
    <w:rsid w:val="006212AC"/>
    <w:rsid w:val="00623160"/>
    <w:rsid w:val="00637E1F"/>
    <w:rsid w:val="006465BE"/>
    <w:rsid w:val="0065298E"/>
    <w:rsid w:val="00653646"/>
    <w:rsid w:val="00677BA8"/>
    <w:rsid w:val="00680FAA"/>
    <w:rsid w:val="006825DD"/>
    <w:rsid w:val="006956B1"/>
    <w:rsid w:val="006A1407"/>
    <w:rsid w:val="006C3812"/>
    <w:rsid w:val="006C4062"/>
    <w:rsid w:val="006C49AB"/>
    <w:rsid w:val="006C6B3C"/>
    <w:rsid w:val="006D1487"/>
    <w:rsid w:val="006D3D00"/>
    <w:rsid w:val="006E69DD"/>
    <w:rsid w:val="006F14C1"/>
    <w:rsid w:val="00710BF7"/>
    <w:rsid w:val="00716F2A"/>
    <w:rsid w:val="007201AE"/>
    <w:rsid w:val="0073209C"/>
    <w:rsid w:val="0073403B"/>
    <w:rsid w:val="007347B3"/>
    <w:rsid w:val="00737AF8"/>
    <w:rsid w:val="0074464E"/>
    <w:rsid w:val="0074527F"/>
    <w:rsid w:val="007566AC"/>
    <w:rsid w:val="0076697D"/>
    <w:rsid w:val="0076787F"/>
    <w:rsid w:val="00767E7C"/>
    <w:rsid w:val="00771168"/>
    <w:rsid w:val="00787823"/>
    <w:rsid w:val="00796B0F"/>
    <w:rsid w:val="007A214F"/>
    <w:rsid w:val="007D3C04"/>
    <w:rsid w:val="007D7395"/>
    <w:rsid w:val="007E114E"/>
    <w:rsid w:val="007E568B"/>
    <w:rsid w:val="007E5E01"/>
    <w:rsid w:val="007E7E10"/>
    <w:rsid w:val="007F384C"/>
    <w:rsid w:val="007F6DCD"/>
    <w:rsid w:val="00805444"/>
    <w:rsid w:val="00807B2D"/>
    <w:rsid w:val="008120BB"/>
    <w:rsid w:val="00834916"/>
    <w:rsid w:val="00837537"/>
    <w:rsid w:val="00844AE9"/>
    <w:rsid w:val="00844BFE"/>
    <w:rsid w:val="00845B3C"/>
    <w:rsid w:val="0084739B"/>
    <w:rsid w:val="008673E7"/>
    <w:rsid w:val="0088617D"/>
    <w:rsid w:val="00893760"/>
    <w:rsid w:val="008952A3"/>
    <w:rsid w:val="00897DCD"/>
    <w:rsid w:val="008A0D39"/>
    <w:rsid w:val="008A4B67"/>
    <w:rsid w:val="008A7112"/>
    <w:rsid w:val="008B5FA9"/>
    <w:rsid w:val="008C3F81"/>
    <w:rsid w:val="008C61EB"/>
    <w:rsid w:val="008C78B0"/>
    <w:rsid w:val="008D2B6F"/>
    <w:rsid w:val="008D5A4C"/>
    <w:rsid w:val="008D5DA8"/>
    <w:rsid w:val="008E0CD1"/>
    <w:rsid w:val="008F2452"/>
    <w:rsid w:val="008F33B3"/>
    <w:rsid w:val="008F732A"/>
    <w:rsid w:val="009012E6"/>
    <w:rsid w:val="00914484"/>
    <w:rsid w:val="00922333"/>
    <w:rsid w:val="00926008"/>
    <w:rsid w:val="00933F40"/>
    <w:rsid w:val="0093416C"/>
    <w:rsid w:val="0094191A"/>
    <w:rsid w:val="00942AF2"/>
    <w:rsid w:val="00943088"/>
    <w:rsid w:val="0094338F"/>
    <w:rsid w:val="00952574"/>
    <w:rsid w:val="00952F37"/>
    <w:rsid w:val="00955B61"/>
    <w:rsid w:val="0097309A"/>
    <w:rsid w:val="00974AD0"/>
    <w:rsid w:val="009755FE"/>
    <w:rsid w:val="0098572B"/>
    <w:rsid w:val="009A0C3C"/>
    <w:rsid w:val="009A3611"/>
    <w:rsid w:val="009A3A56"/>
    <w:rsid w:val="009B3155"/>
    <w:rsid w:val="009B357F"/>
    <w:rsid w:val="009C0065"/>
    <w:rsid w:val="009C1315"/>
    <w:rsid w:val="009D2E2D"/>
    <w:rsid w:val="009F189E"/>
    <w:rsid w:val="009F67CA"/>
    <w:rsid w:val="00A0106A"/>
    <w:rsid w:val="00A01C6B"/>
    <w:rsid w:val="00A01E5D"/>
    <w:rsid w:val="00A03B5C"/>
    <w:rsid w:val="00A15F83"/>
    <w:rsid w:val="00A178CB"/>
    <w:rsid w:val="00A217F3"/>
    <w:rsid w:val="00A25268"/>
    <w:rsid w:val="00A25642"/>
    <w:rsid w:val="00A25C0D"/>
    <w:rsid w:val="00A31911"/>
    <w:rsid w:val="00A33318"/>
    <w:rsid w:val="00A41425"/>
    <w:rsid w:val="00A46723"/>
    <w:rsid w:val="00A63E69"/>
    <w:rsid w:val="00A671A6"/>
    <w:rsid w:val="00A72B66"/>
    <w:rsid w:val="00A835CF"/>
    <w:rsid w:val="00A83C96"/>
    <w:rsid w:val="00A84163"/>
    <w:rsid w:val="00A84E9C"/>
    <w:rsid w:val="00AA2148"/>
    <w:rsid w:val="00AB2CF1"/>
    <w:rsid w:val="00AB52CD"/>
    <w:rsid w:val="00AC34A0"/>
    <w:rsid w:val="00AC5D49"/>
    <w:rsid w:val="00AD6678"/>
    <w:rsid w:val="00AE6845"/>
    <w:rsid w:val="00B00C0F"/>
    <w:rsid w:val="00B11161"/>
    <w:rsid w:val="00B14F5D"/>
    <w:rsid w:val="00B161FB"/>
    <w:rsid w:val="00B25DE8"/>
    <w:rsid w:val="00B2606F"/>
    <w:rsid w:val="00B30798"/>
    <w:rsid w:val="00B308AC"/>
    <w:rsid w:val="00B3204D"/>
    <w:rsid w:val="00B33FFD"/>
    <w:rsid w:val="00B361A1"/>
    <w:rsid w:val="00B423C6"/>
    <w:rsid w:val="00B43B0D"/>
    <w:rsid w:val="00B45F50"/>
    <w:rsid w:val="00B61EAF"/>
    <w:rsid w:val="00B6795B"/>
    <w:rsid w:val="00B70723"/>
    <w:rsid w:val="00B80487"/>
    <w:rsid w:val="00B81330"/>
    <w:rsid w:val="00B8182A"/>
    <w:rsid w:val="00B82F42"/>
    <w:rsid w:val="00B866FC"/>
    <w:rsid w:val="00B86EA9"/>
    <w:rsid w:val="00B93D92"/>
    <w:rsid w:val="00BA2E40"/>
    <w:rsid w:val="00BA6C01"/>
    <w:rsid w:val="00BB1FD0"/>
    <w:rsid w:val="00BB4300"/>
    <w:rsid w:val="00BC0416"/>
    <w:rsid w:val="00BC06DA"/>
    <w:rsid w:val="00BC2791"/>
    <w:rsid w:val="00BC3C5A"/>
    <w:rsid w:val="00BD39D7"/>
    <w:rsid w:val="00BD39F8"/>
    <w:rsid w:val="00BD3FBB"/>
    <w:rsid w:val="00BD75D7"/>
    <w:rsid w:val="00BE1A53"/>
    <w:rsid w:val="00BF21BC"/>
    <w:rsid w:val="00BF3F66"/>
    <w:rsid w:val="00BF43BC"/>
    <w:rsid w:val="00C0043A"/>
    <w:rsid w:val="00C04934"/>
    <w:rsid w:val="00C1154D"/>
    <w:rsid w:val="00C33BF7"/>
    <w:rsid w:val="00C53343"/>
    <w:rsid w:val="00C5400C"/>
    <w:rsid w:val="00C6154E"/>
    <w:rsid w:val="00C656F1"/>
    <w:rsid w:val="00C75219"/>
    <w:rsid w:val="00C75C49"/>
    <w:rsid w:val="00C850C8"/>
    <w:rsid w:val="00C87EA1"/>
    <w:rsid w:val="00C92CF6"/>
    <w:rsid w:val="00C948CE"/>
    <w:rsid w:val="00C96A5A"/>
    <w:rsid w:val="00CB7F73"/>
    <w:rsid w:val="00CC08B9"/>
    <w:rsid w:val="00CC4FFA"/>
    <w:rsid w:val="00CC5F49"/>
    <w:rsid w:val="00CD05C7"/>
    <w:rsid w:val="00CD3516"/>
    <w:rsid w:val="00CD37DF"/>
    <w:rsid w:val="00CE04A0"/>
    <w:rsid w:val="00D04269"/>
    <w:rsid w:val="00D05E81"/>
    <w:rsid w:val="00D149C8"/>
    <w:rsid w:val="00D202CF"/>
    <w:rsid w:val="00D232A6"/>
    <w:rsid w:val="00D36736"/>
    <w:rsid w:val="00D4269C"/>
    <w:rsid w:val="00D469A0"/>
    <w:rsid w:val="00D52826"/>
    <w:rsid w:val="00D64EE2"/>
    <w:rsid w:val="00D90C74"/>
    <w:rsid w:val="00D93301"/>
    <w:rsid w:val="00D94AE2"/>
    <w:rsid w:val="00DB026F"/>
    <w:rsid w:val="00DC2F0A"/>
    <w:rsid w:val="00DC409E"/>
    <w:rsid w:val="00DD11F5"/>
    <w:rsid w:val="00DD4DD3"/>
    <w:rsid w:val="00DE7F18"/>
    <w:rsid w:val="00DF2BD7"/>
    <w:rsid w:val="00DF4D5F"/>
    <w:rsid w:val="00E05F81"/>
    <w:rsid w:val="00E07382"/>
    <w:rsid w:val="00E15CEB"/>
    <w:rsid w:val="00E233A3"/>
    <w:rsid w:val="00E26CB1"/>
    <w:rsid w:val="00E26E6C"/>
    <w:rsid w:val="00E357D6"/>
    <w:rsid w:val="00E36CAC"/>
    <w:rsid w:val="00E403C0"/>
    <w:rsid w:val="00E4245F"/>
    <w:rsid w:val="00E43DB2"/>
    <w:rsid w:val="00E52E7A"/>
    <w:rsid w:val="00E55C4A"/>
    <w:rsid w:val="00E63ADE"/>
    <w:rsid w:val="00E703CA"/>
    <w:rsid w:val="00E70B52"/>
    <w:rsid w:val="00EA246F"/>
    <w:rsid w:val="00EA710E"/>
    <w:rsid w:val="00EA79B7"/>
    <w:rsid w:val="00EB585A"/>
    <w:rsid w:val="00EC622D"/>
    <w:rsid w:val="00ED089F"/>
    <w:rsid w:val="00ED3E1F"/>
    <w:rsid w:val="00ED652A"/>
    <w:rsid w:val="00ED6CB9"/>
    <w:rsid w:val="00EE5BCC"/>
    <w:rsid w:val="00EF1CF9"/>
    <w:rsid w:val="00EF36BF"/>
    <w:rsid w:val="00F0147D"/>
    <w:rsid w:val="00F02CFA"/>
    <w:rsid w:val="00F14996"/>
    <w:rsid w:val="00F16FB5"/>
    <w:rsid w:val="00F212F2"/>
    <w:rsid w:val="00F25B17"/>
    <w:rsid w:val="00F26640"/>
    <w:rsid w:val="00F376ED"/>
    <w:rsid w:val="00F451FF"/>
    <w:rsid w:val="00F46E25"/>
    <w:rsid w:val="00F477F4"/>
    <w:rsid w:val="00F546B6"/>
    <w:rsid w:val="00F66F78"/>
    <w:rsid w:val="00F671BA"/>
    <w:rsid w:val="00F67AAB"/>
    <w:rsid w:val="00F810FC"/>
    <w:rsid w:val="00F81EB9"/>
    <w:rsid w:val="00F8225F"/>
    <w:rsid w:val="00F83B73"/>
    <w:rsid w:val="00F8470C"/>
    <w:rsid w:val="00F849E8"/>
    <w:rsid w:val="00F870A8"/>
    <w:rsid w:val="00F93D9E"/>
    <w:rsid w:val="00FA0E69"/>
    <w:rsid w:val="00FB0A62"/>
    <w:rsid w:val="00FB0D88"/>
    <w:rsid w:val="00FC08C6"/>
    <w:rsid w:val="00FC66CA"/>
    <w:rsid w:val="00FD0075"/>
    <w:rsid w:val="00FD6FD1"/>
    <w:rsid w:val="00FE2E12"/>
    <w:rsid w:val="00FE3B4A"/>
    <w:rsid w:val="00FE4E71"/>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8"/>
          <c:w val="0.86842113619036165"/>
          <c:h val="0.71432212800323036"/>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Pos val="t"/>
            <c:showVal val="1"/>
          </c:dLbls>
          <c:cat>
            <c:strRef>
              <c:f>Sheet1!$A$4:$A$10</c:f>
              <c:strCache>
                <c:ptCount val="7"/>
                <c:pt idx="0">
                  <c:v>    Q I 2012</c:v>
                </c:pt>
                <c:pt idx="1">
                  <c:v>   Q II 2012</c:v>
                </c:pt>
                <c:pt idx="2">
                  <c:v>  Q III 2012</c:v>
                </c:pt>
                <c:pt idx="3">
                  <c:v>  Q IV 2012</c:v>
                </c:pt>
                <c:pt idx="4">
                  <c:v>    Q I 2013</c:v>
                </c:pt>
                <c:pt idx="5">
                  <c:v>   Q II 2013</c:v>
                </c:pt>
                <c:pt idx="6">
                  <c:v> Q III 2013</c:v>
                </c:pt>
              </c:strCache>
            </c:strRef>
          </c:cat>
          <c:val>
            <c:numRef>
              <c:f>Sheet1!$B$4:$B$10</c:f>
              <c:numCache>
                <c:formatCode>General</c:formatCode>
                <c:ptCount val="7"/>
                <c:pt idx="0">
                  <c:v>2172</c:v>
                </c:pt>
                <c:pt idx="1">
                  <c:v>2190</c:v>
                </c:pt>
                <c:pt idx="2">
                  <c:v>1778</c:v>
                </c:pt>
                <c:pt idx="3">
                  <c:v>2099</c:v>
                </c:pt>
                <c:pt idx="4">
                  <c:v>2281</c:v>
                </c:pt>
                <c:pt idx="5">
                  <c:v>2501</c:v>
                </c:pt>
                <c:pt idx="6">
                  <c:v>2219</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Pos val="t"/>
            <c:showVal val="1"/>
          </c:dLbls>
          <c:cat>
            <c:strRef>
              <c:f>Sheet1!$A$4:$A$10</c:f>
              <c:strCache>
                <c:ptCount val="7"/>
                <c:pt idx="0">
                  <c:v>    Q I 2012</c:v>
                </c:pt>
                <c:pt idx="1">
                  <c:v>   Q II 2012</c:v>
                </c:pt>
                <c:pt idx="2">
                  <c:v>  Q III 2012</c:v>
                </c:pt>
                <c:pt idx="3">
                  <c:v>  Q IV 2012</c:v>
                </c:pt>
                <c:pt idx="4">
                  <c:v>    Q I 2013</c:v>
                </c:pt>
                <c:pt idx="5">
                  <c:v>   Q II 2013</c:v>
                </c:pt>
                <c:pt idx="6">
                  <c:v> Q III 2013</c:v>
                </c:pt>
              </c:strCache>
            </c:strRef>
          </c:cat>
          <c:val>
            <c:numRef>
              <c:f>Sheet1!$C$4:$C$10</c:f>
              <c:numCache>
                <c:formatCode>General</c:formatCode>
                <c:ptCount val="7"/>
                <c:pt idx="0">
                  <c:v>1344</c:v>
                </c:pt>
                <c:pt idx="1">
                  <c:v>1222</c:v>
                </c:pt>
                <c:pt idx="2">
                  <c:v>1059</c:v>
                </c:pt>
                <c:pt idx="3">
                  <c:v>1264</c:v>
                </c:pt>
                <c:pt idx="4">
                  <c:v>1194</c:v>
                </c:pt>
                <c:pt idx="5">
                  <c:v>1608</c:v>
                </c:pt>
                <c:pt idx="6">
                  <c:v>1485</c:v>
                </c:pt>
              </c:numCache>
            </c:numRef>
          </c:val>
        </c:ser>
        <c:dLbls>
          <c:showVal val="1"/>
        </c:dLbls>
        <c:marker val="1"/>
        <c:axId val="83196160"/>
        <c:axId val="83304832"/>
      </c:lineChart>
      <c:catAx>
        <c:axId val="83196160"/>
        <c:scaling>
          <c:orientation val="minMax"/>
        </c:scaling>
        <c:axPos val="b"/>
        <c:title>
          <c:tx>
            <c:rich>
              <a:bodyPr/>
              <a:lstStyle/>
              <a:p>
                <a:pPr>
                  <a:defRPr b="1" i="0"/>
                </a:pPr>
                <a:r>
                  <a:rPr lang="en-US" b="1" i="0"/>
                  <a:t>Quarter</a:t>
                </a:r>
              </a:p>
            </c:rich>
          </c:tx>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83304832"/>
        <c:crosses val="autoZero"/>
        <c:auto val="1"/>
        <c:lblAlgn val="ctr"/>
        <c:lblOffset val="40"/>
        <c:tickLblSkip val="1"/>
        <c:tickMarkSkip val="1"/>
      </c:catAx>
      <c:valAx>
        <c:axId val="83304832"/>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0119745120459549E-3"/>
              <c:y val="0.24480786055589304"/>
            </c:manualLayout>
          </c:layout>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83196160"/>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07864807015"/>
          <c:y val="3.9116023958543647E-2"/>
          <c:w val="0.64016363743488225"/>
          <c:h val="0.1010418769769168"/>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277376786235757E-2"/>
          <c:y val="2.6590499716947148E-2"/>
          <c:w val="0.88330945610965295"/>
          <c:h val="0.86181352330958982"/>
        </c:manualLayout>
      </c:layout>
      <c:barChart>
        <c:barDir val="bar"/>
        <c:grouping val="clustered"/>
        <c:ser>
          <c:idx val="0"/>
          <c:order val="0"/>
          <c:tx>
            <c:strRef>
              <c:f>Sheet1!$B$1</c:f>
              <c:strCache>
                <c:ptCount val="1"/>
                <c:pt idx="0">
                  <c:v>Second Quarter 2013</c:v>
                </c:pt>
              </c:strCache>
            </c:strRef>
          </c:tx>
          <c:spPr>
            <a:solidFill>
              <a:schemeClr val="bg1">
                <a:lumMod val="50000"/>
              </a:schemeClr>
            </a:solidFill>
            <a:ln>
              <a:solidFill>
                <a:schemeClr val="tx1"/>
              </a:solidFill>
            </a:ln>
          </c:spPr>
          <c:dLbls>
            <c:dLbl>
              <c:idx val="0"/>
              <c:layout>
                <c:manualLayout>
                  <c:x val="-4.6296312648991924E-3"/>
                  <c:y val="-4.3184859245535487E-3"/>
                </c:manualLayout>
              </c:layout>
              <c:dLblPos val="outEnd"/>
              <c:showVal val="1"/>
            </c:dLbl>
            <c:dLbl>
              <c:idx val="1"/>
              <c:layout>
                <c:manualLayout>
                  <c:x val="-8.9717428952803581E-3"/>
                  <c:y val="0"/>
                </c:manualLayout>
              </c:layout>
              <c:dLblPos val="outEnd"/>
              <c:showVal val="1"/>
            </c:dLbl>
            <c:dLbl>
              <c:idx val="2"/>
              <c:layout>
                <c:manualLayout>
                  <c:x val="-6.9444444444444857E-3"/>
                  <c:y val="0"/>
                </c:manualLayout>
              </c:layout>
              <c:dLblPos val="outEnd"/>
              <c:showVal val="1"/>
            </c:dLbl>
            <c:dLbl>
              <c:idx val="3"/>
              <c:layout>
                <c:manualLayout>
                  <c:x val="-7.3714877304351632E-3"/>
                  <c:y val="-4.3184859245535487E-3"/>
                </c:manualLayout>
              </c:layout>
              <c:dLblPos val="outEnd"/>
              <c:showVal val="1"/>
            </c:dLbl>
            <c:dLbl>
              <c:idx val="4"/>
              <c:layout>
                <c:manualLayout>
                  <c:x val="-1.3745133977438541E-2"/>
                  <c:y val="-4.6703720858422298E-4"/>
                </c:manualLayout>
              </c:layout>
              <c:dLblPos val="outEnd"/>
              <c:showVal val="1"/>
            </c:dLbl>
            <c:dLbl>
              <c:idx val="5"/>
              <c:layout>
                <c:manualLayout>
                  <c:x val="-9.2566133931167027E-3"/>
                  <c:y val="3.9682080181153894E-3"/>
                </c:manualLayout>
              </c:layout>
              <c:dLblPos val="outEnd"/>
              <c:showVal val="1"/>
            </c:dLbl>
            <c:dLbl>
              <c:idx val="6"/>
              <c:layout>
                <c:manualLayout>
                  <c:x val="-7.1560246136587414E-3"/>
                  <c:y val="-1.167593021460556E-4"/>
                </c:manualLayout>
              </c:layout>
              <c:dLblPos val="outEnd"/>
              <c:showVal val="1"/>
            </c:dLbl>
            <c:dLbl>
              <c:idx val="7"/>
              <c:layout>
                <c:manualLayout>
                  <c:x val="-6.8006870800897306E-3"/>
                  <c:y val="-7.3529411764705881E-3"/>
                </c:manualLayout>
              </c:layout>
              <c:dLblPos val="outEnd"/>
              <c:showVal val="1"/>
            </c:dLbl>
            <c:dLbl>
              <c:idx val="8"/>
              <c:layout>
                <c:manualLayout>
                  <c:x val="-6.7288071714602113E-3"/>
                  <c:y val="0"/>
                </c:manualLayout>
              </c:layout>
              <c:dLblPos val="outEnd"/>
              <c:showVal val="1"/>
            </c:dLbl>
            <c:dLbl>
              <c:idx val="9"/>
              <c:layout>
                <c:manualLayout>
                  <c:x val="-8.9717428952803581E-3"/>
                  <c:y val="0"/>
                </c:manualLayout>
              </c:layout>
              <c:dLblPos val="outEnd"/>
              <c:showVal val="1"/>
            </c:dLbl>
            <c:dLbl>
              <c:idx val="10"/>
              <c:layout>
                <c:manualLayout>
                  <c:x val="-8.9717428952803581E-3"/>
                  <c:y val="-2.3351860429211119E-4"/>
                </c:manualLayout>
              </c:layout>
              <c:dLblPos val="outEnd"/>
              <c:showVal val="1"/>
            </c:dLbl>
            <c:dLbl>
              <c:idx val="11"/>
              <c:layout>
                <c:manualLayout>
                  <c:x val="-6.7288071714602504E-3"/>
                  <c:y val="1.8722550600029559E-17"/>
                </c:manualLayout>
              </c:layout>
              <c:dLblPos val="outEnd"/>
              <c:showVal val="1"/>
            </c:dLbl>
            <c:dLbl>
              <c:idx val="12"/>
              <c:layout>
                <c:manualLayout>
                  <c:x val="-1.1359851309256352E-2"/>
                  <c:y val="5.1351577376357368E-3"/>
                </c:manualLayout>
              </c:layout>
              <c:dLblPos val="outEnd"/>
              <c:showVal val="1"/>
            </c:dLbl>
            <c:dLbl>
              <c:idx val="13"/>
              <c:layout>
                <c:manualLayout>
                  <c:x val="-1.1214678619100448E-2"/>
                  <c:y val="0"/>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Jenin</c:v>
                </c:pt>
                <c:pt idx="4">
                  <c:v>Tulkarm</c:v>
                </c:pt>
                <c:pt idx="5">
                  <c:v>Gaza</c:v>
                </c:pt>
                <c:pt idx="6">
                  <c:v>Bethlehem</c:v>
                </c:pt>
                <c:pt idx="7">
                  <c:v>Salfit</c:v>
                </c:pt>
                <c:pt idx="8">
                  <c:v>Tubas</c:v>
                </c:pt>
                <c:pt idx="9">
                  <c:v>َQalqilya</c:v>
                </c:pt>
                <c:pt idx="10">
                  <c:v>Jericho &amp; Al Aghwar</c:v>
                </c:pt>
                <c:pt idx="11">
                  <c:v>Jerusalem*</c:v>
                </c:pt>
                <c:pt idx="12">
                  <c:v>Deir Al-Balah</c:v>
                </c:pt>
                <c:pt idx="13">
                  <c:v>North Gaza</c:v>
                </c:pt>
              </c:strCache>
            </c:strRef>
          </c:cat>
          <c:val>
            <c:numRef>
              <c:f>Sheet1!$B$2:$B$15</c:f>
              <c:numCache>
                <c:formatCode>General</c:formatCode>
                <c:ptCount val="14"/>
                <c:pt idx="0">
                  <c:v>575</c:v>
                </c:pt>
                <c:pt idx="1">
                  <c:v>473</c:v>
                </c:pt>
                <c:pt idx="2">
                  <c:v>265</c:v>
                </c:pt>
                <c:pt idx="3">
                  <c:v>204</c:v>
                </c:pt>
                <c:pt idx="4">
                  <c:v>177</c:v>
                </c:pt>
                <c:pt idx="5">
                  <c:v>24</c:v>
                </c:pt>
                <c:pt idx="6">
                  <c:v>116</c:v>
                </c:pt>
                <c:pt idx="7">
                  <c:v>122</c:v>
                </c:pt>
                <c:pt idx="8">
                  <c:v>120</c:v>
                </c:pt>
                <c:pt idx="9">
                  <c:v>75</c:v>
                </c:pt>
                <c:pt idx="10">
                  <c:v>54</c:v>
                </c:pt>
                <c:pt idx="11">
                  <c:v>42</c:v>
                </c:pt>
                <c:pt idx="12">
                  <c:v>20</c:v>
                </c:pt>
                <c:pt idx="13">
                  <c:v>15</c:v>
                </c:pt>
              </c:numCache>
            </c:numRef>
          </c:val>
        </c:ser>
        <c:ser>
          <c:idx val="1"/>
          <c:order val="1"/>
          <c:tx>
            <c:strRef>
              <c:f>Sheet1!$C$1</c:f>
              <c:strCache>
                <c:ptCount val="1"/>
                <c:pt idx="0">
                  <c:v>Third Quarter 2013</c:v>
                </c:pt>
              </c:strCache>
            </c:strRef>
          </c:tx>
          <c:spPr>
            <a:noFill/>
            <a:ln>
              <a:solidFill>
                <a:schemeClr val="tx1"/>
              </a:solidFill>
            </a:ln>
            <a:effectLst>
              <a:outerShdw blurRad="50800" dist="50800" dir="5400000" algn="ctr" rotWithShape="0">
                <a:schemeClr val="bg1"/>
              </a:outerShdw>
            </a:effectLst>
          </c:spPr>
          <c:dLbls>
            <c:dLbl>
              <c:idx val="0"/>
              <c:layout>
                <c:manualLayout>
                  <c:x val="-6.7288071714602504E-3"/>
                  <c:y val="-8.1699346405228763E-3"/>
                </c:manualLayout>
              </c:layout>
              <c:dLblPos val="outEnd"/>
              <c:showVal val="1"/>
            </c:dLbl>
            <c:dLbl>
              <c:idx val="1"/>
              <c:layout>
                <c:manualLayout>
                  <c:x val="-6.300176856364869E-3"/>
                  <c:y val="-1.167142710102414E-2"/>
                </c:manualLayout>
              </c:layout>
              <c:dLblPos val="outEnd"/>
              <c:showVal val="1"/>
            </c:dLbl>
            <c:dLbl>
              <c:idx val="2"/>
              <c:layout>
                <c:manualLayout>
                  <c:x val="-6.5850473542012431E-3"/>
                  <c:y val="-9.8039215686274508E-3"/>
                </c:manualLayout>
              </c:layout>
              <c:dLblPos val="outEnd"/>
              <c:showVal val="1"/>
            </c:dLbl>
            <c:dLbl>
              <c:idx val="3"/>
              <c:layout>
                <c:manualLayout>
                  <c:x val="-1.7943485790560713E-2"/>
                  <c:y val="-8.1699346405228763E-3"/>
                </c:manualLayout>
              </c:layout>
              <c:dLblPos val="outEnd"/>
              <c:showVal val="1"/>
            </c:dLbl>
            <c:dLbl>
              <c:idx val="4"/>
              <c:layout>
                <c:manualLayout>
                  <c:x val="-4.4858714476401764E-3"/>
                  <c:y val="-4.0852889712315434E-3"/>
                </c:manualLayout>
              </c:layout>
              <c:dLblPos val="outEnd"/>
              <c:showVal val="1"/>
            </c:dLbl>
            <c:dLbl>
              <c:idx val="5"/>
              <c:layout>
                <c:manualLayout>
                  <c:x val="-1.1214678619100485E-2"/>
                  <c:y val="0"/>
                </c:manualLayout>
              </c:layout>
              <c:dLblPos val="outEnd"/>
              <c:showVal val="1"/>
            </c:dLbl>
            <c:dLbl>
              <c:idx val="6"/>
              <c:layout>
                <c:manualLayout>
                  <c:x val="-1.1214678619100448E-2"/>
                  <c:y val="-8.1699346405228763E-3"/>
                </c:manualLayout>
              </c:layout>
              <c:dLblPos val="outEnd"/>
              <c:showVal val="1"/>
            </c:dLbl>
            <c:dLbl>
              <c:idx val="7"/>
              <c:layout>
                <c:manualLayout>
                  <c:x val="-1.1214678619100448E-2"/>
                  <c:y val="-1.3071895424836603E-2"/>
                </c:manualLayout>
              </c:layout>
              <c:dLblPos val="outEnd"/>
              <c:showVal val="1"/>
            </c:dLbl>
            <c:dLbl>
              <c:idx val="8"/>
              <c:layout>
                <c:manualLayout>
                  <c:x val="-4.2702317217516534E-3"/>
                  <c:y val="-7.9364160362307788E-3"/>
                </c:manualLayout>
              </c:layout>
              <c:dLblPos val="outEnd"/>
              <c:showVal val="1"/>
            </c:dLbl>
            <c:dLbl>
              <c:idx val="9"/>
              <c:layout>
                <c:manualLayout>
                  <c:x val="-6.3748825107881714E-3"/>
                  <c:y val="-1.1904945705316269E-2"/>
                </c:manualLayout>
              </c:layout>
              <c:dLblPos val="outEnd"/>
              <c:showVal val="1"/>
            </c:dLbl>
            <c:dLbl>
              <c:idx val="10"/>
              <c:layout>
                <c:manualLayout>
                  <c:x val="-8.8998629866508232E-3"/>
                  <c:y val="-5.5243554114559144E-3"/>
                </c:manualLayout>
              </c:layout>
              <c:dLblPos val="outEnd"/>
              <c:showVal val="1"/>
            </c:dLbl>
            <c:dLbl>
              <c:idx val="11"/>
              <c:layout>
                <c:manualLayout>
                  <c:x val="-1.1214678619100448E-2"/>
                  <c:y val="-7.9364160362307788E-3"/>
                </c:manualLayout>
              </c:layout>
              <c:dLblPos val="outEnd"/>
              <c:showVal val="1"/>
            </c:dLbl>
            <c:dLbl>
              <c:idx val="12"/>
              <c:layout>
                <c:manualLayout>
                  <c:x val="-1.3457614342920501E-2"/>
                  <c:y val="-5.0187200864597733E-3"/>
                </c:manualLayout>
              </c:layout>
              <c:dLblPos val="outEnd"/>
              <c:showVal val="1"/>
            </c:dLbl>
            <c:dLbl>
              <c:idx val="13"/>
              <c:layout>
                <c:manualLayout>
                  <c:x val="-8.7657384970778046E-3"/>
                  <c:y val="-6.7697787776528247E-3"/>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Jenin</c:v>
                </c:pt>
                <c:pt idx="4">
                  <c:v>Tulkarm</c:v>
                </c:pt>
                <c:pt idx="5">
                  <c:v>Gaza</c:v>
                </c:pt>
                <c:pt idx="6">
                  <c:v>Bethlehem</c:v>
                </c:pt>
                <c:pt idx="7">
                  <c:v>Salfit</c:v>
                </c:pt>
                <c:pt idx="8">
                  <c:v>Tubas</c:v>
                </c:pt>
                <c:pt idx="9">
                  <c:v>َQalqilya</c:v>
                </c:pt>
                <c:pt idx="10">
                  <c:v>Jericho &amp; Al Aghwar</c:v>
                </c:pt>
                <c:pt idx="11">
                  <c:v>Jerusalem*</c:v>
                </c:pt>
                <c:pt idx="12">
                  <c:v>Deir Al-Balah</c:v>
                </c:pt>
                <c:pt idx="13">
                  <c:v>North Gaza</c:v>
                </c:pt>
              </c:strCache>
            </c:strRef>
          </c:cat>
          <c:val>
            <c:numRef>
              <c:f>Sheet1!$C$2:$C$15</c:f>
              <c:numCache>
                <c:formatCode>General</c:formatCode>
                <c:ptCount val="14"/>
                <c:pt idx="0">
                  <c:v>552</c:v>
                </c:pt>
                <c:pt idx="1">
                  <c:v>372</c:v>
                </c:pt>
                <c:pt idx="2">
                  <c:v>198</c:v>
                </c:pt>
                <c:pt idx="3">
                  <c:v>180</c:v>
                </c:pt>
                <c:pt idx="4">
                  <c:v>153</c:v>
                </c:pt>
                <c:pt idx="5">
                  <c:v>131</c:v>
                </c:pt>
                <c:pt idx="6">
                  <c:v>94</c:v>
                </c:pt>
                <c:pt idx="7">
                  <c:v>87</c:v>
                </c:pt>
                <c:pt idx="8">
                  <c:v>80</c:v>
                </c:pt>
                <c:pt idx="9">
                  <c:v>77</c:v>
                </c:pt>
                <c:pt idx="10">
                  <c:v>46</c:v>
                </c:pt>
                <c:pt idx="11">
                  <c:v>34</c:v>
                </c:pt>
                <c:pt idx="12">
                  <c:v>16</c:v>
                </c:pt>
                <c:pt idx="13">
                  <c:v>6</c:v>
                </c:pt>
              </c:numCache>
            </c:numRef>
          </c:val>
        </c:ser>
        <c:dLbls>
          <c:showVal val="1"/>
        </c:dLbls>
        <c:axId val="83397248"/>
        <c:axId val="83403520"/>
      </c:barChart>
      <c:catAx>
        <c:axId val="83397248"/>
        <c:scaling>
          <c:orientation val="minMax"/>
        </c:scaling>
        <c:axPos val="l"/>
        <c:title>
          <c:tx>
            <c:rich>
              <a:bodyPr/>
              <a:lstStyle/>
              <a:p>
                <a:pPr>
                  <a:defRPr/>
                </a:pPr>
                <a:r>
                  <a:rPr lang="en-US"/>
                  <a:t>Governotate</a:t>
                </a:r>
              </a:p>
            </c:rich>
          </c:tx>
          <c:layout>
            <c:manualLayout>
              <c:xMode val="edge"/>
              <c:yMode val="edge"/>
              <c:x val="8.6045717630226955E-3"/>
              <c:y val="0.37319960004999381"/>
            </c:manualLayout>
          </c:layout>
        </c:title>
        <c:numFmt formatCode="General" sourceLinked="1"/>
        <c:tickLblPos val="nextTo"/>
        <c:crossAx val="83403520"/>
        <c:crosses val="autoZero"/>
        <c:auto val="1"/>
        <c:lblAlgn val="ctr"/>
        <c:lblOffset val="100"/>
      </c:catAx>
      <c:valAx>
        <c:axId val="83403520"/>
        <c:scaling>
          <c:orientation val="minMax"/>
        </c:scaling>
        <c:axPos val="b"/>
        <c:title>
          <c:tx>
            <c:rich>
              <a:bodyPr/>
              <a:lstStyle/>
              <a:p>
                <a:pPr algn="ctr" rtl="0">
                  <a:defRPr/>
                </a:pPr>
                <a:r>
                  <a:rPr lang="en-US"/>
                  <a:t>No. of Licenses </a:t>
                </a:r>
                <a:endParaRPr lang="ar-SA"/>
              </a:p>
            </c:rich>
          </c:tx>
          <c:layout>
            <c:manualLayout>
              <c:xMode val="edge"/>
              <c:yMode val="edge"/>
              <c:x val="0.4513393096974308"/>
              <c:y val="0.94220659917510308"/>
            </c:manualLayout>
          </c:layout>
        </c:title>
        <c:numFmt formatCode="General" sourceLinked="1"/>
        <c:tickLblPos val="nextTo"/>
        <c:crossAx val="83397248"/>
        <c:crosses val="autoZero"/>
        <c:crossBetween val="between"/>
      </c:valAx>
    </c:plotArea>
    <c:legend>
      <c:legendPos val="r"/>
      <c:layout>
        <c:manualLayout>
          <c:xMode val="edge"/>
          <c:yMode val="edge"/>
          <c:x val="0.72622373336828194"/>
          <c:y val="2.4509803921568631E-2"/>
          <c:w val="0.25961822055016565"/>
          <c:h val="0.17477902578354168"/>
        </c:manualLayout>
      </c:layout>
      <c:spPr>
        <a:ln>
          <a:solidFill>
            <a:sysClr val="windowText" lastClr="000000"/>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6617079115110662"/>
        </c:manualLayout>
      </c:layout>
      <c:barChart>
        <c:barDir val="bar"/>
        <c:grouping val="clustered"/>
        <c:ser>
          <c:idx val="0"/>
          <c:order val="0"/>
          <c:tx>
            <c:strRef>
              <c:f>Sheet1!$B$1</c:f>
              <c:strCache>
                <c:ptCount val="1"/>
                <c:pt idx="0">
                  <c:v>Second Quarter 2013</c:v>
                </c:pt>
              </c:strCache>
            </c:strRef>
          </c:tx>
          <c:spPr>
            <a:solidFill>
              <a:schemeClr val="bg1">
                <a:lumMod val="50000"/>
              </a:schemeClr>
            </a:solidFill>
            <a:ln>
              <a:solidFill>
                <a:schemeClr val="tx1"/>
              </a:solidFill>
            </a:ln>
          </c:spPr>
          <c:dLbls>
            <c:dLbl>
              <c:idx val="0"/>
              <c:layout>
                <c:manualLayout>
                  <c:x val="-2.2424327605653971E-3"/>
                  <c:y val="0"/>
                </c:manualLayout>
              </c:layout>
              <c:dLblPos val="outEnd"/>
              <c:showVal val="1"/>
            </c:dLbl>
            <c:dLbl>
              <c:idx val="1"/>
              <c:layout>
                <c:manualLayout>
                  <c:x val="-9.1840864258305645E-3"/>
                  <c:y val="-1.7507462302506305E-3"/>
                </c:manualLayout>
              </c:layout>
              <c:dLblPos val="outEnd"/>
              <c:showVal val="1"/>
            </c:dLbl>
            <c:dLbl>
              <c:idx val="2"/>
              <c:layout>
                <c:manualLayout>
                  <c:x val="-6.7996917802656247E-3"/>
                  <c:y val="4.9019607843137488E-3"/>
                </c:manualLayout>
              </c:layout>
              <c:dLblPos val="outEnd"/>
              <c:showVal val="1"/>
            </c:dLbl>
            <c:dLbl>
              <c:idx val="3"/>
              <c:layout>
                <c:manualLayout>
                  <c:x val="-7.1575981744125446E-3"/>
                  <c:y val="8.4420513612269068E-3"/>
                </c:manualLayout>
              </c:layout>
              <c:dLblPos val="outEnd"/>
              <c:showVal val="1"/>
            </c:dLbl>
            <c:dLbl>
              <c:idx val="4"/>
              <c:layout>
                <c:manualLayout>
                  <c:x val="0"/>
                  <c:y val="0"/>
                </c:manualLayout>
              </c:layout>
              <c:dLblPos val="outEnd"/>
              <c:showVal val="1"/>
            </c:dLbl>
            <c:dLbl>
              <c:idx val="5"/>
              <c:layout>
                <c:manualLayout>
                  <c:x val="-9.0474216260921659E-3"/>
                  <c:y val="5.0187200864597889E-3"/>
                </c:manualLayout>
              </c:layout>
              <c:dLblPos val="outEnd"/>
              <c:showVal val="1"/>
            </c:dLbl>
            <c:dLbl>
              <c:idx val="6"/>
              <c:layout>
                <c:manualLayout>
                  <c:x val="-6.7272982816961842E-3"/>
                  <c:y val="7.7032190829087752E-3"/>
                </c:manualLayout>
              </c:layout>
              <c:dLblPos val="outEnd"/>
              <c:showVal val="1"/>
            </c:dLbl>
            <c:dLbl>
              <c:idx val="7"/>
              <c:layout>
                <c:manualLayout>
                  <c:x val="-8.9697310422615726E-3"/>
                  <c:y val="-3.5027790643816641E-4"/>
                </c:manualLayout>
              </c:layout>
              <c:dLblPos val="outEnd"/>
              <c:showVal val="1"/>
            </c:dLbl>
            <c:dLbl>
              <c:idx val="8"/>
              <c:layout>
                <c:manualLayout>
                  <c:x val="-1.1212163802826948E-2"/>
                  <c:y val="7.7032190829087752E-3"/>
                </c:manualLayout>
              </c:layout>
              <c:dLblPos val="outEnd"/>
              <c:showVal val="1"/>
            </c:dLbl>
            <c:dLbl>
              <c:idx val="9"/>
              <c:layout>
                <c:manualLayout>
                  <c:x val="-6.7272982816961842E-3"/>
                  <c:y val="0"/>
                </c:manualLayout>
              </c:layout>
              <c:dLblPos val="outEnd"/>
              <c:showVal val="1"/>
            </c:dLbl>
            <c:dLbl>
              <c:idx val="10"/>
              <c:layout>
                <c:manualLayout>
                  <c:x val="-4.4848655211307794E-3"/>
                  <c:y val="-4.55168287787556E-3"/>
                </c:manualLayout>
              </c:layout>
              <c:dLblPos val="outEnd"/>
              <c:showVal val="1"/>
            </c:dLbl>
            <c:dLbl>
              <c:idx val="11"/>
              <c:layout>
                <c:manualLayout>
                  <c:x val="-2.4596132562736948E-3"/>
                  <c:y val="8.986928104575161E-3"/>
                </c:manualLayout>
              </c:layout>
              <c:dLblPos val="outEnd"/>
              <c:showVal val="1"/>
            </c:dLbl>
            <c:dLbl>
              <c:idx val="12"/>
              <c:layout>
                <c:manualLayout>
                  <c:x val="-1.1212163802826948E-2"/>
                  <c:y val="1.2254901960784314E-2"/>
                </c:manualLayout>
              </c:layout>
              <c:dLblPos val="outEnd"/>
              <c:showVal val="1"/>
            </c:dLbl>
            <c:dLbl>
              <c:idx val="13"/>
              <c:layout>
                <c:manualLayout>
                  <c:x val="-1.1429167729026544E-2"/>
                  <c:y val="-1.0501904173742939E-3"/>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Bethlehem</c:v>
                </c:pt>
                <c:pt idx="4">
                  <c:v>Jenin</c:v>
                </c:pt>
                <c:pt idx="5">
                  <c:v>Jerusalem**</c:v>
                </c:pt>
                <c:pt idx="6">
                  <c:v>َQalqilya</c:v>
                </c:pt>
                <c:pt idx="7">
                  <c:v>Tulkarm</c:v>
                </c:pt>
                <c:pt idx="8">
                  <c:v>Jericho &amp; Al Aghwar</c:v>
                </c:pt>
                <c:pt idx="9">
                  <c:v>Tubas</c:v>
                </c:pt>
                <c:pt idx="10">
                  <c:v>Salfit</c:v>
                </c:pt>
                <c:pt idx="11">
                  <c:v>Gaza</c:v>
                </c:pt>
                <c:pt idx="12">
                  <c:v>Deir Al-Balah</c:v>
                </c:pt>
                <c:pt idx="13">
                  <c:v>North Gaza</c:v>
                </c:pt>
              </c:strCache>
            </c:strRef>
          </c:cat>
          <c:val>
            <c:numRef>
              <c:f>Sheet1!$B$2:$B$15</c:f>
              <c:numCache>
                <c:formatCode>General</c:formatCode>
                <c:ptCount val="14"/>
                <c:pt idx="0">
                  <c:v>67</c:v>
                </c:pt>
                <c:pt idx="1">
                  <c:v>34</c:v>
                </c:pt>
                <c:pt idx="2">
                  <c:v>30</c:v>
                </c:pt>
                <c:pt idx="3">
                  <c:v>11</c:v>
                </c:pt>
                <c:pt idx="4">
                  <c:v>25</c:v>
                </c:pt>
                <c:pt idx="5">
                  <c:v>9</c:v>
                </c:pt>
                <c:pt idx="6">
                  <c:v>9</c:v>
                </c:pt>
                <c:pt idx="7">
                  <c:v>11</c:v>
                </c:pt>
                <c:pt idx="8">
                  <c:v>6</c:v>
                </c:pt>
                <c:pt idx="9">
                  <c:v>7</c:v>
                </c:pt>
                <c:pt idx="10">
                  <c:v>7</c:v>
                </c:pt>
                <c:pt idx="11">
                  <c:v>2</c:v>
                </c:pt>
                <c:pt idx="12">
                  <c:v>0</c:v>
                </c:pt>
                <c:pt idx="13">
                  <c:v>1</c:v>
                </c:pt>
              </c:numCache>
            </c:numRef>
          </c:val>
        </c:ser>
        <c:ser>
          <c:idx val="1"/>
          <c:order val="1"/>
          <c:tx>
            <c:strRef>
              <c:f>Sheet1!$C$1</c:f>
              <c:strCache>
                <c:ptCount val="1"/>
                <c:pt idx="0">
                  <c:v>Third Quarter 2013</c:v>
                </c:pt>
              </c:strCache>
            </c:strRef>
          </c:tx>
          <c:spPr>
            <a:noFill/>
            <a:ln>
              <a:solidFill>
                <a:schemeClr val="tx1"/>
              </a:solidFill>
            </a:ln>
            <a:effectLst>
              <a:outerShdw blurRad="50800" dist="50800" dir="5400000" algn="ctr" rotWithShape="0">
                <a:schemeClr val="bg1"/>
              </a:outerShdw>
            </a:effectLst>
          </c:spPr>
          <c:dLbls>
            <c:dLbl>
              <c:idx val="0"/>
              <c:layout>
                <c:manualLayout>
                  <c:x val="-8.6079401189231141E-3"/>
                  <c:y val="-7.9753358036127979E-3"/>
                </c:manualLayout>
              </c:layout>
              <c:dLblPos val="outEnd"/>
              <c:showVal val="1"/>
            </c:dLbl>
            <c:dLbl>
              <c:idx val="1"/>
              <c:layout>
                <c:manualLayout>
                  <c:x val="-8.9683184861919039E-3"/>
                  <c:y val="-3.9682080181153894E-3"/>
                </c:manualLayout>
              </c:layout>
              <c:dLblPos val="outEnd"/>
              <c:showVal val="1"/>
            </c:dLbl>
            <c:dLbl>
              <c:idx val="2"/>
              <c:layout>
                <c:manualLayout>
                  <c:x val="-4.4848655211307794E-3"/>
                  <c:y val="-8.7144897329010495E-3"/>
                </c:manualLayout>
              </c:layout>
              <c:dLblPos val="outEnd"/>
              <c:showVal val="1"/>
            </c:dLbl>
            <c:dLbl>
              <c:idx val="3"/>
              <c:layout>
                <c:manualLayout>
                  <c:x val="-1.1212163802826948E-2"/>
                  <c:y val="-7.4890202400118212E-17"/>
                </c:manualLayout>
              </c:layout>
              <c:dLblPos val="outEnd"/>
              <c:showVal val="1"/>
            </c:dLbl>
            <c:dLbl>
              <c:idx val="4"/>
              <c:layout>
                <c:manualLayout>
                  <c:x val="-8.969907611770328E-3"/>
                  <c:y val="-4.0852889712316197E-3"/>
                </c:manualLayout>
              </c:layout>
              <c:dLblPos val="outEnd"/>
              <c:showVal val="1"/>
            </c:dLbl>
            <c:dLbl>
              <c:idx val="5"/>
              <c:layout>
                <c:manualLayout>
                  <c:x val="-8.9052831715839189E-3"/>
                  <c:y val="3.1512145540630999E-3"/>
                </c:manualLayout>
              </c:layout>
              <c:dLblPos val="outEnd"/>
              <c:showVal val="1"/>
            </c:dLbl>
            <c:dLbl>
              <c:idx val="6"/>
              <c:layout>
                <c:manualLayout>
                  <c:x val="-4.4848655211307794E-3"/>
                  <c:y val="0"/>
                </c:manualLayout>
              </c:layout>
              <c:dLblPos val="outEnd"/>
              <c:showVal val="1"/>
            </c:dLbl>
            <c:dLbl>
              <c:idx val="7"/>
              <c:layout>
                <c:manualLayout>
                  <c:x val="-6.7272982816961842E-3"/>
                  <c:y val="0"/>
                </c:manualLayout>
              </c:layout>
              <c:dLblPos val="outEnd"/>
              <c:showVal val="1"/>
            </c:dLbl>
            <c:dLbl>
              <c:idx val="8"/>
              <c:layout>
                <c:manualLayout>
                  <c:x val="-8.9697310422615726E-3"/>
                  <c:y val="0"/>
                </c:manualLayout>
              </c:layout>
              <c:dLblPos val="outEnd"/>
              <c:showVal val="1"/>
            </c:dLbl>
            <c:dLbl>
              <c:idx val="9"/>
              <c:layout>
                <c:manualLayout>
                  <c:x val="-6.7272982816961842E-3"/>
                  <c:y val="0"/>
                </c:manualLayout>
              </c:layout>
              <c:dLblPos val="outEnd"/>
              <c:showVal val="1"/>
            </c:dLbl>
            <c:dLbl>
              <c:idx val="10"/>
              <c:layout>
                <c:manualLayout>
                  <c:x val="-6.7272982816961842E-3"/>
                  <c:y val="-4.0849673202614381E-3"/>
                </c:manualLayout>
              </c:layout>
              <c:dLblPos val="outEnd"/>
              <c:showVal val="1"/>
            </c:dLbl>
            <c:dLbl>
              <c:idx val="11"/>
              <c:layout>
                <c:manualLayout>
                  <c:x val="-8.9697310422615726E-3"/>
                  <c:y val="1.8722550600029559E-17"/>
                </c:manualLayout>
              </c:layout>
              <c:dLblPos val="outEnd"/>
              <c:showVal val="1"/>
            </c:dLbl>
            <c:dLbl>
              <c:idx val="12"/>
              <c:layout>
                <c:manualLayout>
                  <c:x val="-6.7313593803964202E-3"/>
                  <c:y val="-1.5950671607225608E-3"/>
                </c:manualLayout>
              </c:layout>
              <c:dLblPos val="outEnd"/>
              <c:showVal val="1"/>
            </c:dLbl>
            <c:dLbl>
              <c:idx val="13"/>
              <c:layout>
                <c:manualLayout>
                  <c:x val="-1.3456009119462006E-2"/>
                  <c:y val="-6.6916267819463896E-3"/>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Bethlehem</c:v>
                </c:pt>
                <c:pt idx="4">
                  <c:v>Jenin</c:v>
                </c:pt>
                <c:pt idx="5">
                  <c:v>Jerusalem**</c:v>
                </c:pt>
                <c:pt idx="6">
                  <c:v>َQalqilya</c:v>
                </c:pt>
                <c:pt idx="7">
                  <c:v>Tulkarm</c:v>
                </c:pt>
                <c:pt idx="8">
                  <c:v>Jericho &amp; Al Aghwar</c:v>
                </c:pt>
                <c:pt idx="9">
                  <c:v>Tubas</c:v>
                </c:pt>
                <c:pt idx="10">
                  <c:v>Salfit</c:v>
                </c:pt>
                <c:pt idx="11">
                  <c:v>Gaza</c:v>
                </c:pt>
                <c:pt idx="12">
                  <c:v>Deir Al-Balah</c:v>
                </c:pt>
                <c:pt idx="13">
                  <c:v>North Gaza</c:v>
                </c:pt>
              </c:strCache>
            </c:strRef>
          </c:cat>
          <c:val>
            <c:numRef>
              <c:f>Sheet1!$C$2:$C$15</c:f>
              <c:numCache>
                <c:formatCode>General</c:formatCode>
                <c:ptCount val="14"/>
                <c:pt idx="0">
                  <c:v>66</c:v>
                </c:pt>
                <c:pt idx="1">
                  <c:v>31</c:v>
                </c:pt>
                <c:pt idx="2">
                  <c:v>18</c:v>
                </c:pt>
                <c:pt idx="3">
                  <c:v>17</c:v>
                </c:pt>
                <c:pt idx="4">
                  <c:v>16</c:v>
                </c:pt>
                <c:pt idx="5">
                  <c:v>12</c:v>
                </c:pt>
                <c:pt idx="6">
                  <c:v>9</c:v>
                </c:pt>
                <c:pt idx="7">
                  <c:v>8</c:v>
                </c:pt>
                <c:pt idx="8">
                  <c:v>6</c:v>
                </c:pt>
                <c:pt idx="9">
                  <c:v>3</c:v>
                </c:pt>
                <c:pt idx="10">
                  <c:v>3</c:v>
                </c:pt>
                <c:pt idx="11">
                  <c:v>3</c:v>
                </c:pt>
                <c:pt idx="12">
                  <c:v>1</c:v>
                </c:pt>
                <c:pt idx="13">
                  <c:v>0</c:v>
                </c:pt>
              </c:numCache>
            </c:numRef>
          </c:val>
        </c:ser>
        <c:dLbls>
          <c:showVal val="1"/>
        </c:dLbls>
        <c:axId val="83543936"/>
        <c:axId val="83644416"/>
      </c:barChart>
      <c:catAx>
        <c:axId val="83543936"/>
        <c:scaling>
          <c:orientation val="minMax"/>
        </c:scaling>
        <c:axPos val="l"/>
        <c:title>
          <c:tx>
            <c:rich>
              <a:bodyPr/>
              <a:lstStyle/>
              <a:p>
                <a:pPr>
                  <a:defRPr sz="900" b="1"/>
                </a:pPr>
                <a:r>
                  <a:rPr lang="en-US" sz="900" b="1"/>
                  <a:t>Governotate</a:t>
                </a:r>
              </a:p>
            </c:rich>
          </c:tx>
          <c:layout>
            <c:manualLayout>
              <c:xMode val="edge"/>
              <c:yMode val="edge"/>
              <c:x val="4.4848655211307794E-3"/>
              <c:y val="0.3881683907158674"/>
            </c:manualLayout>
          </c:layout>
        </c:title>
        <c:numFmt formatCode="General" sourceLinked="1"/>
        <c:tickLblPos val="nextTo"/>
        <c:crossAx val="83644416"/>
        <c:crosses val="autoZero"/>
        <c:auto val="1"/>
        <c:lblAlgn val="ctr"/>
        <c:lblOffset val="100"/>
      </c:catAx>
      <c:valAx>
        <c:axId val="83644416"/>
        <c:scaling>
          <c:orientation val="minMax"/>
        </c:scaling>
        <c:axPos val="b"/>
        <c:title>
          <c:tx>
            <c:rich>
              <a:bodyPr/>
              <a:lstStyle/>
              <a:p>
                <a:pPr algn="ctr" rtl="0">
                  <a:defRPr/>
                </a:pPr>
                <a:r>
                  <a:rPr lang="en-US"/>
                  <a:t>No. of Licenses </a:t>
                </a:r>
                <a:endParaRPr lang="ar-SA"/>
              </a:p>
            </c:rich>
          </c:tx>
          <c:layout>
            <c:manualLayout>
              <c:xMode val="edge"/>
              <c:yMode val="edge"/>
              <c:x val="0.46481391966553481"/>
              <c:y val="0.94259561304837403"/>
            </c:manualLayout>
          </c:layout>
        </c:title>
        <c:numFmt formatCode="General" sourceLinked="1"/>
        <c:tickLblPos val="nextTo"/>
        <c:crossAx val="83543936"/>
        <c:crosses val="autoZero"/>
        <c:crossBetween val="between"/>
      </c:valAx>
    </c:plotArea>
    <c:legend>
      <c:legendPos val="r"/>
      <c:layout>
        <c:manualLayout>
          <c:xMode val="edge"/>
          <c:yMode val="edge"/>
          <c:x val="0.72609001654810168"/>
          <c:y val="3.9353518310211236E-2"/>
          <c:w val="0.25507037001199967"/>
          <c:h val="0.17069405846328031"/>
        </c:manualLayout>
      </c:layout>
      <c:spPr>
        <a:ln>
          <a:solidFill>
            <a:schemeClr val="tx1"/>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AA2D-F111-4844-8B4E-1A36823FE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wbaniodeh</cp:lastModifiedBy>
  <cp:revision>16</cp:revision>
  <cp:lastPrinted>2013-11-13T06:32:00Z</cp:lastPrinted>
  <dcterms:created xsi:type="dcterms:W3CDTF">2013-11-03T07:52:00Z</dcterms:created>
  <dcterms:modified xsi:type="dcterms:W3CDTF">2013-11-18T07:58:00Z</dcterms:modified>
</cp:coreProperties>
</file>