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Default="00CB29F6">
      <w:pPr>
        <w:jc w:val="center"/>
      </w:pPr>
      <w:r>
        <w:rPr>
          <w:noProof/>
        </w:rPr>
        <w:drawing>
          <wp:inline distT="0" distB="0" distL="0" distR="0">
            <wp:extent cx="946150" cy="126555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6150" cy="1265555"/>
                    </a:xfrm>
                    <a:prstGeom prst="rect">
                      <a:avLst/>
                    </a:prstGeom>
                    <a:noFill/>
                    <a:ln w="9525">
                      <a:noFill/>
                      <a:miter lim="800000"/>
                      <a:headEnd/>
                      <a:tailEnd/>
                    </a:ln>
                  </pic:spPr>
                </pic:pic>
              </a:graphicData>
            </a:graphic>
          </wp:inline>
        </w:drawing>
      </w:r>
    </w:p>
    <w:p w:rsidR="003916F1" w:rsidRDefault="003916F1">
      <w:pPr>
        <w:pStyle w:val="Caption"/>
        <w:rPr>
          <w:sz w:val="48"/>
          <w:szCs w:val="48"/>
        </w:rPr>
      </w:pPr>
      <w:r>
        <w:rPr>
          <w:sz w:val="48"/>
          <w:szCs w:val="48"/>
        </w:rPr>
        <w:t xml:space="preserve">Palestinian National Authority </w:t>
      </w:r>
    </w:p>
    <w:p w:rsidR="003916F1" w:rsidRDefault="003916F1">
      <w:pPr>
        <w:pStyle w:val="Caption"/>
        <w:rPr>
          <w:szCs w:val="52"/>
        </w:rPr>
      </w:pPr>
      <w:r>
        <w:rPr>
          <w:szCs w:val="52"/>
        </w:rPr>
        <w:t>Palestinian Central Bureau of Statistics</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tl/>
          <w:lang w:val="en-GB"/>
        </w:rPr>
      </w:pPr>
    </w:p>
    <w:p w:rsidR="003916F1" w:rsidRDefault="003916F1">
      <w:pPr>
        <w:ind w:right="368" w:firstLine="284"/>
        <w:jc w:val="center"/>
        <w:rPr>
          <w:b/>
          <w:bCs/>
          <w:sz w:val="28"/>
          <w:szCs w:val="28"/>
        </w:rPr>
      </w:pPr>
    </w:p>
    <w:p w:rsidR="003916F1" w:rsidRDefault="003916F1">
      <w:pPr>
        <w:pStyle w:val="BodyText"/>
        <w:jc w:val="center"/>
        <w:rPr>
          <w:b/>
          <w:bCs/>
          <w:sz w:val="40"/>
          <w:szCs w:val="40"/>
        </w:rPr>
      </w:pPr>
      <w:r>
        <w:rPr>
          <w:b/>
          <w:bCs/>
          <w:sz w:val="40"/>
          <w:szCs w:val="40"/>
        </w:rPr>
        <w:t>Israeli Settlements in the Palestinian Territory</w:t>
      </w:r>
    </w:p>
    <w:p w:rsidR="003916F1" w:rsidRDefault="003916F1" w:rsidP="00816249">
      <w:pPr>
        <w:pStyle w:val="BodyText"/>
        <w:jc w:val="center"/>
        <w:rPr>
          <w:b/>
          <w:bCs/>
          <w:sz w:val="36"/>
          <w:szCs w:val="36"/>
        </w:rPr>
      </w:pPr>
      <w:r>
        <w:rPr>
          <w:b/>
          <w:bCs/>
          <w:sz w:val="40"/>
          <w:szCs w:val="40"/>
        </w:rPr>
        <w:t xml:space="preserve">Annual Statistical Report </w:t>
      </w:r>
      <w:r w:rsidR="00816249">
        <w:rPr>
          <w:rFonts w:hint="cs"/>
          <w:b/>
          <w:bCs/>
          <w:sz w:val="40"/>
          <w:szCs w:val="40"/>
          <w:rtl/>
          <w:lang w:val="en-GB"/>
        </w:rPr>
        <w:t>2011</w:t>
      </w: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3916F1" w:rsidRDefault="003916F1">
      <w:pPr>
        <w:ind w:right="368" w:firstLine="284"/>
        <w:jc w:val="center"/>
        <w:rPr>
          <w:b/>
          <w:bCs/>
          <w:sz w:val="28"/>
          <w:szCs w:val="28"/>
        </w:rPr>
      </w:pPr>
    </w:p>
    <w:p w:rsidR="0007030C" w:rsidRDefault="003916F1" w:rsidP="00816249">
      <w:pPr>
        <w:jc w:val="center"/>
        <w:rPr>
          <w:b/>
          <w:bCs/>
          <w:sz w:val="28"/>
          <w:szCs w:val="28"/>
          <w:rtl/>
        </w:rPr>
        <w:sectPr w:rsidR="0007030C" w:rsidSect="00695FB3">
          <w:pgSz w:w="11909" w:h="16834" w:code="9"/>
          <w:pgMar w:top="1418" w:right="1418" w:bottom="1418" w:left="1418" w:header="720" w:footer="720" w:gutter="0"/>
          <w:pgNumType w:start="25"/>
          <w:cols w:space="720"/>
          <w:bidi/>
          <w:rtlGutter/>
        </w:sectPr>
      </w:pPr>
      <w:r>
        <w:rPr>
          <w:b/>
          <w:bCs/>
          <w:sz w:val="28"/>
          <w:szCs w:val="28"/>
        </w:rPr>
        <w:t xml:space="preserve">August, </w:t>
      </w:r>
      <w:r w:rsidR="00816249">
        <w:rPr>
          <w:b/>
          <w:bCs/>
          <w:sz w:val="28"/>
          <w:szCs w:val="28"/>
        </w:rPr>
        <w:t>2012</w:t>
      </w:r>
    </w:p>
    <w:p w:rsidR="003916F1" w:rsidRPr="00A078D4" w:rsidRDefault="003916F1">
      <w:pPr>
        <w:pStyle w:val="BodyText2"/>
        <w:jc w:val="lowKashida"/>
      </w:pPr>
      <w:r w:rsidRPr="00A078D4">
        <w:lastRenderedPageBreak/>
        <w:t>PAGE NUMBERS OF ENGLISH TEXT ARE PRINTED IN SQUARE BRACKETS.</w:t>
      </w:r>
    </w:p>
    <w:p w:rsidR="003916F1" w:rsidRPr="00A078D4" w:rsidRDefault="003916F1">
      <w:pPr>
        <w:jc w:val="lowKashida"/>
        <w:rPr>
          <w:sz w:val="24"/>
          <w:szCs w:val="24"/>
        </w:rPr>
      </w:pPr>
      <w:r w:rsidRPr="00A078D4">
        <w:rPr>
          <w:sz w:val="24"/>
          <w:szCs w:val="24"/>
        </w:rPr>
        <w:t>TABLES ARE PRINTED IN THE ARABIC ORDER (FROM RIGHT TO LEFT)</w:t>
      </w:r>
    </w:p>
    <w:p w:rsidR="003916F1" w:rsidRDefault="00B02478">
      <w:pPr>
        <w:rPr>
          <w:sz w:val="24"/>
          <w:szCs w:val="24"/>
          <w:rtl/>
          <w:lang w:val="en-GB"/>
        </w:rPr>
      </w:pPr>
      <w:r w:rsidRPr="00B02478">
        <w:rPr>
          <w:noProof/>
          <w:szCs w:val="24"/>
          <w:rtl/>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F968BD" w:rsidRDefault="00F968BD">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jc w:val="lowKashida"/>
        <w:rPr>
          <w:rFonts w:cs="Times New Roman"/>
          <w:sz w:val="16"/>
          <w:szCs w:val="16"/>
        </w:rPr>
      </w:pPr>
    </w:p>
    <w:p w:rsidR="003916F1" w:rsidRDefault="003916F1">
      <w:pPr>
        <w:rPr>
          <w:rFonts w:cs="Simplified Arabic"/>
          <w:rtl/>
          <w:lang w:val="en-GB"/>
        </w:rPr>
      </w:pPr>
    </w:p>
    <w:p w:rsidR="003916F1" w:rsidRDefault="003916F1">
      <w:pPr>
        <w:jc w:val="lowKashida"/>
        <w:rPr>
          <w:rFonts w:cs="Times New Roman"/>
          <w:sz w:val="16"/>
          <w:szCs w:val="16"/>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Pr>
      </w:pPr>
    </w:p>
    <w:p w:rsidR="003916F1" w:rsidRDefault="003916F1">
      <w:pPr>
        <w:pStyle w:val="Heading8"/>
        <w:jc w:val="center"/>
        <w:rPr>
          <w:sz w:val="28"/>
          <w:rtl/>
          <w:lang w:val="en-GB"/>
        </w:rPr>
      </w:pPr>
    </w:p>
    <w:p w:rsidR="003916F1" w:rsidRDefault="003916F1">
      <w:pPr>
        <w:rPr>
          <w:rtl/>
          <w:lang w:val="en-GB"/>
        </w:rPr>
      </w:pPr>
    </w:p>
    <w:p w:rsidR="003916F1" w:rsidRDefault="003916F1">
      <w:pPr>
        <w:rPr>
          <w:rtl/>
          <w:lang w:val="en-GB"/>
        </w:rPr>
      </w:pPr>
    </w:p>
    <w:p w:rsidR="003916F1" w:rsidRDefault="003916F1">
      <w:pPr>
        <w:rPr>
          <w:lang w:val="en-GB"/>
        </w:rPr>
      </w:pPr>
    </w:p>
    <w:p w:rsidR="003916F1" w:rsidRDefault="003916F1">
      <w:pPr>
        <w:rPr>
          <w:lang w:val="en-GB"/>
        </w:rPr>
      </w:pPr>
    </w:p>
    <w:p w:rsidR="003916F1" w:rsidRDefault="003916F1">
      <w:pPr>
        <w:rPr>
          <w:lang w:val="en-GB"/>
        </w:rPr>
      </w:pPr>
    </w:p>
    <w:p w:rsidR="003916F1" w:rsidRDefault="003916F1">
      <w:pPr>
        <w:rPr>
          <w:rtl/>
          <w:lang w:val="en-GB"/>
        </w:rPr>
      </w:pPr>
    </w:p>
    <w:p w:rsidR="003916F1" w:rsidRDefault="003916F1">
      <w:pPr>
        <w:rPr>
          <w:lang w:val="en-GB"/>
        </w:rPr>
      </w:pPr>
    </w:p>
    <w:p w:rsidR="00994C77" w:rsidRDefault="00994C77">
      <w:pPr>
        <w:rPr>
          <w:rtl/>
          <w:lang w:val="en-GB"/>
        </w:rPr>
      </w:pPr>
    </w:p>
    <w:p w:rsidR="003916F1" w:rsidRDefault="003916F1" w:rsidP="00BE4FF5">
      <w:pPr>
        <w:pStyle w:val="Heading8"/>
        <w:rPr>
          <w:sz w:val="28"/>
        </w:rPr>
      </w:pPr>
    </w:p>
    <w:p w:rsidR="003916F1" w:rsidRDefault="003916F1" w:rsidP="00816249">
      <w:pPr>
        <w:pStyle w:val="BodyText"/>
        <w:rPr>
          <w:sz w:val="20"/>
          <w:szCs w:val="20"/>
        </w:rPr>
      </w:pPr>
      <w:r>
        <w:rPr>
          <w:sz w:val="20"/>
          <w:szCs w:val="20"/>
        </w:rPr>
        <w:sym w:font="Symbol" w:char="F0E3"/>
      </w:r>
      <w:r>
        <w:rPr>
          <w:sz w:val="20"/>
          <w:szCs w:val="20"/>
        </w:rPr>
        <w:t xml:space="preserve"> August , </w:t>
      </w:r>
      <w:r w:rsidR="00816249">
        <w:rPr>
          <w:rFonts w:hint="cs"/>
          <w:sz w:val="20"/>
          <w:szCs w:val="20"/>
          <w:rtl/>
        </w:rPr>
        <w:t>2012</w:t>
      </w:r>
    </w:p>
    <w:p w:rsidR="003916F1" w:rsidRDefault="003916F1">
      <w:pPr>
        <w:pStyle w:val="BodyText"/>
        <w:rPr>
          <w:b/>
          <w:bCs/>
          <w:sz w:val="20"/>
          <w:szCs w:val="20"/>
        </w:rPr>
      </w:pPr>
      <w:r>
        <w:rPr>
          <w:b/>
          <w:bCs/>
          <w:sz w:val="20"/>
          <w:szCs w:val="20"/>
        </w:rPr>
        <w:t>All rights reserved.</w:t>
      </w:r>
    </w:p>
    <w:p w:rsidR="003916F1" w:rsidRDefault="003916F1">
      <w:pPr>
        <w:pStyle w:val="BodyText"/>
        <w:rPr>
          <w:b/>
          <w:bCs/>
          <w:sz w:val="20"/>
          <w:szCs w:val="20"/>
        </w:rPr>
      </w:pPr>
    </w:p>
    <w:p w:rsidR="003916F1" w:rsidRDefault="003916F1">
      <w:pPr>
        <w:pStyle w:val="BodyText"/>
        <w:rPr>
          <w:b/>
          <w:bCs/>
          <w:sz w:val="20"/>
          <w:szCs w:val="20"/>
        </w:rPr>
      </w:pPr>
      <w:r>
        <w:rPr>
          <w:b/>
          <w:bCs/>
          <w:sz w:val="20"/>
          <w:szCs w:val="20"/>
        </w:rPr>
        <w:t>Suggested Citation:</w:t>
      </w:r>
    </w:p>
    <w:p w:rsidR="003916F1" w:rsidRDefault="003916F1">
      <w:pPr>
        <w:pStyle w:val="BodyText"/>
        <w:rPr>
          <w:sz w:val="20"/>
          <w:szCs w:val="20"/>
        </w:rPr>
      </w:pPr>
    </w:p>
    <w:p w:rsidR="003916F1" w:rsidRDefault="003916F1" w:rsidP="00816249">
      <w:pPr>
        <w:pStyle w:val="BodyText"/>
        <w:rPr>
          <w:i/>
          <w:iCs/>
          <w:szCs w:val="24"/>
        </w:rPr>
      </w:pPr>
      <w:r>
        <w:rPr>
          <w:b/>
          <w:bCs/>
          <w:szCs w:val="24"/>
        </w:rPr>
        <w:t>Palestinian Ce</w:t>
      </w:r>
      <w:r w:rsidR="00BE4FF5">
        <w:rPr>
          <w:b/>
          <w:bCs/>
          <w:szCs w:val="24"/>
        </w:rPr>
        <w:t xml:space="preserve">ntral Bureau of Statistics, </w:t>
      </w:r>
      <w:r w:rsidR="00816249">
        <w:rPr>
          <w:b/>
          <w:bCs/>
          <w:szCs w:val="24"/>
        </w:rPr>
        <w:t>2012</w:t>
      </w:r>
      <w:r>
        <w:rPr>
          <w:b/>
          <w:bCs/>
          <w:szCs w:val="24"/>
        </w:rPr>
        <w:t>.</w:t>
      </w:r>
      <w:r>
        <w:rPr>
          <w:szCs w:val="24"/>
        </w:rPr>
        <w:t xml:space="preserve">  </w:t>
      </w:r>
      <w:r>
        <w:rPr>
          <w:i/>
          <w:iCs/>
          <w:szCs w:val="24"/>
        </w:rPr>
        <w:t>Israeli Settlements in the</w:t>
      </w:r>
      <w:r>
        <w:rPr>
          <w:b/>
          <w:bCs/>
          <w:szCs w:val="24"/>
        </w:rPr>
        <w:t xml:space="preserve"> </w:t>
      </w:r>
      <w:r>
        <w:rPr>
          <w:i/>
          <w:iCs/>
          <w:szCs w:val="24"/>
        </w:rPr>
        <w:t xml:space="preserve">Palestinian Territory, Annual Statistical Report </w:t>
      </w:r>
      <w:r w:rsidR="00816249">
        <w:rPr>
          <w:rFonts w:hint="cs"/>
          <w:i/>
          <w:iCs/>
          <w:szCs w:val="24"/>
          <w:rtl/>
        </w:rPr>
        <w:t>2011</w:t>
      </w:r>
      <w:r>
        <w:rPr>
          <w:i/>
          <w:iCs/>
          <w:szCs w:val="24"/>
        </w:rPr>
        <w:t>.</w:t>
      </w:r>
      <w:r>
        <w:rPr>
          <w:i/>
          <w:iCs/>
        </w:rPr>
        <w:t xml:space="preserve"> Ramallah- Palestine</w:t>
      </w:r>
    </w:p>
    <w:p w:rsidR="003916F1" w:rsidRDefault="003916F1">
      <w:pPr>
        <w:pStyle w:val="BodyText"/>
        <w:jc w:val="left"/>
        <w:rPr>
          <w:i/>
          <w:iCs/>
        </w:rPr>
      </w:pPr>
    </w:p>
    <w:p w:rsidR="00BE4FF5" w:rsidRDefault="00BE4FF5" w:rsidP="00BE4FF5">
      <w:pPr>
        <w:rPr>
          <w:rFonts w:cs="Times New Roman"/>
        </w:rPr>
      </w:pPr>
      <w:r>
        <w:rPr>
          <w:rFonts w:cs="Times New Roman"/>
        </w:rPr>
        <w:t>All correspondences should be directed to:</w:t>
      </w:r>
    </w:p>
    <w:p w:rsidR="00BE4FF5" w:rsidRDefault="00BE4FF5" w:rsidP="00BE4FF5">
      <w:pPr>
        <w:rPr>
          <w:rFonts w:cs="Times New Roman"/>
          <w:b/>
          <w:bCs/>
        </w:rPr>
      </w:pPr>
      <w:r>
        <w:rPr>
          <w:rFonts w:cs="Times New Roman"/>
          <w:b/>
          <w:bCs/>
        </w:rPr>
        <w:t>Palestinian Central Bureau of Statistics</w:t>
      </w:r>
    </w:p>
    <w:p w:rsidR="00BE4FF5" w:rsidRDefault="00BE4FF5" w:rsidP="00BE4FF5">
      <w:pPr>
        <w:rPr>
          <w:rFonts w:cs="Times New Roman"/>
          <w:b/>
          <w:bCs/>
        </w:rPr>
      </w:pPr>
      <w:proofErr w:type="spellStart"/>
      <w:r>
        <w:rPr>
          <w:rFonts w:cs="Times New Roman"/>
          <w:b/>
          <w:bCs/>
        </w:rPr>
        <w:t>P.O.Box</w:t>
      </w:r>
      <w:proofErr w:type="spellEnd"/>
      <w:r>
        <w:rPr>
          <w:rFonts w:cs="Times New Roman"/>
          <w:b/>
          <w:bCs/>
        </w:rPr>
        <w:t xml:space="preserve"> 1647 Ramallah, Palestine.</w:t>
      </w:r>
    </w:p>
    <w:p w:rsidR="00BE4FF5" w:rsidRDefault="00BE4FF5" w:rsidP="00BE4FF5">
      <w:pPr>
        <w:rPr>
          <w:rFonts w:cs="Times New Roman"/>
          <w:b/>
          <w:bCs/>
        </w:rPr>
      </w:pPr>
    </w:p>
    <w:p w:rsidR="00BE4FF5" w:rsidRDefault="00BE4FF5" w:rsidP="00BE4FF5">
      <w:pPr>
        <w:rPr>
          <w:rFonts w:cs="Times New Roman"/>
        </w:rPr>
      </w:pPr>
      <w:r>
        <w:rPr>
          <w:rFonts w:cs="Times New Roman"/>
        </w:rPr>
        <w:t xml:space="preserve">Tel: (972/970) </w:t>
      </w:r>
      <w:r>
        <w:rPr>
          <w:rFonts w:cs="Times New Roman" w:hint="cs"/>
          <w:rtl/>
          <w:lang w:val="en-GB"/>
        </w:rPr>
        <w:t xml:space="preserve">2 </w:t>
      </w:r>
      <w:proofErr w:type="spellStart"/>
      <w:r>
        <w:rPr>
          <w:rFonts w:cs="Times New Roman"/>
          <w:rtl/>
          <w:lang w:val="en-GB"/>
        </w:rPr>
        <w:t>2</w:t>
      </w:r>
      <w:proofErr w:type="spellEnd"/>
      <w:r>
        <w:rPr>
          <w:rFonts w:cs="Times New Roman"/>
        </w:rPr>
        <w:t>98 2700</w:t>
      </w:r>
    </w:p>
    <w:p w:rsidR="00BE4FF5" w:rsidRDefault="00BE4FF5" w:rsidP="00BE4FF5">
      <w:pPr>
        <w:rPr>
          <w:rFonts w:cs="Times New Roman"/>
        </w:rPr>
      </w:pPr>
      <w:r>
        <w:rPr>
          <w:rFonts w:cs="Times New Roman"/>
        </w:rPr>
        <w:t>Fax: (972/970) 2 298 2710</w:t>
      </w:r>
    </w:p>
    <w:p w:rsidR="00BE4FF5" w:rsidRDefault="00BE4FF5" w:rsidP="00BE4FF5">
      <w:pPr>
        <w:rPr>
          <w:rFonts w:cs="Times New Roman"/>
        </w:rPr>
      </w:pPr>
      <w:r>
        <w:rPr>
          <w:rFonts w:cs="Times New Roman"/>
        </w:rPr>
        <w:t>Toll Free: 1800300300</w:t>
      </w:r>
    </w:p>
    <w:p w:rsidR="00BE4FF5" w:rsidRDefault="00BE4FF5" w:rsidP="00BE4FF5">
      <w:pPr>
        <w:rPr>
          <w:rFonts w:cs="Times New Roman"/>
        </w:rPr>
      </w:pPr>
      <w:r>
        <w:rPr>
          <w:rFonts w:cs="Times New Roman"/>
        </w:rPr>
        <w:t xml:space="preserve">E-Mail: </w:t>
      </w:r>
      <w:hyperlink r:id="rId9" w:history="1">
        <w:r>
          <w:rPr>
            <w:rStyle w:val="Hyperlink"/>
            <w:rFonts w:cs="Times New Roman"/>
          </w:rPr>
          <w:t>diwan@pcbs.gov.ps</w:t>
        </w:r>
      </w:hyperlink>
    </w:p>
    <w:p w:rsidR="00BE4FF5" w:rsidRDefault="00BE4FF5" w:rsidP="00BE4FF5">
      <w:pPr>
        <w:rPr>
          <w:rFonts w:cs="Times New Roman"/>
        </w:rPr>
      </w:pPr>
      <w:r>
        <w:rPr>
          <w:rFonts w:cs="Times New Roman"/>
        </w:rPr>
        <w:t xml:space="preserve">web-site:  </w:t>
      </w:r>
      <w:hyperlink r:id="rId10" w:history="1">
        <w:r>
          <w:rPr>
            <w:rStyle w:val="Hyperlink"/>
            <w:rFonts w:cs="Times New Roman"/>
          </w:rPr>
          <w:t>http://www.pcbs.gov.ps</w:t>
        </w:r>
      </w:hyperlink>
    </w:p>
    <w:p w:rsidR="00BE4FF5" w:rsidRPr="00310B19" w:rsidRDefault="00BE4FF5" w:rsidP="00BE4FF5">
      <w:pPr>
        <w:rPr>
          <w:rtl/>
        </w:rPr>
      </w:pPr>
    </w:p>
    <w:p w:rsidR="00A078D4" w:rsidRDefault="00A078D4">
      <w:pPr>
        <w:rPr>
          <w:b/>
          <w:bCs/>
          <w:sz w:val="28"/>
          <w:szCs w:val="28"/>
        </w:rPr>
      </w:pPr>
      <w:r>
        <w:rPr>
          <w:b/>
          <w:bCs/>
          <w:sz w:val="28"/>
          <w:szCs w:val="28"/>
        </w:rPr>
        <w:br w:type="page"/>
      </w:r>
    </w:p>
    <w:p w:rsidR="003916F1" w:rsidRDefault="003916F1">
      <w:pPr>
        <w:jc w:val="center"/>
        <w:rPr>
          <w:b/>
          <w:bCs/>
          <w:sz w:val="28"/>
          <w:szCs w:val="28"/>
        </w:rPr>
      </w:pPr>
      <w:r>
        <w:rPr>
          <w:b/>
          <w:bCs/>
          <w:sz w:val="28"/>
          <w:szCs w:val="28"/>
        </w:rPr>
        <w:lastRenderedPageBreak/>
        <w:t>Acknowledgments</w:t>
      </w:r>
    </w:p>
    <w:p w:rsidR="003916F1" w:rsidRPr="00695FB3" w:rsidRDefault="003916F1">
      <w:pPr>
        <w:tabs>
          <w:tab w:val="left" w:pos="4395"/>
        </w:tabs>
        <w:ind w:left="993" w:right="1133"/>
        <w:jc w:val="center"/>
        <w:rPr>
          <w:sz w:val="24"/>
          <w:szCs w:val="24"/>
        </w:rPr>
      </w:pPr>
    </w:p>
    <w:p w:rsidR="008B113C" w:rsidRDefault="008B113C" w:rsidP="008B113C">
      <w:pPr>
        <w:jc w:val="lowKashida"/>
        <w:rPr>
          <w:b/>
          <w:bCs/>
          <w:sz w:val="24"/>
          <w:szCs w:val="24"/>
        </w:rPr>
      </w:pPr>
      <w:r>
        <w:rPr>
          <w:b/>
          <w:bCs/>
          <w:sz w:val="24"/>
          <w:szCs w:val="24"/>
        </w:rPr>
        <w:t>The Palestinian Central Bureau of Statistics (PCBS) would like to thank all the Palestinian organizations that cooperated in the preparation of this report and appreciates their assistance in bring this report to publication.</w:t>
      </w:r>
    </w:p>
    <w:p w:rsidR="008B113C" w:rsidRDefault="008B113C" w:rsidP="008B113C">
      <w:pPr>
        <w:jc w:val="lowKashida"/>
        <w:rPr>
          <w:b/>
          <w:bCs/>
          <w:sz w:val="24"/>
          <w:szCs w:val="24"/>
        </w:rPr>
      </w:pPr>
    </w:p>
    <w:p w:rsidR="008B113C" w:rsidRDefault="008B113C" w:rsidP="00A90892">
      <w:pPr>
        <w:jc w:val="lowKashida"/>
        <w:rPr>
          <w:b/>
          <w:bCs/>
          <w:sz w:val="24"/>
          <w:szCs w:val="24"/>
        </w:rPr>
      </w:pPr>
      <w:r>
        <w:rPr>
          <w:b/>
          <w:bCs/>
          <w:sz w:val="24"/>
          <w:szCs w:val="24"/>
        </w:rPr>
        <w:t xml:space="preserve">The Israeli Settlements in the Palestinian Territory Report of </w:t>
      </w:r>
      <w:r w:rsidR="00816249">
        <w:rPr>
          <w:b/>
          <w:bCs/>
          <w:sz w:val="24"/>
          <w:szCs w:val="24"/>
        </w:rPr>
        <w:t>2011</w:t>
      </w:r>
      <w:r>
        <w:rPr>
          <w:b/>
          <w:bCs/>
          <w:sz w:val="24"/>
          <w:szCs w:val="24"/>
        </w:rPr>
        <w:t xml:space="preserve"> was prepared by a technical team from PCBS with joint funding from the Palestinian National Authority (PNA) and the Core Funding Group (CFG) for </w:t>
      </w:r>
      <w:r w:rsidR="00A90892">
        <w:rPr>
          <w:b/>
          <w:bCs/>
          <w:sz w:val="24"/>
          <w:szCs w:val="24"/>
        </w:rPr>
        <w:t>2012</w:t>
      </w:r>
      <w:r>
        <w:rPr>
          <w:b/>
          <w:bCs/>
          <w:sz w:val="24"/>
          <w:szCs w:val="24"/>
        </w:rPr>
        <w:t>, represented by the Representative Office of Norway to the PNA and the Swiss Development and Cooperation Agency (SDC).</w:t>
      </w:r>
    </w:p>
    <w:p w:rsidR="008B113C" w:rsidRDefault="008B113C" w:rsidP="008B113C">
      <w:pPr>
        <w:jc w:val="lowKashida"/>
        <w:rPr>
          <w:b/>
          <w:bCs/>
          <w:sz w:val="24"/>
          <w:szCs w:val="24"/>
        </w:rPr>
      </w:pPr>
    </w:p>
    <w:p w:rsidR="001E5B82" w:rsidRPr="001E5B82" w:rsidRDefault="001E5B82" w:rsidP="001E5B82">
      <w:pPr>
        <w:jc w:val="lowKashida"/>
        <w:rPr>
          <w:b/>
          <w:bCs/>
          <w:sz w:val="24"/>
          <w:szCs w:val="24"/>
        </w:rPr>
      </w:pPr>
      <w:r w:rsidRPr="001E5B82">
        <w:rPr>
          <w:b/>
          <w:bCs/>
          <w:sz w:val="24"/>
          <w:szCs w:val="24"/>
        </w:rPr>
        <w:t>Moreover, PCBS very much appreciates the distinctive efforts of the Core Funding Group (CFG) for their valuable contribution to funding the project.</w:t>
      </w:r>
    </w:p>
    <w:p w:rsidR="005A67C0" w:rsidRDefault="005A67C0" w:rsidP="008B113C">
      <w:pPr>
        <w:jc w:val="lowKashida"/>
        <w:rPr>
          <w:b/>
          <w:bCs/>
          <w:sz w:val="24"/>
          <w:szCs w:val="24"/>
        </w:rPr>
      </w:pPr>
    </w:p>
    <w:p w:rsidR="005A67C0" w:rsidRDefault="005A67C0" w:rsidP="008B113C">
      <w:pPr>
        <w:jc w:val="lowKashida"/>
        <w:rPr>
          <w:b/>
          <w:bCs/>
          <w:sz w:val="24"/>
          <w:szCs w:val="24"/>
          <w:rtl/>
        </w:rPr>
      </w:pPr>
    </w:p>
    <w:p w:rsidR="000658F1" w:rsidRDefault="003916F1">
      <w:pPr>
        <w:pStyle w:val="H1"/>
        <w:jc w:val="center"/>
        <w:rPr>
          <w:rFonts w:cs="Traditional Arabic"/>
          <w:sz w:val="28"/>
          <w:szCs w:val="28"/>
        </w:rPr>
      </w:pPr>
      <w:r>
        <w:rPr>
          <w:rFonts w:cs="Traditional Arabic"/>
          <w:sz w:val="28"/>
          <w:szCs w:val="28"/>
        </w:rPr>
        <w:br w:type="page"/>
      </w:r>
    </w:p>
    <w:p w:rsidR="000658F1" w:rsidRDefault="000658F1" w:rsidP="000658F1">
      <w:pPr>
        <w:jc w:val="center"/>
        <w:rPr>
          <w:rFonts w:cs="Simplified Arabic"/>
          <w:b/>
          <w:bCs/>
          <w:sz w:val="28"/>
          <w:szCs w:val="28"/>
        </w:rPr>
      </w:pPr>
      <w:r>
        <w:rPr>
          <w:rFonts w:cs="Simplified Arabic"/>
          <w:b/>
          <w:bCs/>
          <w:sz w:val="28"/>
          <w:szCs w:val="28"/>
        </w:rPr>
        <w:lastRenderedPageBreak/>
        <w:t>Project Team</w:t>
      </w:r>
    </w:p>
    <w:p w:rsidR="000658F1" w:rsidRDefault="000658F1" w:rsidP="000658F1">
      <w:pPr>
        <w:jc w:val="center"/>
        <w:rPr>
          <w:rFonts w:cs="Simplified Arabic"/>
          <w:b/>
          <w:bCs/>
          <w:sz w:val="24"/>
          <w:szCs w:val="24"/>
          <w:rtl/>
          <w:lang w:val="en-GB"/>
        </w:rPr>
      </w:pPr>
    </w:p>
    <w:p w:rsidR="000658F1" w:rsidRDefault="000658F1" w:rsidP="003916F1">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0658F1" w:rsidRDefault="000658F1" w:rsidP="000658F1">
      <w:pPr>
        <w:ind w:left="709"/>
        <w:rPr>
          <w:rFonts w:cs="Simplified Arabic"/>
          <w:sz w:val="24"/>
          <w:szCs w:val="24"/>
          <w:rtl/>
          <w:lang w:val="en-GB"/>
        </w:rPr>
      </w:pPr>
      <w:r>
        <w:rPr>
          <w:sz w:val="24"/>
          <w:szCs w:val="24"/>
        </w:rPr>
        <w:t>Mohammed Al-</w:t>
      </w:r>
      <w:proofErr w:type="spellStart"/>
      <w:r>
        <w:rPr>
          <w:sz w:val="24"/>
          <w:szCs w:val="24"/>
        </w:rPr>
        <w:t>Masri</w:t>
      </w:r>
      <w:proofErr w:type="spellEnd"/>
      <w:r>
        <w:rPr>
          <w:rFonts w:cs="Simplified Arabic"/>
          <w:sz w:val="24"/>
          <w:szCs w:val="24"/>
          <w:rtl/>
          <w:lang w:val="en-GB"/>
        </w:rPr>
        <w:tab/>
      </w:r>
    </w:p>
    <w:p w:rsidR="000658F1" w:rsidRDefault="000658F1" w:rsidP="000658F1">
      <w:pPr>
        <w:ind w:firstLine="720"/>
        <w:rPr>
          <w:rFonts w:cs="Simplified Arabic"/>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0658F1" w:rsidRDefault="002D33CC" w:rsidP="002D33CC">
      <w:pPr>
        <w:ind w:left="709"/>
        <w:rPr>
          <w:sz w:val="24"/>
          <w:szCs w:val="24"/>
        </w:rPr>
      </w:pPr>
      <w:proofErr w:type="spellStart"/>
      <w:r w:rsidRPr="002D33CC">
        <w:rPr>
          <w:sz w:val="24"/>
          <w:szCs w:val="24"/>
        </w:rPr>
        <w:t>N</w:t>
      </w:r>
      <w:r>
        <w:rPr>
          <w:sz w:val="24"/>
          <w:szCs w:val="24"/>
        </w:rPr>
        <w:t>afir</w:t>
      </w:r>
      <w:proofErr w:type="spellEnd"/>
      <w:r w:rsidRPr="002D33CC">
        <w:rPr>
          <w:sz w:val="24"/>
          <w:szCs w:val="24"/>
        </w:rPr>
        <w:t xml:space="preserve"> </w:t>
      </w:r>
      <w:proofErr w:type="spellStart"/>
      <w:r w:rsidRPr="002D33CC">
        <w:rPr>
          <w:sz w:val="24"/>
          <w:szCs w:val="24"/>
        </w:rPr>
        <w:t>M</w:t>
      </w:r>
      <w:r>
        <w:rPr>
          <w:sz w:val="24"/>
          <w:szCs w:val="24"/>
        </w:rPr>
        <w:t>assd</w:t>
      </w:r>
      <w:proofErr w:type="spellEnd"/>
      <w:r>
        <w:rPr>
          <w:sz w:val="24"/>
          <w:szCs w:val="24"/>
        </w:rPr>
        <w:t xml:space="preserve"> </w:t>
      </w:r>
    </w:p>
    <w:p w:rsidR="00A30CE6" w:rsidRDefault="00A30CE6" w:rsidP="002D33CC">
      <w:pPr>
        <w:ind w:left="709"/>
        <w:rPr>
          <w:sz w:val="24"/>
          <w:szCs w:val="24"/>
        </w:rPr>
      </w:pPr>
    </w:p>
    <w:p w:rsidR="000658F1" w:rsidRDefault="000658F1" w:rsidP="003916F1">
      <w:pPr>
        <w:numPr>
          <w:ilvl w:val="0"/>
          <w:numId w:val="1"/>
        </w:numPr>
        <w:ind w:right="1260"/>
        <w:rPr>
          <w:rFonts w:cs="Times New Roman"/>
          <w:b/>
          <w:bCs/>
          <w:sz w:val="24"/>
          <w:szCs w:val="24"/>
        </w:rPr>
      </w:pPr>
      <w:r>
        <w:rPr>
          <w:rFonts w:cs="Times New Roman"/>
          <w:b/>
          <w:bCs/>
          <w:sz w:val="24"/>
          <w:szCs w:val="24"/>
        </w:rPr>
        <w:t>Dissemination Standard</w:t>
      </w:r>
    </w:p>
    <w:p w:rsidR="000658F1" w:rsidRDefault="000658F1" w:rsidP="000658F1">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658F1" w:rsidRDefault="000658F1" w:rsidP="000658F1">
      <w:pPr>
        <w:ind w:left="709"/>
        <w:rPr>
          <w:rFonts w:cs="Simplified Arabic"/>
          <w:sz w:val="24"/>
          <w:szCs w:val="24"/>
          <w:lang w:val="en-GB"/>
        </w:rPr>
      </w:pPr>
    </w:p>
    <w:p w:rsidR="000658F1" w:rsidRDefault="000658F1" w:rsidP="003916F1">
      <w:pPr>
        <w:numPr>
          <w:ilvl w:val="0"/>
          <w:numId w:val="1"/>
        </w:numPr>
        <w:ind w:right="1260"/>
        <w:rPr>
          <w:rFonts w:cs="Simplified Arabic"/>
          <w:sz w:val="24"/>
          <w:szCs w:val="24"/>
          <w:rtl/>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0658F1" w:rsidRDefault="000658F1" w:rsidP="000658F1">
      <w:pPr>
        <w:ind w:left="709"/>
        <w:rPr>
          <w:sz w:val="24"/>
          <w:szCs w:val="24"/>
        </w:rPr>
      </w:pPr>
      <w:proofErr w:type="spellStart"/>
      <w:r>
        <w:rPr>
          <w:sz w:val="24"/>
          <w:szCs w:val="24"/>
        </w:rPr>
        <w:t>Mahmoud</w:t>
      </w:r>
      <w:proofErr w:type="spellEnd"/>
      <w:r>
        <w:rPr>
          <w:sz w:val="24"/>
          <w:szCs w:val="24"/>
        </w:rPr>
        <w:t xml:space="preserve">  Abd-</w:t>
      </w:r>
      <w:proofErr w:type="spellStart"/>
      <w:r>
        <w:rPr>
          <w:sz w:val="24"/>
          <w:szCs w:val="24"/>
        </w:rPr>
        <w:t>Alrahman</w:t>
      </w:r>
      <w:proofErr w:type="spellEnd"/>
    </w:p>
    <w:p w:rsidR="000658F1" w:rsidRPr="002D33CC" w:rsidRDefault="000658F1" w:rsidP="000658F1">
      <w:pPr>
        <w:ind w:left="709"/>
        <w:rPr>
          <w:rFonts w:cs="Simplified Arabic"/>
          <w:sz w:val="24"/>
          <w:szCs w:val="24"/>
          <w:lang w:eastAsia="de-AT"/>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Final Review</w:t>
      </w:r>
    </w:p>
    <w:p w:rsidR="000658F1" w:rsidRDefault="000658F1" w:rsidP="000658F1">
      <w:pPr>
        <w:ind w:left="709"/>
        <w:rPr>
          <w:sz w:val="24"/>
          <w:szCs w:val="24"/>
        </w:rPr>
      </w:pPr>
      <w:proofErr w:type="spellStart"/>
      <w:r>
        <w:rPr>
          <w:sz w:val="24"/>
          <w:szCs w:val="24"/>
        </w:rPr>
        <w:t>Mahmoud</w:t>
      </w:r>
      <w:proofErr w:type="spellEnd"/>
      <w:r>
        <w:rPr>
          <w:sz w:val="24"/>
          <w:szCs w:val="24"/>
        </w:rPr>
        <w:t xml:space="preserve"> </w:t>
      </w:r>
      <w:proofErr w:type="spellStart"/>
      <w:r>
        <w:rPr>
          <w:sz w:val="24"/>
          <w:szCs w:val="24"/>
        </w:rPr>
        <w:t>Jaradat</w:t>
      </w:r>
      <w:proofErr w:type="spellEnd"/>
    </w:p>
    <w:p w:rsidR="000658F1" w:rsidRDefault="000658F1" w:rsidP="000658F1">
      <w:pPr>
        <w:rPr>
          <w:rtl/>
        </w:rPr>
      </w:pPr>
    </w:p>
    <w:p w:rsidR="000658F1" w:rsidRDefault="000658F1" w:rsidP="003916F1">
      <w:pPr>
        <w:pStyle w:val="Heading3"/>
        <w:numPr>
          <w:ilvl w:val="0"/>
          <w:numId w:val="2"/>
        </w:numPr>
        <w:tabs>
          <w:tab w:val="left" w:pos="4255"/>
          <w:tab w:val="left" w:pos="9075"/>
        </w:tabs>
        <w:ind w:right="424"/>
        <w:jc w:val="left"/>
        <w:rPr>
          <w:b/>
          <w:bCs/>
          <w:szCs w:val="24"/>
        </w:rPr>
      </w:pPr>
      <w:r>
        <w:rPr>
          <w:b/>
          <w:bCs/>
          <w:szCs w:val="24"/>
        </w:rPr>
        <w:t>Overall Supervision</w:t>
      </w:r>
    </w:p>
    <w:p w:rsidR="000658F1" w:rsidRDefault="000658F1" w:rsidP="000658F1">
      <w:pPr>
        <w:ind w:left="709"/>
        <w:rPr>
          <w:sz w:val="24"/>
          <w:szCs w:val="24"/>
        </w:rPr>
      </w:pPr>
      <w:r>
        <w:rPr>
          <w:sz w:val="24"/>
          <w:szCs w:val="24"/>
        </w:rPr>
        <w:t xml:space="preserve">Ola Awad                         </w:t>
      </w:r>
      <w:r>
        <w:rPr>
          <w:sz w:val="24"/>
          <w:szCs w:val="24"/>
        </w:rPr>
        <w:tab/>
      </w:r>
      <w:r w:rsidRPr="005E1E3C">
        <w:rPr>
          <w:b/>
          <w:bCs/>
          <w:sz w:val="24"/>
          <w:szCs w:val="24"/>
        </w:rPr>
        <w:t xml:space="preserve">          President</w:t>
      </w:r>
      <w:r w:rsidR="005E1E3C" w:rsidRPr="005E1E3C">
        <w:rPr>
          <w:b/>
          <w:bCs/>
          <w:sz w:val="24"/>
          <w:szCs w:val="24"/>
        </w:rPr>
        <w:t xml:space="preserve"> of PCBS</w:t>
      </w:r>
    </w:p>
    <w:p w:rsidR="000658F1" w:rsidRDefault="000658F1" w:rsidP="000658F1">
      <w:pPr>
        <w:pStyle w:val="H1"/>
        <w:jc w:val="center"/>
        <w:rPr>
          <w:rFonts w:cs="Traditional Arabic"/>
          <w:sz w:val="28"/>
          <w:szCs w:val="28"/>
        </w:rPr>
      </w:pPr>
      <w:r>
        <w:rPr>
          <w:b w:val="0"/>
          <w:bCs w:val="0"/>
          <w:szCs w:val="24"/>
        </w:rPr>
        <w:br w:type="page"/>
      </w:r>
    </w:p>
    <w:p w:rsidR="000658F1" w:rsidRDefault="000658F1">
      <w:pPr>
        <w:pStyle w:val="H1"/>
        <w:jc w:val="center"/>
        <w:rPr>
          <w:rFonts w:cs="Traditional Arabic"/>
          <w:sz w:val="28"/>
          <w:szCs w:val="28"/>
        </w:rPr>
      </w:pPr>
    </w:p>
    <w:p w:rsidR="000658F1" w:rsidRDefault="000658F1">
      <w:pPr>
        <w:pStyle w:val="H1"/>
        <w:jc w:val="center"/>
        <w:rPr>
          <w:rFonts w:cs="Traditional Arabic"/>
          <w:sz w:val="28"/>
          <w:szCs w:val="28"/>
        </w:rPr>
      </w:pPr>
    </w:p>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Default="000658F1" w:rsidP="000658F1"/>
    <w:p w:rsidR="000658F1" w:rsidRPr="000658F1" w:rsidRDefault="000658F1" w:rsidP="000658F1"/>
    <w:p w:rsidR="00695FB3" w:rsidRDefault="00695FB3">
      <w:pPr>
        <w:rPr>
          <w:b/>
          <w:bCs/>
          <w:kern w:val="36"/>
          <w:sz w:val="28"/>
          <w:szCs w:val="28"/>
        </w:rPr>
      </w:pPr>
      <w:r>
        <w:rPr>
          <w:sz w:val="28"/>
          <w:szCs w:val="28"/>
        </w:rPr>
        <w:br w:type="page"/>
      </w:r>
    </w:p>
    <w:p w:rsidR="003916F1" w:rsidRDefault="003916F1">
      <w:pPr>
        <w:pStyle w:val="H1"/>
        <w:jc w:val="center"/>
        <w:rPr>
          <w:rFonts w:cs="Traditional Arabic"/>
          <w:sz w:val="28"/>
          <w:szCs w:val="28"/>
        </w:rPr>
      </w:pPr>
      <w:r>
        <w:rPr>
          <w:rFonts w:cs="Traditional Arabic"/>
          <w:sz w:val="28"/>
          <w:szCs w:val="28"/>
        </w:rPr>
        <w:lastRenderedPageBreak/>
        <w:t>Important Remarks</w:t>
      </w:r>
    </w:p>
    <w:p w:rsidR="003916F1" w:rsidRDefault="003916F1">
      <w:pPr>
        <w:jc w:val="both"/>
        <w:rPr>
          <w:b/>
          <w:bCs/>
          <w:sz w:val="24"/>
          <w:szCs w:val="24"/>
        </w:rPr>
      </w:pPr>
    </w:p>
    <w:p w:rsidR="008B113C" w:rsidRDefault="008B113C" w:rsidP="00816249">
      <w:pPr>
        <w:pStyle w:val="BodyText"/>
        <w:rPr>
          <w:rFonts w:cs="Times New Roman"/>
          <w:b/>
          <w:bCs/>
          <w:szCs w:val="24"/>
          <w:rtl/>
          <w:lang w:val="en-GB"/>
        </w:rPr>
      </w:pPr>
      <w:r>
        <w:rPr>
          <w:rFonts w:cs="Times New Roman"/>
          <w:b/>
          <w:bCs/>
          <w:szCs w:val="24"/>
        </w:rPr>
        <w:t xml:space="preserve">Data are for the period up to the end of </w:t>
      </w:r>
      <w:r w:rsidR="00816249">
        <w:rPr>
          <w:rFonts w:cs="Times New Roman"/>
          <w:b/>
          <w:bCs/>
          <w:szCs w:val="24"/>
        </w:rPr>
        <w:t>2011</w:t>
      </w:r>
      <w:r>
        <w:rPr>
          <w:rFonts w:cs="Times New Roman"/>
          <w:b/>
          <w:bCs/>
          <w:szCs w:val="24"/>
        </w:rPr>
        <w:t xml:space="preserve"> unless otherwise stated.</w:t>
      </w:r>
    </w:p>
    <w:p w:rsidR="003916F1" w:rsidRDefault="003916F1">
      <w:pPr>
        <w:jc w:val="both"/>
        <w:rPr>
          <w:b/>
          <w:bCs/>
          <w:sz w:val="24"/>
          <w:szCs w:val="24"/>
        </w:rPr>
      </w:pPr>
    </w:p>
    <w:p w:rsidR="003916F1" w:rsidRDefault="003916F1" w:rsidP="008B113C">
      <w:pPr>
        <w:pStyle w:val="BodyText"/>
        <w:rPr>
          <w:b/>
          <w:bCs/>
          <w:szCs w:val="24"/>
        </w:rPr>
      </w:pPr>
      <w:r>
        <w:rPr>
          <w:rFonts w:cs="Times New Roman"/>
          <w:b/>
          <w:bCs/>
          <w:szCs w:val="24"/>
        </w:rPr>
        <w:t xml:space="preserve">The Statistics presented in this report are derived from various sources, which are not fully </w:t>
      </w:r>
      <w:r w:rsidR="008B113C">
        <w:rPr>
          <w:rFonts w:cs="Times New Roman"/>
          <w:b/>
          <w:bCs/>
          <w:szCs w:val="24"/>
        </w:rPr>
        <w:t>consistent</w:t>
      </w:r>
      <w:r>
        <w:rPr>
          <w:rFonts w:cs="Times New Roman"/>
          <w:b/>
          <w:bCs/>
          <w:szCs w:val="24"/>
        </w:rPr>
        <w:t xml:space="preserve"> </w:t>
      </w:r>
      <w:r w:rsidR="008B113C">
        <w:rPr>
          <w:rFonts w:cs="Times New Roman"/>
          <w:b/>
          <w:bCs/>
          <w:szCs w:val="24"/>
        </w:rPr>
        <w:t>and this should be taken into consideration.</w:t>
      </w:r>
    </w:p>
    <w:p w:rsidR="008B113C" w:rsidRDefault="008B113C" w:rsidP="008B113C">
      <w:pPr>
        <w:pStyle w:val="BodyText"/>
        <w:rPr>
          <w:b/>
          <w:bCs/>
          <w:szCs w:val="24"/>
        </w:rPr>
      </w:pPr>
    </w:p>
    <w:p w:rsidR="003916F1" w:rsidRDefault="003916F1" w:rsidP="00816249">
      <w:pPr>
        <w:jc w:val="both"/>
        <w:rPr>
          <w:sz w:val="24"/>
          <w:szCs w:val="24"/>
          <w:lang w:val="en-GB"/>
        </w:rPr>
      </w:pPr>
      <w:r>
        <w:rPr>
          <w:b/>
          <w:bCs/>
          <w:sz w:val="24"/>
          <w:szCs w:val="24"/>
        </w:rPr>
        <w:t>For the purpose of correlating area with population, a number of settlements of Jerusalem J1 were joined together in this report</w:t>
      </w:r>
      <w:r w:rsidR="008B113C">
        <w:rPr>
          <w:b/>
          <w:bCs/>
          <w:sz w:val="24"/>
          <w:szCs w:val="24"/>
        </w:rPr>
        <w:t xml:space="preserve">. </w:t>
      </w:r>
      <w:r>
        <w:rPr>
          <w:b/>
          <w:bCs/>
          <w:sz w:val="24"/>
          <w:szCs w:val="24"/>
        </w:rPr>
        <w:t xml:space="preserve"> </w:t>
      </w:r>
      <w:r w:rsidR="008B113C">
        <w:rPr>
          <w:b/>
          <w:bCs/>
          <w:sz w:val="24"/>
          <w:szCs w:val="24"/>
        </w:rPr>
        <w:t>A</w:t>
      </w:r>
      <w:r>
        <w:rPr>
          <w:b/>
          <w:bCs/>
          <w:sz w:val="24"/>
          <w:szCs w:val="24"/>
        </w:rPr>
        <w:t>s a result</w:t>
      </w:r>
      <w:r w:rsidR="008B113C">
        <w:rPr>
          <w:b/>
          <w:bCs/>
          <w:sz w:val="24"/>
          <w:szCs w:val="24"/>
        </w:rPr>
        <w:t>,</w:t>
      </w:r>
      <w:r>
        <w:rPr>
          <w:b/>
          <w:bCs/>
          <w:sz w:val="24"/>
          <w:szCs w:val="24"/>
        </w:rPr>
        <w:t xml:space="preserve"> the number of settlements was reduced from 22 settlements in 2003 to 16 se</w:t>
      </w:r>
      <w:r w:rsidR="000658F1">
        <w:rPr>
          <w:b/>
          <w:bCs/>
          <w:sz w:val="24"/>
          <w:szCs w:val="24"/>
        </w:rPr>
        <w:t xml:space="preserve">ttlements in the </w:t>
      </w:r>
      <w:r w:rsidR="008B113C">
        <w:rPr>
          <w:b/>
          <w:bCs/>
          <w:sz w:val="24"/>
          <w:szCs w:val="24"/>
        </w:rPr>
        <w:t>period</w:t>
      </w:r>
      <w:r w:rsidR="000658F1">
        <w:rPr>
          <w:b/>
          <w:bCs/>
          <w:sz w:val="24"/>
          <w:szCs w:val="24"/>
        </w:rPr>
        <w:t xml:space="preserve"> 2004-</w:t>
      </w:r>
      <w:r w:rsidR="00816249">
        <w:rPr>
          <w:b/>
          <w:bCs/>
          <w:sz w:val="24"/>
          <w:szCs w:val="24"/>
        </w:rPr>
        <w:t>2011</w:t>
      </w:r>
      <w:r>
        <w:rPr>
          <w:b/>
          <w:bCs/>
          <w:sz w:val="24"/>
          <w:szCs w:val="24"/>
        </w:rPr>
        <w:t xml:space="preserve">.  It should be emphasized that this decrease </w:t>
      </w:r>
      <w:r w:rsidR="008B113C">
        <w:rPr>
          <w:b/>
          <w:bCs/>
          <w:sz w:val="24"/>
          <w:szCs w:val="24"/>
        </w:rPr>
        <w:t xml:space="preserve">in number </w:t>
      </w:r>
      <w:r>
        <w:rPr>
          <w:b/>
          <w:bCs/>
          <w:sz w:val="24"/>
          <w:szCs w:val="24"/>
        </w:rPr>
        <w:t xml:space="preserve">does not indicate in </w:t>
      </w:r>
      <w:r w:rsidR="008B113C">
        <w:rPr>
          <w:b/>
          <w:bCs/>
          <w:sz w:val="24"/>
          <w:szCs w:val="24"/>
        </w:rPr>
        <w:t xml:space="preserve">any way a reduction in settlement </w:t>
      </w:r>
      <w:r>
        <w:rPr>
          <w:b/>
          <w:bCs/>
          <w:sz w:val="24"/>
          <w:szCs w:val="24"/>
        </w:rPr>
        <w:t>in that area.</w:t>
      </w:r>
      <w:r>
        <w:rPr>
          <w:sz w:val="24"/>
          <w:szCs w:val="24"/>
        </w:rPr>
        <w:t xml:space="preserve">     </w:t>
      </w:r>
      <w:r>
        <w:rPr>
          <w:rFonts w:hint="cs"/>
          <w:sz w:val="24"/>
          <w:szCs w:val="24"/>
          <w:rtl/>
          <w:lang w:val="en-GB"/>
        </w:rPr>
        <w:t xml:space="preserve"> </w:t>
      </w:r>
    </w:p>
    <w:p w:rsidR="00FB0ABC" w:rsidRDefault="00FB0ABC">
      <w:pPr>
        <w:jc w:val="both"/>
        <w:rPr>
          <w:sz w:val="24"/>
          <w:szCs w:val="24"/>
          <w:lang w:val="en-GB"/>
        </w:rPr>
      </w:pPr>
    </w:p>
    <w:p w:rsidR="00FB0ABC" w:rsidRPr="00FB0ABC" w:rsidRDefault="00FB0ABC" w:rsidP="00FB0ABC">
      <w:pPr>
        <w:jc w:val="both"/>
        <w:rPr>
          <w:b/>
          <w:bCs/>
          <w:sz w:val="24"/>
          <w:szCs w:val="24"/>
        </w:rPr>
      </w:pPr>
      <w:r w:rsidRPr="00FB0ABC">
        <w:rPr>
          <w:b/>
          <w:bCs/>
          <w:sz w:val="24"/>
          <w:szCs w:val="24"/>
        </w:rPr>
        <w:t xml:space="preserve">The data presented in this report on the number of settlements, occupation sites are not consistent with what is reported from other sources due to the different definitions and classifications. </w:t>
      </w:r>
    </w:p>
    <w:p w:rsidR="00FB0ABC" w:rsidRPr="00FB0ABC" w:rsidRDefault="00FB0ABC" w:rsidP="00FB0ABC">
      <w:pPr>
        <w:jc w:val="both"/>
        <w:rPr>
          <w:b/>
          <w:bCs/>
          <w:sz w:val="24"/>
          <w:szCs w:val="24"/>
        </w:rPr>
      </w:pPr>
      <w:r w:rsidRPr="00FB0ABC">
        <w:rPr>
          <w:b/>
          <w:bCs/>
          <w:sz w:val="24"/>
          <w:szCs w:val="24"/>
        </w:rPr>
        <w:br/>
        <w:t>The number of settlers in</w:t>
      </w:r>
      <w:r w:rsidR="00A90892" w:rsidRPr="00A90892">
        <w:rPr>
          <w:b/>
          <w:bCs/>
          <w:sz w:val="24"/>
          <w:szCs w:val="24"/>
        </w:rPr>
        <w:t xml:space="preserve"> </w:t>
      </w:r>
      <w:r w:rsidR="00A90892" w:rsidRPr="00FB0ABC">
        <w:rPr>
          <w:b/>
          <w:bCs/>
          <w:sz w:val="24"/>
          <w:szCs w:val="24"/>
        </w:rPr>
        <w:t>the years</w:t>
      </w:r>
      <w:r w:rsidRPr="00FB0ABC">
        <w:rPr>
          <w:b/>
          <w:bCs/>
          <w:sz w:val="24"/>
          <w:szCs w:val="24"/>
        </w:rPr>
        <w:t xml:space="preserve"> 2010</w:t>
      </w:r>
      <w:r w:rsidR="00A90892">
        <w:rPr>
          <w:b/>
          <w:bCs/>
          <w:sz w:val="24"/>
          <w:szCs w:val="24"/>
        </w:rPr>
        <w:t>, 2011</w:t>
      </w:r>
      <w:r w:rsidRPr="00FB0ABC">
        <w:rPr>
          <w:b/>
          <w:bCs/>
          <w:sz w:val="24"/>
          <w:szCs w:val="24"/>
        </w:rPr>
        <w:t xml:space="preserve"> based on the Israeli census data which was implemented in year 2008, while the data on the number of settlers differ for the years 2008, 2009 from the previous reports that were revised according to the Israeli census data of 2008.</w:t>
      </w:r>
    </w:p>
    <w:p w:rsidR="00FB0ABC" w:rsidRPr="00FB0ABC" w:rsidRDefault="00FB0ABC">
      <w:pPr>
        <w:jc w:val="both"/>
        <w:rPr>
          <w:sz w:val="24"/>
          <w:szCs w:val="24"/>
          <w:rtl/>
        </w:rPr>
      </w:pPr>
    </w:p>
    <w:p w:rsidR="00093ACB" w:rsidRPr="002B01E0" w:rsidRDefault="00093ACB" w:rsidP="008235FB">
      <w:pPr>
        <w:jc w:val="lowKashida"/>
        <w:rPr>
          <w:b/>
          <w:bCs/>
          <w:sz w:val="24"/>
          <w:szCs w:val="24"/>
        </w:rPr>
      </w:pPr>
      <w:r w:rsidRPr="002B01E0">
        <w:rPr>
          <w:b/>
          <w:bCs/>
          <w:sz w:val="24"/>
          <w:szCs w:val="24"/>
        </w:rPr>
        <w:t xml:space="preserve">There </w:t>
      </w:r>
      <w:r>
        <w:rPr>
          <w:b/>
          <w:bCs/>
          <w:sz w:val="24"/>
          <w:szCs w:val="24"/>
        </w:rPr>
        <w:t>are</w:t>
      </w:r>
      <w:r w:rsidRPr="002B01E0">
        <w:rPr>
          <w:b/>
          <w:bCs/>
          <w:sz w:val="24"/>
          <w:szCs w:val="24"/>
        </w:rPr>
        <w:t xml:space="preserve"> no population of Six settlements </w:t>
      </w:r>
      <w:r>
        <w:rPr>
          <w:b/>
          <w:bCs/>
          <w:sz w:val="24"/>
          <w:szCs w:val="24"/>
        </w:rPr>
        <w:t xml:space="preserve">appeared in this report which are located </w:t>
      </w:r>
      <w:r w:rsidRPr="002B01E0">
        <w:rPr>
          <w:b/>
          <w:bCs/>
          <w:sz w:val="24"/>
          <w:szCs w:val="24"/>
        </w:rPr>
        <w:t xml:space="preserve">in  Jerusalem, Tubas, Bethlehem and </w:t>
      </w:r>
      <w:r w:rsidRPr="005A67C0">
        <w:rPr>
          <w:b/>
          <w:bCs/>
          <w:sz w:val="24"/>
          <w:szCs w:val="24"/>
        </w:rPr>
        <w:t>Jericho &amp; Al-Aghwar</w:t>
      </w:r>
      <w:r w:rsidR="00A90892">
        <w:rPr>
          <w:b/>
          <w:bCs/>
          <w:sz w:val="24"/>
          <w:szCs w:val="24"/>
        </w:rPr>
        <w:t xml:space="preserve"> </w:t>
      </w:r>
      <w:r w:rsidRPr="002B01E0">
        <w:rPr>
          <w:b/>
          <w:bCs/>
          <w:sz w:val="24"/>
          <w:szCs w:val="24"/>
        </w:rPr>
        <w:t>governorates</w:t>
      </w:r>
      <w:r>
        <w:rPr>
          <w:b/>
          <w:bCs/>
          <w:sz w:val="24"/>
          <w:szCs w:val="24"/>
        </w:rPr>
        <w:t>.</w:t>
      </w:r>
      <w:r w:rsidR="008235FB" w:rsidRPr="008235FB">
        <w:rPr>
          <w:b/>
          <w:bCs/>
          <w:sz w:val="24"/>
          <w:szCs w:val="24"/>
        </w:rPr>
        <w:t xml:space="preserve"> </w:t>
      </w:r>
    </w:p>
    <w:p w:rsidR="003916F1" w:rsidRDefault="003916F1">
      <w:pPr>
        <w:jc w:val="both"/>
        <w:rPr>
          <w:b/>
          <w:bCs/>
          <w:sz w:val="24"/>
          <w:szCs w:val="24"/>
        </w:rPr>
      </w:pPr>
      <w:r>
        <w:rPr>
          <w:b/>
          <w:bCs/>
          <w:sz w:val="24"/>
          <w:szCs w:val="24"/>
        </w:rPr>
        <w:br w:type="page"/>
      </w:r>
    </w:p>
    <w:p w:rsidR="003916F1" w:rsidRDefault="003916F1">
      <w:pPr>
        <w:jc w:val="both"/>
        <w:rPr>
          <w:b/>
          <w:bCs/>
          <w:sz w:val="24"/>
          <w:szCs w:val="24"/>
        </w:rPr>
      </w:pPr>
    </w:p>
    <w:p w:rsidR="000658F1" w:rsidRDefault="003916F1" w:rsidP="000658F1">
      <w:pPr>
        <w:pStyle w:val="BodyText"/>
        <w:jc w:val="center"/>
        <w:rPr>
          <w:b/>
          <w:bCs/>
          <w:sz w:val="28"/>
        </w:rPr>
      </w:pPr>
      <w:r>
        <w:rPr>
          <w:b/>
          <w:bCs/>
          <w:sz w:val="44"/>
          <w:szCs w:val="44"/>
        </w:rPr>
        <w:br w:type="page"/>
      </w:r>
      <w:r w:rsidR="000658F1">
        <w:rPr>
          <w:b/>
          <w:bCs/>
          <w:sz w:val="28"/>
        </w:rPr>
        <w:lastRenderedPageBreak/>
        <w:t>Table of Contents</w:t>
      </w:r>
    </w:p>
    <w:p w:rsidR="000658F1" w:rsidRDefault="000658F1" w:rsidP="000658F1">
      <w:pPr>
        <w:rPr>
          <w:b/>
          <w:bCs/>
          <w:sz w:val="24"/>
          <w:szCs w:val="24"/>
        </w:rPr>
      </w:pPr>
    </w:p>
    <w:tbl>
      <w:tblPr>
        <w:tblW w:w="9129" w:type="dxa"/>
        <w:jc w:val="center"/>
        <w:tblLayout w:type="fixed"/>
        <w:tblLook w:val="0000"/>
      </w:tblPr>
      <w:tblGrid>
        <w:gridCol w:w="1779"/>
        <w:gridCol w:w="6470"/>
        <w:gridCol w:w="880"/>
      </w:tblGrid>
      <w:tr w:rsidR="000658F1" w:rsidTr="007E53F5">
        <w:trPr>
          <w:jc w:val="center"/>
        </w:trPr>
        <w:tc>
          <w:tcPr>
            <w:tcW w:w="8249" w:type="dxa"/>
            <w:gridSpan w:val="2"/>
          </w:tcPr>
          <w:p w:rsidR="000658F1" w:rsidRDefault="000658F1" w:rsidP="003916F1">
            <w:pPr>
              <w:pStyle w:val="Heading1"/>
              <w:jc w:val="left"/>
            </w:pPr>
            <w:r>
              <w:rPr>
                <w:b/>
                <w:bCs/>
              </w:rPr>
              <w:t>Subject</w:t>
            </w:r>
          </w:p>
        </w:tc>
        <w:tc>
          <w:tcPr>
            <w:tcW w:w="880" w:type="dxa"/>
            <w:vAlign w:val="center"/>
          </w:tcPr>
          <w:p w:rsidR="000658F1" w:rsidRDefault="000658F1" w:rsidP="003916F1">
            <w:pPr>
              <w:pStyle w:val="Heading1"/>
              <w:jc w:val="center"/>
              <w:rPr>
                <w:b/>
                <w:bCs/>
                <w:szCs w:val="24"/>
              </w:rPr>
            </w:pPr>
            <w:r>
              <w:rPr>
                <w:b/>
                <w:bCs/>
                <w:szCs w:val="24"/>
              </w:rPr>
              <w:t>Page</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center"/>
              <w:rPr>
                <w:b/>
                <w:bCs/>
                <w:sz w:val="12"/>
                <w:szCs w:val="12"/>
              </w:rPr>
            </w:pPr>
          </w:p>
        </w:tc>
      </w:tr>
      <w:tr w:rsidR="000658F1" w:rsidTr="007E53F5">
        <w:trPr>
          <w:jc w:val="center"/>
        </w:trPr>
        <w:tc>
          <w:tcPr>
            <w:tcW w:w="1779" w:type="dxa"/>
          </w:tcPr>
          <w:p w:rsidR="000658F1" w:rsidRDefault="000658F1" w:rsidP="003916F1">
            <w:pPr>
              <w:pStyle w:val="Heading1"/>
              <w:jc w:val="left"/>
              <w:rPr>
                <w:b/>
                <w:bCs/>
                <w:szCs w:val="24"/>
              </w:rPr>
            </w:pPr>
          </w:p>
        </w:tc>
        <w:tc>
          <w:tcPr>
            <w:tcW w:w="6470" w:type="dxa"/>
            <w:vAlign w:val="center"/>
          </w:tcPr>
          <w:p w:rsidR="000658F1" w:rsidRDefault="000658F1" w:rsidP="003916F1">
            <w:pPr>
              <w:pStyle w:val="Heading1"/>
              <w:ind w:left="-16"/>
              <w:jc w:val="left"/>
              <w:rPr>
                <w:szCs w:val="24"/>
              </w:rPr>
            </w:pPr>
            <w:r>
              <w:rPr>
                <w:szCs w:val="24"/>
              </w:rPr>
              <w:t>List of Tables</w:t>
            </w:r>
          </w:p>
        </w:tc>
        <w:tc>
          <w:tcPr>
            <w:tcW w:w="880" w:type="dxa"/>
            <w:vAlign w:val="center"/>
          </w:tcPr>
          <w:p w:rsidR="000658F1" w:rsidRDefault="000658F1" w:rsidP="003916F1">
            <w:pPr>
              <w:pStyle w:val="Heading1"/>
              <w:jc w:val="center"/>
              <w:rPr>
                <w:b/>
                <w:bCs/>
                <w:szCs w:val="24"/>
              </w:rPr>
            </w:pPr>
          </w:p>
        </w:tc>
      </w:tr>
      <w:tr w:rsidR="000658F1" w:rsidTr="007E53F5">
        <w:trPr>
          <w:trHeight w:val="377"/>
          <w:jc w:val="center"/>
        </w:trPr>
        <w:tc>
          <w:tcPr>
            <w:tcW w:w="1779" w:type="dxa"/>
          </w:tcPr>
          <w:p w:rsidR="000658F1" w:rsidRDefault="000658F1" w:rsidP="003916F1">
            <w:pPr>
              <w:pStyle w:val="Heading1"/>
              <w:jc w:val="left"/>
              <w:rPr>
                <w:b/>
                <w:bCs/>
                <w:szCs w:val="24"/>
              </w:rPr>
            </w:pPr>
          </w:p>
        </w:tc>
        <w:tc>
          <w:tcPr>
            <w:tcW w:w="6470" w:type="dxa"/>
            <w:vAlign w:val="center"/>
          </w:tcPr>
          <w:p w:rsidR="000658F1" w:rsidRPr="00B55CD7" w:rsidRDefault="00B55CD7" w:rsidP="00B55CD7">
            <w:pPr>
              <w:pStyle w:val="Heading1"/>
              <w:jc w:val="left"/>
              <w:rPr>
                <w:iCs/>
                <w:szCs w:val="24"/>
              </w:rPr>
            </w:pPr>
            <w:r>
              <w:rPr>
                <w:iCs/>
                <w:szCs w:val="24"/>
              </w:rPr>
              <w:t>Introduction</w:t>
            </w:r>
          </w:p>
        </w:tc>
        <w:tc>
          <w:tcPr>
            <w:tcW w:w="880" w:type="dxa"/>
            <w:vAlign w:val="center"/>
          </w:tcPr>
          <w:p w:rsidR="000658F1" w:rsidRDefault="000658F1" w:rsidP="003916F1">
            <w:pPr>
              <w:pStyle w:val="Heading1"/>
              <w:jc w:val="center"/>
              <w:rPr>
                <w:b/>
                <w:bCs/>
                <w:szCs w:val="24"/>
              </w:rPr>
            </w:pP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One</w:t>
            </w:r>
            <w:r w:rsidR="000658F1">
              <w:rPr>
                <w:szCs w:val="24"/>
              </w:rPr>
              <w:t>:</w:t>
            </w:r>
          </w:p>
        </w:tc>
        <w:tc>
          <w:tcPr>
            <w:tcW w:w="6470" w:type="dxa"/>
            <w:vAlign w:val="center"/>
          </w:tcPr>
          <w:p w:rsidR="000658F1" w:rsidRDefault="000C589F" w:rsidP="003916F1">
            <w:pPr>
              <w:pStyle w:val="Heading1"/>
              <w:ind w:left="-16"/>
              <w:jc w:val="left"/>
              <w:rPr>
                <w:b/>
                <w:bCs/>
                <w:szCs w:val="24"/>
              </w:rPr>
            </w:pPr>
            <w:r>
              <w:rPr>
                <w:b/>
                <w:bCs/>
                <w:szCs w:val="24"/>
              </w:rPr>
              <w:t>Main Findings</w:t>
            </w:r>
          </w:p>
        </w:tc>
        <w:tc>
          <w:tcPr>
            <w:tcW w:w="880" w:type="dxa"/>
            <w:vAlign w:val="center"/>
          </w:tcPr>
          <w:p w:rsidR="000658F1" w:rsidRDefault="000658F1" w:rsidP="00556D30">
            <w:pPr>
              <w:pStyle w:val="Heading1"/>
              <w:jc w:val="center"/>
              <w:rPr>
                <w:b/>
                <w:bCs/>
                <w:szCs w:val="24"/>
              </w:rPr>
            </w:pPr>
            <w:r>
              <w:rPr>
                <w:b/>
                <w:bCs/>
                <w:szCs w:val="24"/>
              </w:rPr>
              <w:t>[</w:t>
            </w:r>
            <w:r w:rsidR="00556D30">
              <w:rPr>
                <w:b/>
                <w:bCs/>
                <w:szCs w:val="24"/>
              </w:rPr>
              <w:t>15</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3916F1">
            <w:pPr>
              <w:pStyle w:val="Heading1"/>
              <w:ind w:left="-16"/>
              <w:jc w:val="left"/>
              <w:rPr>
                <w:szCs w:val="24"/>
              </w:rPr>
            </w:pPr>
            <w:r>
              <w:rPr>
                <w:rFonts w:hint="cs"/>
                <w:szCs w:val="24"/>
                <w:rtl/>
                <w:lang w:val="en-GB" w:eastAsia="en-GB"/>
              </w:rPr>
              <w:t>1.1</w:t>
            </w:r>
            <w:r w:rsidR="000658F1">
              <w:rPr>
                <w:szCs w:val="24"/>
              </w:rPr>
              <w:t xml:space="preserve">  S</w:t>
            </w:r>
            <w:r w:rsidR="000658F1">
              <w:t xml:space="preserve">ettlements </w:t>
            </w:r>
          </w:p>
        </w:tc>
        <w:tc>
          <w:tcPr>
            <w:tcW w:w="880" w:type="dxa"/>
            <w:vAlign w:val="center"/>
          </w:tcPr>
          <w:p w:rsidR="000658F1" w:rsidRDefault="000658F1" w:rsidP="00556D30">
            <w:pPr>
              <w:pStyle w:val="Heading1"/>
              <w:jc w:val="center"/>
              <w:rPr>
                <w:szCs w:val="24"/>
              </w:rPr>
            </w:pPr>
            <w:r>
              <w:rPr>
                <w:szCs w:val="24"/>
              </w:rPr>
              <w:t>[</w:t>
            </w:r>
            <w:r w:rsidR="00556D30">
              <w:rPr>
                <w:szCs w:val="24"/>
              </w:rPr>
              <w:t>15</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rFonts w:hint="cs"/>
                <w:szCs w:val="24"/>
                <w:rtl/>
                <w:lang w:val="en-GB" w:eastAsia="en-GB"/>
              </w:rPr>
              <w:t>1.2</w:t>
            </w:r>
            <w:r w:rsidR="000658F1">
              <w:rPr>
                <w:szCs w:val="24"/>
                <w:lang w:val="en-GB" w:eastAsia="en-GB"/>
              </w:rPr>
              <w:t xml:space="preserve">  The Settlers Population</w:t>
            </w:r>
          </w:p>
        </w:tc>
        <w:tc>
          <w:tcPr>
            <w:tcW w:w="880" w:type="dxa"/>
            <w:vAlign w:val="center"/>
          </w:tcPr>
          <w:p w:rsidR="000658F1" w:rsidRDefault="000658F1" w:rsidP="00556D30">
            <w:pPr>
              <w:pStyle w:val="Heading1"/>
              <w:jc w:val="center"/>
              <w:rPr>
                <w:szCs w:val="24"/>
              </w:rPr>
            </w:pPr>
            <w:r>
              <w:rPr>
                <w:szCs w:val="24"/>
              </w:rPr>
              <w:t>[</w:t>
            </w:r>
            <w:r w:rsidR="00556D30">
              <w:rPr>
                <w:szCs w:val="24"/>
              </w:rPr>
              <w:t>15</w:t>
            </w:r>
            <w:r>
              <w:rPr>
                <w:szCs w:val="24"/>
              </w:rPr>
              <w:t>]</w:t>
            </w:r>
          </w:p>
        </w:tc>
      </w:tr>
      <w:tr w:rsidR="00556D30" w:rsidTr="007E53F5">
        <w:trPr>
          <w:trHeight w:val="340"/>
          <w:jc w:val="center"/>
        </w:trPr>
        <w:tc>
          <w:tcPr>
            <w:tcW w:w="1779" w:type="dxa"/>
          </w:tcPr>
          <w:p w:rsidR="00556D30" w:rsidRDefault="00556D30" w:rsidP="003916F1">
            <w:pPr>
              <w:pStyle w:val="Heading1"/>
              <w:ind w:left="567" w:hanging="247"/>
              <w:jc w:val="left"/>
              <w:rPr>
                <w:szCs w:val="24"/>
                <w:lang w:val="en-GB" w:eastAsia="en-GB"/>
              </w:rPr>
            </w:pPr>
          </w:p>
        </w:tc>
        <w:tc>
          <w:tcPr>
            <w:tcW w:w="6470" w:type="dxa"/>
            <w:vAlign w:val="center"/>
          </w:tcPr>
          <w:p w:rsidR="00556D30" w:rsidRDefault="00556D30" w:rsidP="003916F1">
            <w:pPr>
              <w:pStyle w:val="Heading1"/>
              <w:ind w:left="-16"/>
              <w:jc w:val="left"/>
              <w:rPr>
                <w:szCs w:val="24"/>
                <w:rtl/>
                <w:lang w:val="en-GB" w:eastAsia="en-GB"/>
              </w:rPr>
            </w:pPr>
            <w:r>
              <w:rPr>
                <w:szCs w:val="24"/>
                <w:lang w:val="en-GB" w:eastAsia="en-GB"/>
              </w:rPr>
              <w:t>1.3 Settling Stages</w:t>
            </w:r>
          </w:p>
        </w:tc>
        <w:tc>
          <w:tcPr>
            <w:tcW w:w="880" w:type="dxa"/>
            <w:vAlign w:val="center"/>
          </w:tcPr>
          <w:p w:rsidR="00556D30" w:rsidRDefault="00556D30" w:rsidP="00556D30">
            <w:pPr>
              <w:pStyle w:val="Heading1"/>
              <w:jc w:val="center"/>
              <w:rPr>
                <w:szCs w:val="24"/>
              </w:rPr>
            </w:pPr>
            <w:r>
              <w:rPr>
                <w:szCs w:val="24"/>
              </w:rPr>
              <w:t>[16]</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rFonts w:hint="cs"/>
                <w:szCs w:val="24"/>
                <w:rtl/>
                <w:lang w:val="en-GB" w:eastAsia="en-GB"/>
              </w:rPr>
              <w:t>1.4</w:t>
            </w:r>
            <w:r w:rsidR="000658F1">
              <w:rPr>
                <w:szCs w:val="24"/>
                <w:lang w:val="en-GB" w:eastAsia="en-GB"/>
              </w:rPr>
              <w:t xml:space="preserve">  The Nature of Settling in the West Bank</w:t>
            </w:r>
          </w:p>
        </w:tc>
        <w:tc>
          <w:tcPr>
            <w:tcW w:w="880" w:type="dxa"/>
            <w:vAlign w:val="center"/>
          </w:tcPr>
          <w:p w:rsidR="000658F1" w:rsidRDefault="000658F1" w:rsidP="000C589F">
            <w:pPr>
              <w:pStyle w:val="Heading1"/>
              <w:jc w:val="center"/>
              <w:rPr>
                <w:szCs w:val="24"/>
              </w:rPr>
            </w:pPr>
            <w:r>
              <w:rPr>
                <w:szCs w:val="24"/>
              </w:rPr>
              <w:t>[</w:t>
            </w:r>
            <w:r w:rsidR="000C589F">
              <w:rPr>
                <w:szCs w:val="24"/>
              </w:rPr>
              <w:t>16</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eastAsia="en-GB"/>
              </w:rPr>
            </w:pPr>
            <w:r>
              <w:rPr>
                <w:szCs w:val="24"/>
                <w:lang w:val="en-GB" w:eastAsia="en-GB"/>
              </w:rPr>
              <w:t>1.5</w:t>
            </w:r>
            <w:r w:rsidR="000658F1">
              <w:rPr>
                <w:szCs w:val="24"/>
                <w:lang w:val="en-GB" w:eastAsia="en-GB"/>
              </w:rPr>
              <w:t xml:space="preserve">  Geographic</w:t>
            </w:r>
            <w:r w:rsidR="000658F1">
              <w:rPr>
                <w:szCs w:val="24"/>
                <w:lang w:eastAsia="en-GB"/>
              </w:rPr>
              <w:t>al</w:t>
            </w:r>
            <w:r w:rsidR="000658F1">
              <w:rPr>
                <w:szCs w:val="24"/>
                <w:lang w:val="en-GB" w:eastAsia="en-GB"/>
              </w:rPr>
              <w:t xml:space="preserve"> Dispersion</w:t>
            </w:r>
          </w:p>
        </w:tc>
        <w:tc>
          <w:tcPr>
            <w:tcW w:w="880" w:type="dxa"/>
            <w:vAlign w:val="center"/>
          </w:tcPr>
          <w:p w:rsidR="000658F1" w:rsidRDefault="00556D30" w:rsidP="003916F1">
            <w:pPr>
              <w:pStyle w:val="Heading1"/>
              <w:jc w:val="center"/>
              <w:rPr>
                <w:szCs w:val="24"/>
              </w:rPr>
            </w:pPr>
            <w:r>
              <w:rPr>
                <w:szCs w:val="24"/>
              </w:rPr>
              <w:t>[17</w:t>
            </w:r>
            <w:r w:rsidR="000658F1">
              <w:rPr>
                <w:szCs w:val="24"/>
              </w:rPr>
              <w:t>]</w:t>
            </w:r>
          </w:p>
        </w:tc>
      </w:tr>
      <w:tr w:rsidR="000658F1" w:rsidTr="007E53F5">
        <w:trPr>
          <w:jc w:val="center"/>
        </w:trPr>
        <w:tc>
          <w:tcPr>
            <w:tcW w:w="1779" w:type="dxa"/>
          </w:tcPr>
          <w:p w:rsidR="000658F1" w:rsidRDefault="000658F1" w:rsidP="003916F1">
            <w:pPr>
              <w:pStyle w:val="Heading1"/>
              <w:jc w:val="left"/>
              <w:rPr>
                <w:sz w:val="12"/>
                <w:szCs w:val="12"/>
              </w:rPr>
            </w:pPr>
          </w:p>
        </w:tc>
        <w:tc>
          <w:tcPr>
            <w:tcW w:w="6470" w:type="dxa"/>
            <w:vAlign w:val="center"/>
          </w:tcPr>
          <w:p w:rsidR="000658F1" w:rsidRDefault="000658F1" w:rsidP="003916F1">
            <w:pPr>
              <w:pStyle w:val="Heading1"/>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556D30" w:rsidP="003916F1">
            <w:pPr>
              <w:pStyle w:val="Heading1"/>
              <w:jc w:val="left"/>
              <w:rPr>
                <w:szCs w:val="24"/>
              </w:rPr>
            </w:pPr>
            <w:r>
              <w:rPr>
                <w:szCs w:val="24"/>
              </w:rPr>
              <w:t>Chapter Two</w:t>
            </w:r>
            <w:r w:rsidR="000658F1">
              <w:rPr>
                <w:szCs w:val="24"/>
              </w:rPr>
              <w:t>:</w:t>
            </w:r>
          </w:p>
        </w:tc>
        <w:tc>
          <w:tcPr>
            <w:tcW w:w="6470" w:type="dxa"/>
            <w:vAlign w:val="center"/>
          </w:tcPr>
          <w:p w:rsidR="000658F1" w:rsidRDefault="000658F1" w:rsidP="003916F1">
            <w:pPr>
              <w:pStyle w:val="Heading1"/>
              <w:ind w:left="-16"/>
              <w:jc w:val="left"/>
              <w:rPr>
                <w:b/>
                <w:bCs/>
                <w:szCs w:val="24"/>
              </w:rPr>
            </w:pPr>
            <w:r>
              <w:rPr>
                <w:b/>
                <w:bCs/>
                <w:szCs w:val="24"/>
              </w:rPr>
              <w:t>Methodology</w:t>
            </w:r>
            <w:r w:rsidR="00556D30">
              <w:rPr>
                <w:b/>
                <w:bCs/>
                <w:szCs w:val="24"/>
              </w:rPr>
              <w:t xml:space="preserve"> and Data Quality</w:t>
            </w:r>
          </w:p>
        </w:tc>
        <w:tc>
          <w:tcPr>
            <w:tcW w:w="880" w:type="dxa"/>
            <w:vAlign w:val="center"/>
          </w:tcPr>
          <w:p w:rsidR="000658F1" w:rsidRDefault="000658F1" w:rsidP="00556D30">
            <w:pPr>
              <w:pStyle w:val="Heading1"/>
              <w:jc w:val="center"/>
              <w:rPr>
                <w:b/>
                <w:bCs/>
                <w:szCs w:val="24"/>
                <w:rtl/>
                <w:lang w:val="en-GB"/>
              </w:rPr>
            </w:pPr>
            <w:r>
              <w:rPr>
                <w:b/>
                <w:bCs/>
                <w:szCs w:val="24"/>
              </w:rPr>
              <w:t>[</w:t>
            </w:r>
            <w:r w:rsidR="00556D30">
              <w:rPr>
                <w:b/>
                <w:bCs/>
                <w:szCs w:val="24"/>
              </w:rPr>
              <w:t>19</w:t>
            </w:r>
            <w:r>
              <w:rPr>
                <w:b/>
                <w:bCs/>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rtl/>
                <w:lang w:val="en-GB" w:eastAsia="en-GB"/>
              </w:rPr>
            </w:pPr>
          </w:p>
        </w:tc>
        <w:tc>
          <w:tcPr>
            <w:tcW w:w="6470" w:type="dxa"/>
            <w:vAlign w:val="center"/>
          </w:tcPr>
          <w:p w:rsidR="000658F1" w:rsidRDefault="00556D30" w:rsidP="00556D30">
            <w:pPr>
              <w:pStyle w:val="Heading1"/>
              <w:ind w:left="-16"/>
              <w:jc w:val="left"/>
              <w:rPr>
                <w:szCs w:val="24"/>
                <w:lang w:val="en-GB" w:eastAsia="en-GB"/>
              </w:rPr>
            </w:pPr>
            <w:r>
              <w:rPr>
                <w:szCs w:val="24"/>
                <w:lang w:val="en-GB" w:eastAsia="en-GB"/>
              </w:rPr>
              <w:t>2.1</w:t>
            </w:r>
            <w:r w:rsidR="000658F1">
              <w:rPr>
                <w:szCs w:val="24"/>
                <w:lang w:val="en-GB" w:eastAsia="en-GB"/>
              </w:rPr>
              <w:t xml:space="preserve"> </w:t>
            </w:r>
            <w:r w:rsidR="000658F1">
              <w:rPr>
                <w:szCs w:val="24"/>
                <w:lang w:eastAsia="en-GB"/>
              </w:rPr>
              <w:t xml:space="preserve"> </w:t>
            </w:r>
            <w:r>
              <w:rPr>
                <w:szCs w:val="24"/>
                <w:lang w:val="en-GB" w:eastAsia="en-GB"/>
              </w:rPr>
              <w:t>Coverage</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2.2</w:t>
            </w:r>
            <w:r w:rsidR="000658F1">
              <w:rPr>
                <w:szCs w:val="24"/>
                <w:lang w:val="en-GB" w:eastAsia="en-GB"/>
              </w:rPr>
              <w:t xml:space="preserve">  Data Sources</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0658F1" w:rsidTr="007E53F5">
        <w:trPr>
          <w:trHeight w:val="340"/>
          <w:jc w:val="center"/>
        </w:trPr>
        <w:tc>
          <w:tcPr>
            <w:tcW w:w="1779" w:type="dxa"/>
          </w:tcPr>
          <w:p w:rsidR="000658F1" w:rsidRDefault="000658F1" w:rsidP="003916F1">
            <w:pPr>
              <w:pStyle w:val="Heading1"/>
              <w:ind w:left="567" w:hanging="247"/>
              <w:jc w:val="left"/>
              <w:rPr>
                <w:szCs w:val="24"/>
                <w:lang w:val="en-GB" w:eastAsia="en-GB"/>
              </w:rPr>
            </w:pPr>
          </w:p>
        </w:tc>
        <w:tc>
          <w:tcPr>
            <w:tcW w:w="6470" w:type="dxa"/>
            <w:vAlign w:val="center"/>
          </w:tcPr>
          <w:p w:rsidR="000658F1" w:rsidRDefault="00556D30" w:rsidP="003916F1">
            <w:pPr>
              <w:pStyle w:val="Heading1"/>
              <w:ind w:left="-16"/>
              <w:jc w:val="left"/>
              <w:rPr>
                <w:szCs w:val="24"/>
                <w:lang w:val="en-GB" w:eastAsia="en-GB"/>
              </w:rPr>
            </w:pPr>
            <w:r>
              <w:rPr>
                <w:szCs w:val="24"/>
                <w:lang w:val="en-GB" w:eastAsia="en-GB"/>
              </w:rPr>
              <w:t>2.3</w:t>
            </w:r>
            <w:r w:rsidR="000658F1">
              <w:rPr>
                <w:szCs w:val="24"/>
                <w:lang w:val="en-GB" w:eastAsia="en-GB"/>
              </w:rPr>
              <w:t xml:space="preserve">  Data Processing</w:t>
            </w:r>
          </w:p>
        </w:tc>
        <w:tc>
          <w:tcPr>
            <w:tcW w:w="880" w:type="dxa"/>
            <w:vAlign w:val="center"/>
          </w:tcPr>
          <w:p w:rsidR="000658F1" w:rsidRDefault="000658F1" w:rsidP="00556D30">
            <w:pPr>
              <w:pStyle w:val="Heading1"/>
              <w:jc w:val="center"/>
              <w:rPr>
                <w:szCs w:val="24"/>
              </w:rPr>
            </w:pPr>
            <w:r>
              <w:rPr>
                <w:szCs w:val="24"/>
              </w:rPr>
              <w:t>[</w:t>
            </w:r>
            <w:r w:rsidR="00556D30">
              <w:rPr>
                <w:szCs w:val="24"/>
              </w:rPr>
              <w:t>19</w:t>
            </w:r>
            <w:r>
              <w:rPr>
                <w:szCs w:val="24"/>
              </w:rPr>
              <w:t>]</w:t>
            </w:r>
          </w:p>
        </w:tc>
      </w:tr>
      <w:tr w:rsidR="004F482F" w:rsidTr="00F968BD">
        <w:trPr>
          <w:trHeight w:val="340"/>
          <w:jc w:val="center"/>
        </w:trPr>
        <w:tc>
          <w:tcPr>
            <w:tcW w:w="1779" w:type="dxa"/>
          </w:tcPr>
          <w:p w:rsidR="004F482F" w:rsidRDefault="004F482F" w:rsidP="00F968BD">
            <w:pPr>
              <w:pStyle w:val="Heading1"/>
              <w:ind w:left="-16"/>
              <w:jc w:val="left"/>
              <w:rPr>
                <w:szCs w:val="24"/>
                <w:rtl/>
                <w:lang w:val="en-GB" w:eastAsia="en-GB"/>
              </w:rPr>
            </w:pPr>
          </w:p>
        </w:tc>
        <w:tc>
          <w:tcPr>
            <w:tcW w:w="6470" w:type="dxa"/>
            <w:vAlign w:val="center"/>
          </w:tcPr>
          <w:p w:rsidR="004F482F" w:rsidRDefault="004F482F" w:rsidP="00F968BD">
            <w:pPr>
              <w:pStyle w:val="Heading1"/>
              <w:ind w:left="-16"/>
              <w:jc w:val="left"/>
              <w:rPr>
                <w:szCs w:val="24"/>
                <w:lang w:val="en-GB" w:eastAsia="en-GB"/>
              </w:rPr>
            </w:pPr>
            <w:r>
              <w:rPr>
                <w:szCs w:val="24"/>
                <w:lang w:val="en-GB" w:eastAsia="en-GB"/>
              </w:rPr>
              <w:t>2.4  Accuracy of the Data</w:t>
            </w:r>
          </w:p>
        </w:tc>
        <w:tc>
          <w:tcPr>
            <w:tcW w:w="880" w:type="dxa"/>
            <w:vAlign w:val="center"/>
          </w:tcPr>
          <w:p w:rsidR="004F482F" w:rsidRDefault="004F482F" w:rsidP="00F968BD">
            <w:pPr>
              <w:pStyle w:val="Heading1"/>
              <w:jc w:val="center"/>
              <w:rPr>
                <w:szCs w:val="24"/>
              </w:rPr>
            </w:pPr>
            <w:r>
              <w:rPr>
                <w:szCs w:val="24"/>
              </w:rPr>
              <w:t>[20]</w:t>
            </w:r>
          </w:p>
        </w:tc>
      </w:tr>
      <w:tr w:rsidR="000658F1" w:rsidTr="007E53F5">
        <w:trPr>
          <w:trHeight w:val="340"/>
          <w:jc w:val="center"/>
        </w:trPr>
        <w:tc>
          <w:tcPr>
            <w:tcW w:w="1779" w:type="dxa"/>
          </w:tcPr>
          <w:p w:rsidR="000658F1" w:rsidRDefault="000658F1" w:rsidP="003916F1">
            <w:pPr>
              <w:pStyle w:val="Heading1"/>
              <w:ind w:left="-16"/>
              <w:jc w:val="left"/>
              <w:rPr>
                <w:szCs w:val="24"/>
                <w:rtl/>
                <w:lang w:val="en-GB" w:eastAsia="en-GB"/>
              </w:rPr>
            </w:pPr>
          </w:p>
        </w:tc>
        <w:tc>
          <w:tcPr>
            <w:tcW w:w="6470" w:type="dxa"/>
            <w:vAlign w:val="center"/>
          </w:tcPr>
          <w:p w:rsidR="000658F1" w:rsidRDefault="00556D30" w:rsidP="004F482F">
            <w:pPr>
              <w:pStyle w:val="Heading1"/>
              <w:ind w:left="-16"/>
              <w:jc w:val="left"/>
              <w:rPr>
                <w:szCs w:val="24"/>
                <w:lang w:val="en-GB" w:eastAsia="en-GB"/>
              </w:rPr>
            </w:pPr>
            <w:r>
              <w:rPr>
                <w:szCs w:val="24"/>
                <w:lang w:val="en-GB" w:eastAsia="en-GB"/>
              </w:rPr>
              <w:t>2.</w:t>
            </w:r>
            <w:r w:rsidR="004F482F">
              <w:rPr>
                <w:szCs w:val="24"/>
                <w:lang w:val="en-GB" w:eastAsia="en-GB"/>
              </w:rPr>
              <w:t>5</w:t>
            </w:r>
            <w:r w:rsidR="000658F1">
              <w:rPr>
                <w:szCs w:val="24"/>
                <w:lang w:val="en-GB" w:eastAsia="en-GB"/>
              </w:rPr>
              <w:t xml:space="preserve">  </w:t>
            </w:r>
            <w:r w:rsidR="00C36C56" w:rsidRPr="00C36C56">
              <w:rPr>
                <w:szCs w:val="24"/>
                <w:lang w:val="en-GB" w:eastAsia="en-GB"/>
              </w:rPr>
              <w:t>Technical Notes</w:t>
            </w:r>
          </w:p>
        </w:tc>
        <w:tc>
          <w:tcPr>
            <w:tcW w:w="880" w:type="dxa"/>
            <w:vAlign w:val="center"/>
          </w:tcPr>
          <w:p w:rsidR="000658F1" w:rsidRDefault="000658F1" w:rsidP="00556D30">
            <w:pPr>
              <w:pStyle w:val="Heading1"/>
              <w:jc w:val="center"/>
              <w:rPr>
                <w:szCs w:val="24"/>
              </w:rPr>
            </w:pPr>
            <w:r>
              <w:rPr>
                <w:szCs w:val="24"/>
              </w:rPr>
              <w:t>[</w:t>
            </w:r>
            <w:r w:rsidR="00556D30">
              <w:rPr>
                <w:szCs w:val="24"/>
              </w:rPr>
              <w:t>20</w:t>
            </w:r>
            <w:r>
              <w:rPr>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Pr="007E53F5" w:rsidRDefault="007E53F5" w:rsidP="003916F1">
            <w:pPr>
              <w:pStyle w:val="Heading8"/>
              <w:rPr>
                <w:rFonts w:cs="Simplified Arabic"/>
                <w:b w:val="0"/>
                <w:bCs w:val="0"/>
                <w:snapToGrid/>
                <w:szCs w:val="24"/>
              </w:rPr>
            </w:pPr>
            <w:r w:rsidRPr="007E53F5">
              <w:rPr>
                <w:rFonts w:cs="Simplified Arabic"/>
                <w:b w:val="0"/>
                <w:bCs w:val="0"/>
                <w:snapToGrid/>
                <w:szCs w:val="24"/>
              </w:rPr>
              <w:t>Chapter Three</w:t>
            </w:r>
          </w:p>
        </w:tc>
        <w:tc>
          <w:tcPr>
            <w:tcW w:w="6470" w:type="dxa"/>
            <w:vAlign w:val="center"/>
          </w:tcPr>
          <w:p w:rsidR="000658F1" w:rsidRDefault="007E53F5" w:rsidP="003916F1">
            <w:pPr>
              <w:pStyle w:val="Heading1"/>
              <w:ind w:left="-16"/>
              <w:jc w:val="left"/>
              <w:rPr>
                <w:b/>
                <w:bCs/>
                <w:szCs w:val="24"/>
              </w:rPr>
            </w:pPr>
            <w:r>
              <w:rPr>
                <w:b/>
                <w:bCs/>
                <w:szCs w:val="24"/>
              </w:rPr>
              <w:t>Concept and Definitions</w:t>
            </w:r>
          </w:p>
        </w:tc>
        <w:tc>
          <w:tcPr>
            <w:tcW w:w="880" w:type="dxa"/>
            <w:vAlign w:val="center"/>
          </w:tcPr>
          <w:p w:rsidR="000658F1" w:rsidRDefault="000658F1" w:rsidP="00CC6D9C">
            <w:pPr>
              <w:pStyle w:val="Heading1"/>
              <w:jc w:val="center"/>
              <w:rPr>
                <w:b/>
                <w:bCs/>
                <w:szCs w:val="24"/>
                <w:rtl/>
                <w:lang w:val="en-GB"/>
              </w:rPr>
            </w:pPr>
            <w:r>
              <w:rPr>
                <w:b/>
                <w:bCs/>
                <w:szCs w:val="24"/>
              </w:rPr>
              <w:t>[</w:t>
            </w:r>
            <w:r w:rsidR="00CC6D9C">
              <w:rPr>
                <w:b/>
                <w:bCs/>
                <w:szCs w:val="24"/>
              </w:rPr>
              <w:t>21</w:t>
            </w:r>
            <w:r>
              <w:rPr>
                <w:b/>
                <w:bCs/>
                <w:szCs w:val="24"/>
              </w:rPr>
              <w:t>]</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0658F1" w:rsidTr="007E53F5">
        <w:trPr>
          <w:jc w:val="center"/>
        </w:trPr>
        <w:tc>
          <w:tcPr>
            <w:tcW w:w="1779" w:type="dxa"/>
          </w:tcPr>
          <w:p w:rsidR="000658F1" w:rsidRDefault="000658F1" w:rsidP="003916F1">
            <w:pPr>
              <w:pStyle w:val="Heading8"/>
              <w:rPr>
                <w:rFonts w:cs="Simplified Arabic"/>
                <w:snapToGrid/>
                <w:szCs w:val="24"/>
              </w:rPr>
            </w:pPr>
          </w:p>
        </w:tc>
        <w:tc>
          <w:tcPr>
            <w:tcW w:w="6470" w:type="dxa"/>
            <w:vAlign w:val="center"/>
          </w:tcPr>
          <w:p w:rsidR="000658F1" w:rsidRDefault="007E53F5" w:rsidP="003916F1">
            <w:pPr>
              <w:pStyle w:val="Heading1"/>
              <w:ind w:left="-16"/>
              <w:jc w:val="left"/>
              <w:rPr>
                <w:b/>
                <w:bCs/>
                <w:szCs w:val="24"/>
              </w:rPr>
            </w:pPr>
            <w:r>
              <w:rPr>
                <w:b/>
                <w:bCs/>
                <w:szCs w:val="24"/>
              </w:rPr>
              <w:t>References</w:t>
            </w:r>
          </w:p>
        </w:tc>
        <w:tc>
          <w:tcPr>
            <w:tcW w:w="880" w:type="dxa"/>
            <w:vAlign w:val="center"/>
          </w:tcPr>
          <w:p w:rsidR="000658F1" w:rsidRDefault="007D1E66" w:rsidP="007D1E66">
            <w:pPr>
              <w:pStyle w:val="Heading1"/>
              <w:jc w:val="center"/>
              <w:rPr>
                <w:b/>
                <w:bCs/>
                <w:szCs w:val="24"/>
              </w:rPr>
            </w:pPr>
            <w:r>
              <w:rPr>
                <w:b/>
                <w:bCs/>
                <w:szCs w:val="24"/>
              </w:rPr>
              <w:t>[25]</w:t>
            </w:r>
          </w:p>
        </w:tc>
      </w:tr>
      <w:tr w:rsidR="000658F1" w:rsidTr="007E53F5">
        <w:trPr>
          <w:jc w:val="center"/>
        </w:trPr>
        <w:tc>
          <w:tcPr>
            <w:tcW w:w="1779" w:type="dxa"/>
          </w:tcPr>
          <w:p w:rsidR="000658F1" w:rsidRDefault="000658F1" w:rsidP="003916F1">
            <w:pPr>
              <w:pStyle w:val="Heading1"/>
              <w:jc w:val="left"/>
              <w:rPr>
                <w:b/>
                <w:bCs/>
                <w:sz w:val="12"/>
                <w:szCs w:val="12"/>
              </w:rPr>
            </w:pPr>
          </w:p>
        </w:tc>
        <w:tc>
          <w:tcPr>
            <w:tcW w:w="6470" w:type="dxa"/>
            <w:vAlign w:val="center"/>
          </w:tcPr>
          <w:p w:rsidR="000658F1" w:rsidRDefault="000658F1" w:rsidP="003916F1">
            <w:pPr>
              <w:pStyle w:val="Heading1"/>
              <w:ind w:left="-16"/>
              <w:jc w:val="left"/>
              <w:rPr>
                <w:b/>
                <w:bCs/>
                <w:sz w:val="12"/>
                <w:szCs w:val="12"/>
              </w:rPr>
            </w:pPr>
          </w:p>
        </w:tc>
        <w:tc>
          <w:tcPr>
            <w:tcW w:w="880" w:type="dxa"/>
            <w:vAlign w:val="center"/>
          </w:tcPr>
          <w:p w:rsidR="000658F1" w:rsidRDefault="000658F1" w:rsidP="003916F1">
            <w:pPr>
              <w:pStyle w:val="Heading1"/>
              <w:jc w:val="left"/>
              <w:rPr>
                <w:b/>
                <w:bCs/>
                <w:sz w:val="12"/>
                <w:szCs w:val="12"/>
              </w:rPr>
            </w:pP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r w:rsidRPr="00911D6E">
              <w:rPr>
                <w:b/>
                <w:bCs/>
                <w:szCs w:val="24"/>
              </w:rPr>
              <w:t>Table</w:t>
            </w:r>
            <w:r>
              <w:rPr>
                <w:b/>
                <w:bCs/>
                <w:szCs w:val="24"/>
              </w:rPr>
              <w:t>s</w:t>
            </w:r>
            <w:r w:rsidRPr="00911D6E">
              <w:rPr>
                <w:b/>
                <w:bCs/>
                <w:szCs w:val="24"/>
              </w:rPr>
              <w:t xml:space="preserve"> </w:t>
            </w:r>
          </w:p>
        </w:tc>
        <w:tc>
          <w:tcPr>
            <w:tcW w:w="880" w:type="dxa"/>
            <w:vAlign w:val="center"/>
          </w:tcPr>
          <w:p w:rsidR="00911D6E" w:rsidRDefault="00911D6E" w:rsidP="00A7565D">
            <w:pPr>
              <w:pStyle w:val="Heading1"/>
              <w:jc w:val="center"/>
              <w:rPr>
                <w:b/>
                <w:bCs/>
                <w:szCs w:val="24"/>
              </w:rPr>
            </w:pPr>
            <w:r>
              <w:rPr>
                <w:b/>
                <w:bCs/>
                <w:szCs w:val="24"/>
                <w:lang w:val="en-GB"/>
              </w:rPr>
              <w:t>45</w:t>
            </w:r>
          </w:p>
        </w:tc>
      </w:tr>
      <w:tr w:rsidR="00911D6E" w:rsidRPr="00911D6E" w:rsidTr="007E53F5">
        <w:trPr>
          <w:jc w:val="center"/>
        </w:trPr>
        <w:tc>
          <w:tcPr>
            <w:tcW w:w="1779" w:type="dxa"/>
          </w:tcPr>
          <w:p w:rsidR="00911D6E" w:rsidRPr="00911D6E" w:rsidRDefault="00911D6E" w:rsidP="00911D6E">
            <w:pPr>
              <w:pStyle w:val="Heading1"/>
              <w:ind w:left="-16"/>
              <w:jc w:val="left"/>
              <w:rPr>
                <w:b/>
                <w:bCs/>
                <w:szCs w:val="24"/>
              </w:rPr>
            </w:pPr>
          </w:p>
        </w:tc>
        <w:tc>
          <w:tcPr>
            <w:tcW w:w="6470" w:type="dxa"/>
            <w:vAlign w:val="center"/>
          </w:tcPr>
          <w:p w:rsidR="00911D6E" w:rsidRPr="00911D6E" w:rsidRDefault="00911D6E" w:rsidP="003916F1">
            <w:pPr>
              <w:pStyle w:val="Heading1"/>
              <w:ind w:left="-16"/>
              <w:jc w:val="left"/>
              <w:rPr>
                <w:b/>
                <w:bCs/>
                <w:szCs w:val="24"/>
              </w:rPr>
            </w:pPr>
          </w:p>
        </w:tc>
        <w:tc>
          <w:tcPr>
            <w:tcW w:w="880" w:type="dxa"/>
            <w:vAlign w:val="center"/>
          </w:tcPr>
          <w:p w:rsidR="00911D6E" w:rsidRPr="00911D6E" w:rsidRDefault="00911D6E" w:rsidP="00911D6E">
            <w:pPr>
              <w:pStyle w:val="Heading1"/>
              <w:ind w:left="-16"/>
              <w:jc w:val="left"/>
              <w:rPr>
                <w:b/>
                <w:bCs/>
                <w:szCs w:val="24"/>
              </w:rPr>
            </w:pPr>
          </w:p>
        </w:tc>
      </w:tr>
    </w:tbl>
    <w:p w:rsidR="000658F1" w:rsidRPr="00911D6E" w:rsidRDefault="000658F1" w:rsidP="00911D6E">
      <w:pPr>
        <w:pStyle w:val="Heading1"/>
        <w:ind w:left="-16"/>
        <w:jc w:val="left"/>
        <w:rPr>
          <w:b/>
          <w:bCs/>
          <w:szCs w:val="24"/>
        </w:rPr>
      </w:pPr>
    </w:p>
    <w:p w:rsidR="000658F1" w:rsidRDefault="000658F1" w:rsidP="000658F1">
      <w:pPr>
        <w:pStyle w:val="Heading1"/>
      </w:pPr>
      <w:r>
        <w:br w:type="page"/>
      </w:r>
    </w:p>
    <w:p w:rsidR="000658F1" w:rsidRDefault="000658F1" w:rsidP="000658F1">
      <w:pPr>
        <w:jc w:val="center"/>
        <w:rPr>
          <w:b/>
          <w:bCs/>
          <w:szCs w:val="24"/>
        </w:rPr>
      </w:pPr>
      <w:r>
        <w:rPr>
          <w:b/>
          <w:bCs/>
          <w:szCs w:val="24"/>
        </w:rPr>
        <w:lastRenderedPageBreak/>
        <w:t xml:space="preserve"> </w:t>
      </w:r>
    </w:p>
    <w:p w:rsidR="001A3F81" w:rsidRDefault="000658F1" w:rsidP="001A3F81">
      <w:pPr>
        <w:pStyle w:val="Heading1"/>
        <w:jc w:val="center"/>
        <w:rPr>
          <w:b/>
          <w:bCs/>
          <w:sz w:val="28"/>
          <w:szCs w:val="28"/>
        </w:rPr>
      </w:pPr>
      <w:r>
        <w:rPr>
          <w:b/>
          <w:bCs/>
          <w:szCs w:val="24"/>
        </w:rPr>
        <w:br w:type="page"/>
      </w:r>
      <w:r w:rsidR="001A3F81">
        <w:rPr>
          <w:b/>
          <w:bCs/>
          <w:sz w:val="28"/>
          <w:szCs w:val="28"/>
        </w:rPr>
        <w:lastRenderedPageBreak/>
        <w:t>List of Tables</w:t>
      </w:r>
    </w:p>
    <w:p w:rsidR="001A3F81" w:rsidRPr="00695FB3" w:rsidRDefault="001A3F81" w:rsidP="001A3F81">
      <w:pPr>
        <w:rPr>
          <w:sz w:val="22"/>
          <w:szCs w:val="22"/>
        </w:rPr>
      </w:pPr>
    </w:p>
    <w:tbl>
      <w:tblPr>
        <w:tblW w:w="0" w:type="auto"/>
        <w:jc w:val="center"/>
        <w:tblLook w:val="0000"/>
      </w:tblPr>
      <w:tblGrid>
        <w:gridCol w:w="1238"/>
        <w:gridCol w:w="7179"/>
        <w:gridCol w:w="850"/>
      </w:tblGrid>
      <w:tr w:rsidR="001A3F81" w:rsidTr="00695FB3">
        <w:trPr>
          <w:tblHeader/>
          <w:jc w:val="center"/>
        </w:trPr>
        <w:tc>
          <w:tcPr>
            <w:tcW w:w="1238" w:type="dxa"/>
          </w:tcPr>
          <w:p w:rsidR="001A3F81" w:rsidRDefault="001A3F81" w:rsidP="003916F1">
            <w:pPr>
              <w:pStyle w:val="Heading2"/>
              <w:spacing w:before="100" w:beforeAutospacing="1"/>
              <w:jc w:val="left"/>
              <w:rPr>
                <w:b/>
                <w:bCs/>
              </w:rPr>
            </w:pPr>
            <w:r>
              <w:rPr>
                <w:b/>
                <w:bCs/>
              </w:rPr>
              <w:t>Table</w:t>
            </w:r>
          </w:p>
        </w:tc>
        <w:tc>
          <w:tcPr>
            <w:tcW w:w="7179" w:type="dxa"/>
          </w:tcPr>
          <w:p w:rsidR="001A3F81" w:rsidRDefault="001A3F81" w:rsidP="003916F1">
            <w:pPr>
              <w:spacing w:before="100" w:beforeAutospacing="1"/>
              <w:jc w:val="lowKashida"/>
              <w:rPr>
                <w:rFonts w:cs="Times New Roman"/>
                <w:b/>
                <w:bCs/>
                <w:sz w:val="24"/>
                <w:szCs w:val="24"/>
              </w:rPr>
            </w:pPr>
          </w:p>
        </w:tc>
        <w:tc>
          <w:tcPr>
            <w:tcW w:w="850" w:type="dxa"/>
          </w:tcPr>
          <w:p w:rsidR="001A3F81" w:rsidRDefault="001A3F81" w:rsidP="003916F1">
            <w:pPr>
              <w:pStyle w:val="Heading1"/>
              <w:spacing w:before="100" w:beforeAutospacing="1"/>
              <w:jc w:val="center"/>
              <w:rPr>
                <w:rFonts w:cs="Times New Roman"/>
                <w:b/>
                <w:bCs/>
                <w:szCs w:val="24"/>
                <w:rtl/>
                <w:lang w:val="en-GB"/>
              </w:rPr>
            </w:pPr>
            <w:r>
              <w:rPr>
                <w:rFonts w:cs="Times New Roman"/>
                <w:b/>
                <w:bCs/>
                <w:szCs w:val="24"/>
                <w:lang w:val="en-GB"/>
              </w:rPr>
              <w:t>Page</w:t>
            </w:r>
          </w:p>
        </w:tc>
      </w:tr>
      <w:tr w:rsidR="001A3F81" w:rsidTr="00695FB3">
        <w:trPr>
          <w:trHeight w:hRule="exact" w:val="113"/>
          <w:tblHeader/>
          <w:jc w:val="center"/>
        </w:trPr>
        <w:tc>
          <w:tcPr>
            <w:tcW w:w="1238" w:type="dxa"/>
          </w:tcPr>
          <w:p w:rsidR="001A3F81" w:rsidRDefault="001A3F81" w:rsidP="003916F1">
            <w:pPr>
              <w:spacing w:before="100" w:beforeAutospacing="1"/>
              <w:jc w:val="lowKashida"/>
              <w:rPr>
                <w:rFonts w:cs="Times New Roman"/>
                <w:b/>
                <w:bCs/>
                <w:sz w:val="24"/>
                <w:szCs w:val="24"/>
              </w:rPr>
            </w:pPr>
          </w:p>
        </w:tc>
        <w:tc>
          <w:tcPr>
            <w:tcW w:w="7179" w:type="dxa"/>
          </w:tcPr>
          <w:p w:rsidR="001A3F81" w:rsidRDefault="001A3F81" w:rsidP="003916F1">
            <w:pPr>
              <w:spacing w:before="100" w:beforeAutospacing="1"/>
              <w:jc w:val="lowKashida"/>
              <w:rPr>
                <w:rFonts w:cs="Times New Roman"/>
                <w:sz w:val="24"/>
                <w:szCs w:val="24"/>
              </w:rPr>
            </w:pPr>
          </w:p>
        </w:tc>
        <w:tc>
          <w:tcPr>
            <w:tcW w:w="850" w:type="dxa"/>
          </w:tcPr>
          <w:p w:rsidR="001A3F81" w:rsidRDefault="001A3F81" w:rsidP="003916F1">
            <w:pPr>
              <w:spacing w:before="100" w:beforeAutospacing="1"/>
              <w:jc w:val="center"/>
              <w:rPr>
                <w:rFonts w:cs="Times New Roman"/>
                <w:b/>
                <w:bCs/>
                <w:sz w:val="24"/>
                <w:szCs w:val="24"/>
                <w:lang w:val="en-GB"/>
              </w:rPr>
            </w:pPr>
          </w:p>
        </w:tc>
      </w:tr>
      <w:tr w:rsidR="00816249" w:rsidTr="00667550">
        <w:trPr>
          <w:jc w:val="center"/>
        </w:trPr>
        <w:tc>
          <w:tcPr>
            <w:tcW w:w="1238" w:type="dxa"/>
          </w:tcPr>
          <w:p w:rsidR="00816249" w:rsidRDefault="00816249" w:rsidP="00F968BD">
            <w:pPr>
              <w:spacing w:before="100" w:beforeAutospacing="1"/>
              <w:jc w:val="lowKashida"/>
              <w:rPr>
                <w:rFonts w:cs="Times New Roman"/>
                <w:b/>
                <w:bCs/>
                <w:sz w:val="24"/>
                <w:szCs w:val="24"/>
                <w:rtl/>
                <w:lang w:val="en-GB"/>
              </w:rPr>
            </w:pPr>
            <w:r>
              <w:rPr>
                <w:rFonts w:cs="Times New Roman"/>
                <w:b/>
                <w:bCs/>
                <w:sz w:val="24"/>
                <w:szCs w:val="24"/>
              </w:rPr>
              <w:t xml:space="preserve">Table 1: </w:t>
            </w:r>
          </w:p>
        </w:tc>
        <w:tc>
          <w:tcPr>
            <w:tcW w:w="7179" w:type="dxa"/>
          </w:tcPr>
          <w:p w:rsidR="00816249" w:rsidRDefault="00816249"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Classification, 2011</w:t>
            </w:r>
          </w:p>
        </w:tc>
        <w:tc>
          <w:tcPr>
            <w:tcW w:w="850" w:type="dxa"/>
          </w:tcPr>
          <w:p w:rsidR="00816249" w:rsidRDefault="00667550" w:rsidP="00A7565D">
            <w:pPr>
              <w:spacing w:before="100" w:beforeAutospacing="1"/>
              <w:jc w:val="center"/>
              <w:rPr>
                <w:rFonts w:cs="Times New Roman"/>
                <w:b/>
                <w:bCs/>
                <w:sz w:val="24"/>
                <w:szCs w:val="24"/>
                <w:rtl/>
                <w:lang w:val="en-GB"/>
              </w:rPr>
            </w:pPr>
            <w:r>
              <w:rPr>
                <w:rFonts w:cs="Times New Roman"/>
                <w:b/>
                <w:bCs/>
                <w:sz w:val="24"/>
                <w:szCs w:val="24"/>
                <w:lang w:val="en-GB"/>
              </w:rPr>
              <w:t>47</w:t>
            </w:r>
          </w:p>
        </w:tc>
      </w:tr>
      <w:tr w:rsidR="00816249" w:rsidTr="00667550">
        <w:trPr>
          <w:trHeight w:hRule="exact" w:val="113"/>
          <w:jc w:val="center"/>
        </w:trPr>
        <w:tc>
          <w:tcPr>
            <w:tcW w:w="1238" w:type="dxa"/>
          </w:tcPr>
          <w:p w:rsidR="00816249" w:rsidRDefault="00816249" w:rsidP="00F968BD">
            <w:pPr>
              <w:spacing w:before="100" w:beforeAutospacing="1"/>
              <w:jc w:val="lowKashida"/>
              <w:rPr>
                <w:rFonts w:cs="Times New Roman"/>
                <w:b/>
                <w:bCs/>
                <w:sz w:val="24"/>
                <w:szCs w:val="24"/>
              </w:rPr>
            </w:pPr>
          </w:p>
        </w:tc>
        <w:tc>
          <w:tcPr>
            <w:tcW w:w="7179" w:type="dxa"/>
          </w:tcPr>
          <w:p w:rsidR="00816249" w:rsidRDefault="00816249" w:rsidP="003916F1">
            <w:pPr>
              <w:spacing w:before="100" w:beforeAutospacing="1"/>
              <w:jc w:val="lowKashida"/>
              <w:rPr>
                <w:rFonts w:cs="Times New Roman"/>
                <w:sz w:val="24"/>
                <w:szCs w:val="24"/>
              </w:rPr>
            </w:pPr>
          </w:p>
        </w:tc>
        <w:tc>
          <w:tcPr>
            <w:tcW w:w="850" w:type="dxa"/>
          </w:tcPr>
          <w:p w:rsidR="00816249" w:rsidRDefault="00816249" w:rsidP="00A7565D">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Classification,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48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3: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and Palestinian Population in the West Bank, by Governorate,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49</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4: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Year of Establishment, 1967-2011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50</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5: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Year and Region, 1986-2011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51</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6: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Period of Establishment,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52</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7: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Period of Establishment,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53</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8: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Type of Settlement,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54</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9: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Type of Settlement,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55</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10: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Urban Settlements in the West Bank, by Governorate and Population Group Size,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56</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11: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 xml:space="preserve">Number of Settlers in the Urban Settlements in the West </w:t>
            </w:r>
            <w:r>
              <w:rPr>
                <w:rFonts w:cs="Times New Roman"/>
                <w:sz w:val="24"/>
                <w:szCs w:val="24"/>
              </w:rPr>
              <w:br/>
              <w:t>Bank, by Governorate and Population Group Size,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57</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12: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Rural Settlements in the West Bank, by Type of Settlements and Population Group Size,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58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rtl/>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13: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 xml:space="preserve">Number of Settlers in the Rural Settlements in the West </w:t>
            </w:r>
            <w:r>
              <w:rPr>
                <w:rFonts w:cs="Times New Roman"/>
                <w:sz w:val="24"/>
                <w:szCs w:val="24"/>
              </w:rPr>
              <w:br/>
              <w:t>Bank, by Type of Settlements and Population Group Size, 2011</w:t>
            </w:r>
          </w:p>
        </w:tc>
        <w:tc>
          <w:tcPr>
            <w:tcW w:w="850" w:type="dxa"/>
          </w:tcPr>
          <w:p w:rsidR="00667550" w:rsidRDefault="00667550" w:rsidP="004C28E1">
            <w:pPr>
              <w:spacing w:before="100" w:beforeAutospacing="1"/>
              <w:jc w:val="center"/>
              <w:rPr>
                <w:rFonts w:cs="Times New Roman"/>
                <w:b/>
                <w:bCs/>
                <w:sz w:val="24"/>
                <w:szCs w:val="24"/>
                <w:lang w:val="en-GB"/>
              </w:rPr>
            </w:pPr>
            <w:r>
              <w:rPr>
                <w:rFonts w:cs="Times New Roman"/>
                <w:b/>
                <w:bCs/>
                <w:sz w:val="24"/>
                <w:szCs w:val="24"/>
                <w:lang w:val="en-GB"/>
              </w:rPr>
              <w:t>59</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rtl/>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14: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Regional Council, 2011</w:t>
            </w:r>
          </w:p>
        </w:tc>
        <w:tc>
          <w:tcPr>
            <w:tcW w:w="850" w:type="dxa"/>
          </w:tcPr>
          <w:p w:rsidR="00667550" w:rsidRDefault="00667550" w:rsidP="004C28E1">
            <w:pPr>
              <w:spacing w:before="100" w:beforeAutospacing="1"/>
              <w:jc w:val="center"/>
              <w:rPr>
                <w:rFonts w:cs="Times New Roman"/>
                <w:b/>
                <w:bCs/>
                <w:sz w:val="24"/>
                <w:szCs w:val="24"/>
                <w:lang w:val="en-GB"/>
              </w:rPr>
            </w:pPr>
            <w:r>
              <w:rPr>
                <w:rFonts w:cs="Times New Roman"/>
                <w:b/>
                <w:bCs/>
                <w:sz w:val="24"/>
                <w:szCs w:val="24"/>
                <w:lang w:val="en-GB"/>
              </w:rPr>
              <w:t>60</w:t>
            </w: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Pr>
            </w:pPr>
            <w:r>
              <w:rPr>
                <w:rFonts w:cs="Times New Roman"/>
                <w:b/>
                <w:bCs/>
                <w:sz w:val="24"/>
                <w:szCs w:val="24"/>
              </w:rPr>
              <w:t>Table 15:</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Regional Council, 2011</w:t>
            </w:r>
          </w:p>
        </w:tc>
        <w:tc>
          <w:tcPr>
            <w:tcW w:w="850" w:type="dxa"/>
          </w:tcPr>
          <w:p w:rsidR="00667550" w:rsidRDefault="000B5124" w:rsidP="004C28E1">
            <w:pPr>
              <w:spacing w:before="100" w:beforeAutospacing="1"/>
              <w:jc w:val="center"/>
              <w:rPr>
                <w:rFonts w:cs="Times New Roman"/>
                <w:b/>
                <w:bCs/>
                <w:sz w:val="24"/>
                <w:szCs w:val="24"/>
                <w:rtl/>
                <w:lang w:val="en-GB"/>
              </w:rPr>
            </w:pPr>
            <w:r>
              <w:rPr>
                <w:rFonts w:cs="Times New Roman"/>
                <w:b/>
                <w:bCs/>
                <w:sz w:val="24"/>
                <w:szCs w:val="24"/>
                <w:lang w:val="en-GB"/>
              </w:rPr>
              <w:t>61</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16: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Geographical Dispersion,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62</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cantSplit/>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17: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Geographical Dispersion,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63</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18: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Settlements in the West Bank, by Governorate and Average Altitude (Meter),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64</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19: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Settlements in the West Bank, by Governorate and Average Altitude (Meter),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65</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cantSplit/>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lastRenderedPageBreak/>
              <w:t xml:space="preserve">Table 20: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Rural Settlements in the West Bank, by Governorate and Overwhelming Ideology, 2011</w:t>
            </w:r>
          </w:p>
        </w:tc>
        <w:tc>
          <w:tcPr>
            <w:tcW w:w="850" w:type="dxa"/>
          </w:tcPr>
          <w:p w:rsidR="00667550" w:rsidRDefault="00667550" w:rsidP="004C28E1">
            <w:pPr>
              <w:spacing w:before="100" w:beforeAutospacing="1"/>
              <w:jc w:val="center"/>
              <w:rPr>
                <w:rFonts w:cs="Times New Roman"/>
                <w:b/>
                <w:bCs/>
                <w:sz w:val="24"/>
                <w:rtl/>
                <w:lang w:val="en-GB"/>
              </w:rPr>
            </w:pPr>
            <w:r>
              <w:rPr>
                <w:rFonts w:cs="Times New Roman"/>
                <w:b/>
                <w:bCs/>
                <w:sz w:val="24"/>
                <w:lang w:val="en-GB"/>
              </w:rPr>
              <w:t>66</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21: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Rural Settlements in the West Bank, by Governorate and Overwhelming Ideology, 2011</w:t>
            </w:r>
          </w:p>
        </w:tc>
        <w:tc>
          <w:tcPr>
            <w:tcW w:w="850" w:type="dxa"/>
          </w:tcPr>
          <w:p w:rsidR="00667550" w:rsidRDefault="00667550" w:rsidP="004C28E1">
            <w:pPr>
              <w:spacing w:before="100" w:beforeAutospacing="1"/>
              <w:jc w:val="center"/>
              <w:rPr>
                <w:rFonts w:cs="Times New Roman"/>
                <w:b/>
                <w:bCs/>
                <w:sz w:val="24"/>
                <w:szCs w:val="24"/>
                <w:rtl/>
                <w:lang w:val="en-GB"/>
              </w:rPr>
            </w:pPr>
            <w:r>
              <w:rPr>
                <w:rFonts w:cs="Times New Roman"/>
                <w:b/>
                <w:bCs/>
                <w:sz w:val="24"/>
                <w:szCs w:val="24"/>
                <w:lang w:val="en-GB"/>
              </w:rPr>
              <w:t>67</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22: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Rural Settlements in the West Bank, by Governorate and Organizational Affiliation, 2011</w:t>
            </w:r>
          </w:p>
        </w:tc>
        <w:tc>
          <w:tcPr>
            <w:tcW w:w="850" w:type="dxa"/>
          </w:tcPr>
          <w:p w:rsidR="00667550" w:rsidRDefault="00667550" w:rsidP="004C28E1">
            <w:pPr>
              <w:spacing w:before="100" w:beforeAutospacing="1"/>
              <w:jc w:val="center"/>
              <w:rPr>
                <w:rFonts w:cs="Times New Roman"/>
                <w:b/>
                <w:bCs/>
                <w:sz w:val="24"/>
                <w:rtl/>
                <w:lang w:val="en-GB"/>
              </w:rPr>
            </w:pPr>
            <w:r>
              <w:rPr>
                <w:rFonts w:cs="Times New Roman"/>
                <w:b/>
                <w:bCs/>
                <w:sz w:val="24"/>
                <w:lang w:val="en-GB"/>
              </w:rPr>
              <w:t>68</w:t>
            </w:r>
          </w:p>
        </w:tc>
      </w:tr>
      <w:tr w:rsidR="00667550" w:rsidTr="00667550">
        <w:trPr>
          <w:trHeight w:hRule="exact" w:val="113"/>
          <w:jc w:val="center"/>
        </w:trPr>
        <w:tc>
          <w:tcPr>
            <w:tcW w:w="1238" w:type="dxa"/>
          </w:tcPr>
          <w:p w:rsidR="00667550" w:rsidRDefault="00667550" w:rsidP="00F968BD">
            <w:pPr>
              <w:spacing w:before="100" w:beforeAutospacing="1"/>
              <w:jc w:val="lowKashida"/>
              <w:rPr>
                <w:rFonts w:cs="Times New Roman"/>
                <w:b/>
                <w:bCs/>
                <w:sz w:val="24"/>
                <w:szCs w:val="24"/>
              </w:rPr>
            </w:pPr>
          </w:p>
        </w:tc>
        <w:tc>
          <w:tcPr>
            <w:tcW w:w="7179" w:type="dxa"/>
          </w:tcPr>
          <w:p w:rsidR="00667550" w:rsidRDefault="00667550" w:rsidP="003916F1">
            <w:pPr>
              <w:spacing w:before="100" w:beforeAutospacing="1"/>
              <w:jc w:val="lowKashida"/>
              <w:rPr>
                <w:rFonts w:cs="Times New Roman"/>
                <w:sz w:val="24"/>
                <w:szCs w:val="24"/>
              </w:rPr>
            </w:pPr>
          </w:p>
        </w:tc>
        <w:tc>
          <w:tcPr>
            <w:tcW w:w="850" w:type="dxa"/>
          </w:tcPr>
          <w:p w:rsidR="00667550" w:rsidRDefault="00667550" w:rsidP="004C28E1">
            <w:pPr>
              <w:spacing w:before="100" w:beforeAutospacing="1"/>
              <w:jc w:val="center"/>
              <w:rPr>
                <w:rFonts w:cs="Times New Roman"/>
                <w:b/>
                <w:bCs/>
                <w:sz w:val="24"/>
                <w:szCs w:val="24"/>
                <w:lang w:val="en-GB"/>
              </w:rPr>
            </w:pPr>
          </w:p>
        </w:tc>
      </w:tr>
      <w:tr w:rsidR="00667550" w:rsidTr="00667550">
        <w:trPr>
          <w:jc w:val="center"/>
        </w:trPr>
        <w:tc>
          <w:tcPr>
            <w:tcW w:w="1238" w:type="dxa"/>
          </w:tcPr>
          <w:p w:rsidR="00667550" w:rsidRDefault="00667550" w:rsidP="00F968BD">
            <w:pPr>
              <w:spacing w:before="100" w:beforeAutospacing="1"/>
              <w:jc w:val="lowKashida"/>
              <w:rPr>
                <w:rFonts w:cs="Times New Roman"/>
                <w:b/>
                <w:bCs/>
                <w:sz w:val="24"/>
                <w:szCs w:val="24"/>
                <w:rtl/>
                <w:lang w:val="en-GB"/>
              </w:rPr>
            </w:pPr>
            <w:r>
              <w:rPr>
                <w:rFonts w:cs="Times New Roman"/>
                <w:b/>
                <w:bCs/>
                <w:sz w:val="24"/>
                <w:szCs w:val="24"/>
              </w:rPr>
              <w:t xml:space="preserve">Table 23: </w:t>
            </w:r>
          </w:p>
        </w:tc>
        <w:tc>
          <w:tcPr>
            <w:tcW w:w="7179" w:type="dxa"/>
          </w:tcPr>
          <w:p w:rsidR="00667550" w:rsidRDefault="00667550" w:rsidP="00816249">
            <w:pPr>
              <w:spacing w:before="100" w:beforeAutospacing="1"/>
              <w:jc w:val="lowKashida"/>
              <w:rPr>
                <w:rFonts w:cs="Times New Roman"/>
                <w:sz w:val="24"/>
                <w:szCs w:val="24"/>
                <w:rtl/>
                <w:lang w:val="en-GB"/>
              </w:rPr>
            </w:pPr>
            <w:r>
              <w:rPr>
                <w:rFonts w:cs="Times New Roman"/>
                <w:sz w:val="24"/>
                <w:szCs w:val="24"/>
              </w:rPr>
              <w:t>Number of Settlers in the Rural Settlements in the West Bank, by Governorate and Organizational Affiliation, 2011</w:t>
            </w:r>
          </w:p>
        </w:tc>
        <w:tc>
          <w:tcPr>
            <w:tcW w:w="850" w:type="dxa"/>
          </w:tcPr>
          <w:p w:rsidR="00667550" w:rsidRDefault="00667550" w:rsidP="004C28E1">
            <w:pPr>
              <w:spacing w:before="100" w:beforeAutospacing="1"/>
              <w:jc w:val="center"/>
              <w:rPr>
                <w:rFonts w:cs="Times New Roman"/>
                <w:b/>
                <w:bCs/>
                <w:sz w:val="24"/>
                <w:szCs w:val="24"/>
                <w:rtl/>
              </w:rPr>
            </w:pPr>
            <w:r>
              <w:rPr>
                <w:rFonts w:cs="Times New Roman"/>
                <w:b/>
                <w:bCs/>
                <w:sz w:val="24"/>
                <w:szCs w:val="24"/>
              </w:rPr>
              <w:t>69</w:t>
            </w:r>
          </w:p>
        </w:tc>
      </w:tr>
    </w:tbl>
    <w:p w:rsidR="001A3F81" w:rsidRDefault="001A3F81" w:rsidP="001A3F81">
      <w:pPr>
        <w:rPr>
          <w:sz w:val="24"/>
          <w:szCs w:val="24"/>
        </w:rPr>
      </w:pPr>
    </w:p>
    <w:p w:rsidR="003916F1" w:rsidRDefault="001A3F81" w:rsidP="00B55CD7">
      <w:pPr>
        <w:pStyle w:val="BodyText"/>
        <w:jc w:val="center"/>
        <w:rPr>
          <w:b/>
          <w:bCs/>
          <w:sz w:val="28"/>
          <w:szCs w:val="32"/>
        </w:rPr>
      </w:pPr>
      <w:r>
        <w:rPr>
          <w:b/>
          <w:bCs/>
        </w:rPr>
        <w:br w:type="page"/>
      </w:r>
      <w:r w:rsidR="00B55CD7">
        <w:rPr>
          <w:b/>
          <w:bCs/>
          <w:sz w:val="28"/>
          <w:szCs w:val="32"/>
        </w:rPr>
        <w:lastRenderedPageBreak/>
        <w:t>Introduction</w:t>
      </w:r>
    </w:p>
    <w:p w:rsidR="003916F1" w:rsidRDefault="003916F1">
      <w:pPr>
        <w:pStyle w:val="BodyText"/>
        <w:jc w:val="center"/>
        <w:rPr>
          <w:sz w:val="28"/>
          <w:szCs w:val="24"/>
        </w:rPr>
      </w:pPr>
    </w:p>
    <w:p w:rsidR="003916F1" w:rsidRDefault="003916F1" w:rsidP="000B5124">
      <w:pPr>
        <w:pStyle w:val="BodyText2"/>
      </w:pPr>
      <w:r>
        <w:t>Israeli settlement activities in the Palestinian Territory constitute the most serious dange</w:t>
      </w:r>
      <w:r w:rsidR="00DD4D55">
        <w:t>r of the Israeli occupation and</w:t>
      </w:r>
      <w:r>
        <w:t xml:space="preserve"> hampers the establishment of a viable national Palestinian state in the West Bank and the Gaza Strip. </w:t>
      </w:r>
      <w:r w:rsidR="00DD4D55">
        <w:t>With supported from</w:t>
      </w:r>
      <w:r>
        <w:t xml:space="preserve"> the Israeli government, </w:t>
      </w:r>
      <w:r w:rsidR="00DD4D55">
        <w:t>many</w:t>
      </w:r>
      <w:r>
        <w:t xml:space="preserve"> Israeli organizations and institutions are working on the implementation of an organized program that aims to expand the settlements in the Palestinian Territory. Indeed, the settlements network and the accompa</w:t>
      </w:r>
      <w:r w:rsidR="00DD4D55">
        <w:t>nying</w:t>
      </w:r>
      <w:r>
        <w:t xml:space="preserve"> changes in demographical and topographical aspects are the main obstacle to establish a Palestinian state with geographical continuity.</w:t>
      </w:r>
    </w:p>
    <w:p w:rsidR="003916F1" w:rsidRDefault="003916F1">
      <w:pPr>
        <w:pStyle w:val="BodyText2"/>
      </w:pPr>
    </w:p>
    <w:p w:rsidR="00DD4D55" w:rsidRDefault="00DD4D55" w:rsidP="00DD4D55">
      <w:pPr>
        <w:pStyle w:val="BodyText2"/>
      </w:pPr>
      <w:r>
        <w:t xml:space="preserve">The Israeli settlement movement not only affects the political stability and security in the Palestinian Territory.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t>cantonizing</w:t>
      </w:r>
      <w:proofErr w:type="spellEnd"/>
      <w:r>
        <w:t xml:space="preserve"> Palestinian communities and territory. Moreover, Israeli settlements are used as military bases to launch aggression, incursions and hostilities against the Palestinian people. The effects of building and expanding Israeli settlements on Palestinian land have been devastating to Palestinian communities  and daily assaults by Israeli settlers are observed by Israeli soldiers without taking any action to halt such activities.</w:t>
      </w:r>
    </w:p>
    <w:p w:rsidR="003916F1" w:rsidRDefault="003916F1">
      <w:pPr>
        <w:pStyle w:val="BodyText2"/>
      </w:pPr>
    </w:p>
    <w:p w:rsidR="00953976" w:rsidRDefault="00953976" w:rsidP="00953976">
      <w:pPr>
        <w:pStyle w:val="BodyText2"/>
      </w:pPr>
      <w:r>
        <w:t xml:space="preserve">We continue to publish annual reports in this series to present the main developments in Israeli settlement activities in the Palestinian Territory. We have focused on presenting quantitative descriptions of a number of main indicators related to settlements and settlers.  </w:t>
      </w:r>
    </w:p>
    <w:p w:rsidR="00953976" w:rsidRDefault="00953976">
      <w:pPr>
        <w:pStyle w:val="BodyText2"/>
      </w:pPr>
    </w:p>
    <w:p w:rsidR="00953976" w:rsidRDefault="00953976" w:rsidP="00953976">
      <w:pPr>
        <w:pStyle w:val="BodyText2"/>
      </w:pPr>
      <w:r>
        <w:t>This report contains statistical data</w:t>
      </w:r>
      <w:r w:rsidR="00AA516D">
        <w:t xml:space="preserve"> for the year</w:t>
      </w:r>
      <w:r>
        <w:t xml:space="preserve"> </w:t>
      </w:r>
      <w:r w:rsidR="00AA516D">
        <w:t xml:space="preserve">2011, </w:t>
      </w:r>
      <w:r>
        <w:t>about the population and geographical indicators of Israeli settlements in the West Bank: the number of settlers, the level and nature of settlement, the geographical spread, prevalent ideology, and other related subjects.</w:t>
      </w:r>
    </w:p>
    <w:p w:rsidR="00953976" w:rsidRDefault="00953976" w:rsidP="00953976">
      <w:pPr>
        <w:pStyle w:val="BodyText2"/>
      </w:pPr>
    </w:p>
    <w:p w:rsidR="00743E10" w:rsidRDefault="00743E10" w:rsidP="00953976">
      <w:pPr>
        <w:jc w:val="lowKashida"/>
        <w:rPr>
          <w:sz w:val="24"/>
          <w:szCs w:val="24"/>
        </w:rPr>
      </w:pPr>
      <w:r>
        <w:rPr>
          <w:sz w:val="24"/>
          <w:szCs w:val="24"/>
        </w:rPr>
        <w:t xml:space="preserve">This report is divided into three chapters:  The first chapter contains the main findings.  The second chapter explains the methodology of the collection and tabulation of data, and data quality and </w:t>
      </w:r>
      <w:r w:rsidR="00953976">
        <w:rPr>
          <w:sz w:val="24"/>
          <w:szCs w:val="24"/>
        </w:rPr>
        <w:t xml:space="preserve">the </w:t>
      </w:r>
      <w:r>
        <w:rPr>
          <w:sz w:val="24"/>
          <w:szCs w:val="24"/>
        </w:rPr>
        <w:t xml:space="preserve">assessment of data sources.  </w:t>
      </w:r>
      <w:r w:rsidR="00953976">
        <w:rPr>
          <w:sz w:val="24"/>
          <w:szCs w:val="24"/>
        </w:rPr>
        <w:t>Finally,</w:t>
      </w:r>
      <w:r>
        <w:rPr>
          <w:sz w:val="24"/>
          <w:szCs w:val="24"/>
        </w:rPr>
        <w:t xml:space="preserve"> the third chapter presents the</w:t>
      </w:r>
      <w:r w:rsidRPr="00743E10">
        <w:rPr>
          <w:sz w:val="24"/>
          <w:szCs w:val="24"/>
        </w:rPr>
        <w:t xml:space="preserve"> </w:t>
      </w:r>
      <w:r>
        <w:rPr>
          <w:sz w:val="24"/>
          <w:szCs w:val="24"/>
        </w:rPr>
        <w:t>concepts and definitions in this report</w:t>
      </w:r>
    </w:p>
    <w:p w:rsidR="00743E10" w:rsidRDefault="00743E10" w:rsidP="00743E10">
      <w:pPr>
        <w:rPr>
          <w:sz w:val="24"/>
          <w:szCs w:val="24"/>
        </w:rPr>
      </w:pPr>
    </w:p>
    <w:p w:rsidR="003916F1" w:rsidRDefault="003916F1">
      <w:pPr>
        <w:rPr>
          <w:sz w:val="24"/>
          <w:szCs w:val="24"/>
        </w:rPr>
      </w:pPr>
    </w:p>
    <w:p w:rsidR="003916F1" w:rsidRDefault="003916F1">
      <w:pPr>
        <w:rPr>
          <w:sz w:val="24"/>
          <w:szCs w:val="24"/>
        </w:rPr>
      </w:pPr>
    </w:p>
    <w:tbl>
      <w:tblPr>
        <w:tblW w:w="9356" w:type="dxa"/>
        <w:tblInd w:w="-34" w:type="dxa"/>
        <w:tblLayout w:type="fixed"/>
        <w:tblLook w:val="0000"/>
      </w:tblPr>
      <w:tblGrid>
        <w:gridCol w:w="3129"/>
        <w:gridCol w:w="2683"/>
        <w:gridCol w:w="3544"/>
      </w:tblGrid>
      <w:tr w:rsidR="003916F1">
        <w:trPr>
          <w:cantSplit/>
        </w:trPr>
        <w:tc>
          <w:tcPr>
            <w:tcW w:w="3129" w:type="dxa"/>
          </w:tcPr>
          <w:p w:rsidR="003916F1" w:rsidRDefault="001A3F81" w:rsidP="004E1989">
            <w:pPr>
              <w:jc w:val="lowKashida"/>
              <w:rPr>
                <w:b/>
                <w:bCs/>
                <w:sz w:val="24"/>
              </w:rPr>
            </w:pPr>
            <w:r>
              <w:rPr>
                <w:b/>
                <w:bCs/>
                <w:sz w:val="24"/>
              </w:rPr>
              <w:t xml:space="preserve">August, </w:t>
            </w:r>
            <w:r w:rsidR="004E1989">
              <w:rPr>
                <w:b/>
                <w:bCs/>
                <w:sz w:val="24"/>
              </w:rPr>
              <w:t>2012</w:t>
            </w:r>
          </w:p>
        </w:tc>
        <w:tc>
          <w:tcPr>
            <w:tcW w:w="2683" w:type="dxa"/>
          </w:tcPr>
          <w:p w:rsidR="003916F1" w:rsidRDefault="003916F1">
            <w:pPr>
              <w:jc w:val="lowKashida"/>
              <w:rPr>
                <w:b/>
                <w:bCs/>
                <w:sz w:val="24"/>
              </w:rPr>
            </w:pPr>
          </w:p>
        </w:tc>
        <w:tc>
          <w:tcPr>
            <w:tcW w:w="3544" w:type="dxa"/>
          </w:tcPr>
          <w:p w:rsidR="003916F1" w:rsidRDefault="003916F1">
            <w:pPr>
              <w:ind w:left="284" w:right="282"/>
              <w:jc w:val="center"/>
              <w:rPr>
                <w:b/>
                <w:bCs/>
                <w:sz w:val="24"/>
                <w:szCs w:val="24"/>
              </w:rPr>
            </w:pPr>
            <w:r>
              <w:rPr>
                <w:b/>
                <w:bCs/>
                <w:sz w:val="24"/>
                <w:szCs w:val="24"/>
              </w:rPr>
              <w:t>Ola Awad</w:t>
            </w:r>
          </w:p>
        </w:tc>
      </w:tr>
      <w:tr w:rsidR="003916F1">
        <w:trPr>
          <w:cantSplit/>
        </w:trPr>
        <w:tc>
          <w:tcPr>
            <w:tcW w:w="3129" w:type="dxa"/>
          </w:tcPr>
          <w:p w:rsidR="003916F1" w:rsidRDefault="003916F1">
            <w:pPr>
              <w:jc w:val="lowKashida"/>
              <w:rPr>
                <w:b/>
                <w:bCs/>
              </w:rPr>
            </w:pPr>
          </w:p>
        </w:tc>
        <w:tc>
          <w:tcPr>
            <w:tcW w:w="2683" w:type="dxa"/>
          </w:tcPr>
          <w:p w:rsidR="003916F1" w:rsidRDefault="003916F1">
            <w:pPr>
              <w:jc w:val="lowKashida"/>
              <w:rPr>
                <w:b/>
                <w:bCs/>
              </w:rPr>
            </w:pPr>
          </w:p>
        </w:tc>
        <w:tc>
          <w:tcPr>
            <w:tcW w:w="3544" w:type="dxa"/>
          </w:tcPr>
          <w:p w:rsidR="003916F1" w:rsidRDefault="003916F1">
            <w:pPr>
              <w:ind w:left="284" w:right="282"/>
              <w:jc w:val="center"/>
              <w:rPr>
                <w:b/>
                <w:bCs/>
                <w:sz w:val="24"/>
                <w:szCs w:val="24"/>
              </w:rPr>
            </w:pPr>
            <w:r>
              <w:rPr>
                <w:b/>
                <w:bCs/>
                <w:sz w:val="24"/>
                <w:szCs w:val="24"/>
              </w:rPr>
              <w:t xml:space="preserve"> President of PCBS</w:t>
            </w:r>
          </w:p>
        </w:tc>
      </w:tr>
    </w:tbl>
    <w:p w:rsidR="001A3F81" w:rsidRPr="001A3F81" w:rsidRDefault="001A3F81" w:rsidP="001A3F81"/>
    <w:p w:rsidR="001A3F81" w:rsidRPr="001A3F81" w:rsidRDefault="001A3F81" w:rsidP="001A3F81"/>
    <w:p w:rsidR="001A3F81" w:rsidRPr="001A3F81" w:rsidRDefault="001A3F81" w:rsidP="001A3F81"/>
    <w:p w:rsidR="001A3F81" w:rsidRDefault="001A3F81" w:rsidP="001A3F81"/>
    <w:p w:rsidR="001A3F81" w:rsidRPr="001A3F81" w:rsidRDefault="001A3F81" w:rsidP="001A3F81"/>
    <w:p w:rsidR="001A3F81" w:rsidRDefault="001A3F81" w:rsidP="001A3F81"/>
    <w:p w:rsidR="003916F1" w:rsidRDefault="001A3F81" w:rsidP="001A3F81">
      <w:pPr>
        <w:tabs>
          <w:tab w:val="left" w:pos="5793"/>
        </w:tabs>
      </w:pPr>
      <w:r>
        <w:tab/>
      </w:r>
    </w:p>
    <w:p w:rsidR="000E3ED8" w:rsidRDefault="005E1E3C" w:rsidP="005E1E3C">
      <w:pPr>
        <w:pStyle w:val="TxBrp3"/>
        <w:tabs>
          <w:tab w:val="clear" w:pos="1116"/>
          <w:tab w:val="left" w:pos="2155"/>
          <w:tab w:val="left" w:pos="9242"/>
        </w:tabs>
        <w:spacing w:line="283" w:lineRule="exact"/>
        <w:ind w:left="0"/>
        <w:jc w:val="center"/>
        <w:rPr>
          <w:sz w:val="24"/>
        </w:rPr>
        <w:sectPr w:rsidR="000E3ED8" w:rsidSect="00392CA9">
          <w:headerReference w:type="default" r:id="rId11"/>
          <w:pgSz w:w="11909" w:h="16834" w:code="9"/>
          <w:pgMar w:top="1418" w:right="1418" w:bottom="1418" w:left="1418" w:header="720" w:footer="720" w:gutter="0"/>
          <w:pgNumType w:start="25"/>
          <w:cols w:space="720"/>
          <w:bidi/>
          <w:rtlGutter/>
        </w:sectPr>
      </w:pPr>
      <w:r>
        <w:rPr>
          <w:sz w:val="24"/>
        </w:rPr>
        <w:br w:type="page"/>
      </w:r>
    </w:p>
    <w:p w:rsidR="005E1E3C" w:rsidRDefault="005E1E3C" w:rsidP="005E1E3C">
      <w:pPr>
        <w:pStyle w:val="TxBrp3"/>
        <w:tabs>
          <w:tab w:val="clear" w:pos="1116"/>
          <w:tab w:val="left" w:pos="2155"/>
          <w:tab w:val="left" w:pos="9242"/>
        </w:tabs>
        <w:spacing w:line="283" w:lineRule="exact"/>
        <w:ind w:left="0"/>
        <w:jc w:val="center"/>
        <w:rPr>
          <w:sz w:val="24"/>
        </w:rPr>
      </w:pPr>
      <w:r>
        <w:rPr>
          <w:sz w:val="24"/>
        </w:rPr>
        <w:lastRenderedPageBreak/>
        <w:t>Chapter One</w:t>
      </w:r>
    </w:p>
    <w:p w:rsidR="005E1E3C" w:rsidRDefault="005E1E3C" w:rsidP="005E1E3C">
      <w:pPr>
        <w:pStyle w:val="Title"/>
        <w:rPr>
          <w:b w:val="0"/>
          <w:bCs w:val="0"/>
          <w:sz w:val="20"/>
          <w:lang w:val="en-GB"/>
        </w:rPr>
      </w:pPr>
    </w:p>
    <w:p w:rsidR="005E1E3C" w:rsidRDefault="005E1E3C" w:rsidP="005E1E3C">
      <w:pPr>
        <w:pStyle w:val="Title"/>
        <w:rPr>
          <w:b w:val="0"/>
          <w:bCs w:val="0"/>
          <w:sz w:val="22"/>
          <w:szCs w:val="24"/>
          <w:rtl/>
          <w:lang w:val="en-GB"/>
        </w:rPr>
      </w:pPr>
      <w:r>
        <w:rPr>
          <w:szCs w:val="24"/>
        </w:rPr>
        <w:t>Main Findings</w:t>
      </w:r>
    </w:p>
    <w:p w:rsidR="005E1E3C" w:rsidRDefault="005E1E3C" w:rsidP="005E1E3C">
      <w:pPr>
        <w:rPr>
          <w:sz w:val="24"/>
          <w:szCs w:val="24"/>
        </w:rPr>
      </w:pPr>
    </w:p>
    <w:p w:rsidR="005E1E3C" w:rsidRDefault="005E1E3C" w:rsidP="005E1E3C">
      <w:pPr>
        <w:jc w:val="lowKashida"/>
        <w:rPr>
          <w:b/>
          <w:bCs/>
          <w:sz w:val="24"/>
          <w:szCs w:val="24"/>
        </w:rPr>
      </w:pPr>
      <w:r>
        <w:rPr>
          <w:b/>
          <w:bCs/>
          <w:sz w:val="24"/>
          <w:szCs w:val="24"/>
        </w:rPr>
        <w:t xml:space="preserve">1.1 Settlements </w:t>
      </w:r>
    </w:p>
    <w:p w:rsidR="00953976" w:rsidRDefault="00953976" w:rsidP="004E1989">
      <w:pPr>
        <w:tabs>
          <w:tab w:val="right" w:pos="3119"/>
        </w:tabs>
        <w:jc w:val="lowKashida"/>
        <w:rPr>
          <w:sz w:val="24"/>
          <w:szCs w:val="24"/>
        </w:rPr>
      </w:pPr>
      <w:r>
        <w:rPr>
          <w:sz w:val="24"/>
          <w:szCs w:val="24"/>
        </w:rPr>
        <w:t xml:space="preserve">According to </w:t>
      </w:r>
      <w:r w:rsidR="004E1989">
        <w:rPr>
          <w:sz w:val="24"/>
          <w:szCs w:val="24"/>
        </w:rPr>
        <w:t>2011</w:t>
      </w:r>
      <w:r>
        <w:rPr>
          <w:sz w:val="24"/>
          <w:szCs w:val="24"/>
        </w:rPr>
        <w:t xml:space="preserve"> data, there were a total of 144 settlements in the West Bank, the majority of them in Jerusalem governorate: 26 settlements of which 16 have been annexed by Israel. </w:t>
      </w:r>
    </w:p>
    <w:p w:rsidR="00953976" w:rsidRDefault="00953976" w:rsidP="00953976">
      <w:pPr>
        <w:ind w:left="142"/>
        <w:jc w:val="center"/>
        <w:rPr>
          <w:rFonts w:ascii="Arial" w:hAnsi="Arial" w:cs="Arial"/>
          <w:b/>
          <w:bCs/>
          <w:sz w:val="22"/>
          <w:szCs w:val="22"/>
        </w:rPr>
      </w:pPr>
    </w:p>
    <w:p w:rsidR="005E1E3C" w:rsidRDefault="005E1E3C" w:rsidP="005E1E3C">
      <w:pPr>
        <w:ind w:left="142"/>
        <w:jc w:val="center"/>
        <w:rPr>
          <w:rFonts w:ascii="Arial" w:hAnsi="Arial" w:cs="Arial"/>
          <w:b/>
          <w:bCs/>
          <w:sz w:val="22"/>
          <w:szCs w:val="22"/>
        </w:rPr>
      </w:pPr>
    </w:p>
    <w:p w:rsidR="005E1E3C" w:rsidRDefault="005E1E3C" w:rsidP="004E1989">
      <w:pPr>
        <w:jc w:val="center"/>
        <w:rPr>
          <w:rFonts w:ascii="Arial" w:hAnsi="Arial" w:cs="Arial"/>
          <w:b/>
          <w:bCs/>
          <w:sz w:val="22"/>
          <w:szCs w:val="22"/>
        </w:rPr>
      </w:pPr>
      <w:r>
        <w:rPr>
          <w:rFonts w:ascii="Arial" w:hAnsi="Arial" w:cs="Arial"/>
          <w:b/>
          <w:bCs/>
          <w:sz w:val="22"/>
          <w:szCs w:val="22"/>
        </w:rPr>
        <w:t xml:space="preserve">Number of Settlements in the West Bank, by Governorate, </w:t>
      </w:r>
      <w:r w:rsidR="004E1989">
        <w:rPr>
          <w:rFonts w:cs="Times New Roman"/>
          <w:b/>
          <w:bCs/>
          <w:sz w:val="24"/>
          <w:szCs w:val="24"/>
        </w:rPr>
        <w:t>2011</w:t>
      </w:r>
    </w:p>
    <w:p w:rsidR="005E1E3C" w:rsidRDefault="00B02478" w:rsidP="002C3FB7">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sidRPr="00B02478">
        <w:rPr>
          <w:rFonts w:ascii="Arial" w:hAnsi="Arial" w:cs="Arial"/>
          <w:b/>
          <w:bCs/>
          <w:noProof/>
          <w:szCs w:val="22"/>
          <w:lang w:val="ar-SA" w:eastAsia="ar-SA"/>
        </w:rPr>
        <w:pict>
          <v:shape id="_x0000_s1027" type="#_x0000_t202" style="position:absolute;left:0;text-align:left;margin-left:7.7pt;margin-top:34.75pt;width:27pt;height:1in;z-index:251656704" filled="f" stroked="f">
            <v:textbox style="layout-flow:vertical;mso-layout-flow-alt:bottom-to-top;mso-next-textbox:#_x0000_s1027">
              <w:txbxContent>
                <w:p w:rsidR="00F968BD" w:rsidRDefault="00F968BD" w:rsidP="005E1E3C">
                  <w:pPr>
                    <w:rPr>
                      <w:rFonts w:ascii="Arial" w:hAnsi="Arial" w:cs="Arial"/>
                      <w:b/>
                      <w:bCs/>
                      <w:sz w:val="18"/>
                      <w:szCs w:val="18"/>
                    </w:rPr>
                  </w:pPr>
                  <w:r>
                    <w:rPr>
                      <w:rFonts w:ascii="Arial" w:hAnsi="Arial" w:cs="Arial"/>
                      <w:b/>
                      <w:bCs/>
                      <w:sz w:val="18"/>
                      <w:szCs w:val="18"/>
                    </w:rPr>
                    <w:t>Governorate</w:t>
                  </w:r>
                </w:p>
              </w:txbxContent>
            </v:textbox>
            <w10:wrap anchorx="page"/>
          </v:shape>
        </w:pict>
      </w:r>
      <w:r w:rsidR="00CB29F6">
        <w:rPr>
          <w:rFonts w:ascii="Arial" w:hAnsi="Arial" w:cs="Arial"/>
          <w:b/>
          <w:bCs/>
          <w:noProof/>
          <w:sz w:val="22"/>
          <w:szCs w:val="22"/>
        </w:rPr>
        <w:drawing>
          <wp:inline distT="0" distB="0" distL="0" distR="0">
            <wp:extent cx="5285799" cy="2509284"/>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E1E3C" w:rsidRPr="00D30BD4" w:rsidRDefault="005E1E3C" w:rsidP="005E1E3C">
      <w:pPr>
        <w:ind w:left="142"/>
        <w:jc w:val="center"/>
        <w:rPr>
          <w:rFonts w:ascii="Arial" w:hAnsi="Arial" w:cs="Arial"/>
          <w:b/>
          <w:bCs/>
          <w:sz w:val="24"/>
          <w:szCs w:val="24"/>
        </w:rPr>
      </w:pPr>
    </w:p>
    <w:p w:rsidR="005E1E3C" w:rsidRDefault="005E1E3C" w:rsidP="005E1E3C">
      <w:pPr>
        <w:jc w:val="lowKashida"/>
        <w:rPr>
          <w:b/>
          <w:bCs/>
          <w:sz w:val="24"/>
          <w:szCs w:val="24"/>
        </w:rPr>
      </w:pPr>
      <w:r>
        <w:rPr>
          <w:b/>
          <w:bCs/>
          <w:sz w:val="24"/>
          <w:szCs w:val="24"/>
        </w:rPr>
        <w:t>1.2 The Settlers Population</w:t>
      </w:r>
    </w:p>
    <w:p w:rsidR="00953976" w:rsidRDefault="00953976" w:rsidP="00AA516D">
      <w:pPr>
        <w:pStyle w:val="BodyText"/>
      </w:pPr>
      <w:r>
        <w:t xml:space="preserve">Data indicate that the number of settlers in the West Bank in </w:t>
      </w:r>
      <w:r w:rsidR="004E1989">
        <w:rPr>
          <w:rFonts w:cs="Times New Roman"/>
          <w:szCs w:val="24"/>
        </w:rPr>
        <w:t>2011</w:t>
      </w:r>
      <w:r>
        <w:rPr>
          <w:rFonts w:cs="Times New Roman"/>
          <w:szCs w:val="24"/>
        </w:rPr>
        <w:t xml:space="preserve"> was</w:t>
      </w:r>
      <w:r>
        <w:t xml:space="preserve"> </w:t>
      </w:r>
      <w:r w:rsidR="004E1989">
        <w:t>536</w:t>
      </w:r>
      <w:r>
        <w:t>,</w:t>
      </w:r>
      <w:r w:rsidR="004E1989">
        <w:t>932</w:t>
      </w:r>
      <w:r>
        <w:t>, most of them living in Jerusalem governorate (</w:t>
      </w:r>
      <w:r w:rsidR="00161F27">
        <w:t>267</w:t>
      </w:r>
      <w:r>
        <w:t>,</w:t>
      </w:r>
      <w:r w:rsidR="00161F27">
        <w:t>643</w:t>
      </w:r>
      <w:r>
        <w:t xml:space="preserve"> settlers), including </w:t>
      </w:r>
      <w:r w:rsidR="00161F27">
        <w:t>199</w:t>
      </w:r>
      <w:r>
        <w:t>,</w:t>
      </w:r>
      <w:r w:rsidR="00161F27">
        <w:t>64</w:t>
      </w:r>
      <w:r w:rsidR="00AA516D">
        <w:t xml:space="preserve">7 </w:t>
      </w:r>
      <w:r>
        <w:t>in Jerusalem Governorate (J1).</w:t>
      </w:r>
    </w:p>
    <w:p w:rsidR="00DC48A1" w:rsidRPr="00A078D4" w:rsidRDefault="00DC48A1" w:rsidP="005E1E3C">
      <w:pPr>
        <w:jc w:val="center"/>
        <w:rPr>
          <w:rFonts w:ascii="Arial" w:hAnsi="Arial" w:cs="Arial"/>
          <w:b/>
          <w:bCs/>
          <w:sz w:val="24"/>
          <w:szCs w:val="24"/>
        </w:rPr>
      </w:pPr>
    </w:p>
    <w:p w:rsidR="005E1E3C" w:rsidRDefault="005E1E3C" w:rsidP="00161F27">
      <w:pPr>
        <w:jc w:val="center"/>
        <w:rPr>
          <w:rFonts w:ascii="Arial" w:hAnsi="Arial" w:cs="Arial"/>
          <w:b/>
          <w:bCs/>
          <w:sz w:val="22"/>
          <w:szCs w:val="22"/>
          <w:rtl/>
          <w:lang w:val="en-GB"/>
        </w:rPr>
      </w:pPr>
      <w:r>
        <w:rPr>
          <w:rFonts w:ascii="Arial" w:hAnsi="Arial" w:cs="Arial"/>
          <w:b/>
          <w:bCs/>
          <w:sz w:val="22"/>
          <w:szCs w:val="22"/>
        </w:rPr>
        <w:t xml:space="preserve">Number of Settlers in the Settlements in the West Bank, by Governorate, </w:t>
      </w:r>
      <w:r w:rsidR="00161F27">
        <w:rPr>
          <w:rFonts w:cs="Times New Roman"/>
          <w:b/>
          <w:bCs/>
          <w:sz w:val="24"/>
          <w:szCs w:val="24"/>
        </w:rPr>
        <w:t>2011</w:t>
      </w:r>
    </w:p>
    <w:p w:rsidR="005E1E3C" w:rsidRDefault="00B02478" w:rsidP="002C3FB7">
      <w:pPr>
        <w:pStyle w:val="BodyText"/>
        <w:pBdr>
          <w:top w:val="single" w:sz="4" w:space="1" w:color="auto"/>
          <w:left w:val="single" w:sz="4" w:space="4" w:color="auto"/>
          <w:bottom w:val="single" w:sz="4" w:space="1" w:color="auto"/>
          <w:right w:val="single" w:sz="4" w:space="4" w:color="auto"/>
        </w:pBdr>
      </w:pPr>
      <w:r w:rsidRPr="00B02478">
        <w:rPr>
          <w:noProof/>
          <w:sz w:val="22"/>
          <w:szCs w:val="22"/>
          <w:lang w:val="ar-SA"/>
        </w:rPr>
        <w:pict>
          <v:shape id="_x0000_s1028" type="#_x0000_t202" style="position:absolute;left:0;text-align:left;margin-left:194.15pt;margin-top:191.85pt;width:117pt;height:25pt;z-index:251657728;mso-wrap-edited:f" wrapcoords="-164 0 -164 21600 21764 21600 21764 0 -164 0" filled="f" stroked="f">
            <v:textbox style="mso-next-textbox:#_x0000_s1028">
              <w:txbxContent>
                <w:p w:rsidR="00F968BD" w:rsidRDefault="00F968BD" w:rsidP="005E1E3C">
                  <w:pPr>
                    <w:jc w:val="center"/>
                    <w:rPr>
                      <w:rFonts w:ascii="Arial" w:hAnsi="Arial" w:cs="Arial"/>
                      <w:b/>
                      <w:bCs/>
                      <w:sz w:val="18"/>
                      <w:szCs w:val="18"/>
                    </w:rPr>
                  </w:pPr>
                  <w:r>
                    <w:rPr>
                      <w:rFonts w:ascii="Arial" w:hAnsi="Arial" w:cs="Arial"/>
                      <w:b/>
                      <w:bCs/>
                      <w:sz w:val="18"/>
                      <w:szCs w:val="18"/>
                    </w:rPr>
                    <w:t>Number (Thousands)</w:t>
                  </w:r>
                </w:p>
              </w:txbxContent>
            </v:textbox>
          </v:shape>
        </w:pict>
      </w:r>
      <w:r w:rsidRPr="00B02478">
        <w:rPr>
          <w:rFonts w:ascii="Arial" w:hAnsi="Arial" w:cs="Arial"/>
          <w:b/>
          <w:bCs/>
          <w:noProof/>
          <w:szCs w:val="22"/>
          <w:lang w:val="ar-SA" w:eastAsia="ar-SA"/>
        </w:rPr>
        <w:pict>
          <v:shape id="_x0000_s1029" type="#_x0000_t202" style="position:absolute;left:0;text-align:left;margin-left:14.15pt;margin-top:66.35pt;width:27pt;height:1in;z-index:251658752" filled="f" stroked="f">
            <v:textbox style="layout-flow:vertical;mso-layout-flow-alt:bottom-to-top;mso-next-textbox:#_x0000_s1029">
              <w:txbxContent>
                <w:p w:rsidR="00F968BD" w:rsidRDefault="00F968BD" w:rsidP="005E1E3C">
                  <w:pPr>
                    <w:rPr>
                      <w:rFonts w:ascii="Arial" w:hAnsi="Arial" w:cs="Arial"/>
                      <w:b/>
                      <w:bCs/>
                      <w:sz w:val="18"/>
                      <w:szCs w:val="18"/>
                    </w:rPr>
                  </w:pPr>
                  <w:r>
                    <w:rPr>
                      <w:rFonts w:ascii="Arial" w:hAnsi="Arial" w:cs="Arial"/>
                      <w:b/>
                      <w:bCs/>
                      <w:sz w:val="18"/>
                      <w:szCs w:val="18"/>
                    </w:rPr>
                    <w:t>Governorate</w:t>
                  </w:r>
                </w:p>
              </w:txbxContent>
            </v:textbox>
            <w10:wrap anchorx="page"/>
          </v:shape>
        </w:pict>
      </w:r>
      <w:r w:rsidR="00CB29F6">
        <w:rPr>
          <w:rFonts w:cs="Simplified Arabic"/>
          <w:b/>
          <w:bCs/>
          <w:noProof/>
        </w:rPr>
        <w:drawing>
          <wp:inline distT="0" distB="0" distL="0" distR="0">
            <wp:extent cx="5773480" cy="2658139"/>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32B3F" w:rsidRDefault="00932B3F" w:rsidP="005E1E3C">
      <w:pPr>
        <w:jc w:val="lowKashida"/>
        <w:rPr>
          <w:rFonts w:cs="Times New Roman"/>
          <w:b/>
          <w:bCs/>
          <w:sz w:val="24"/>
          <w:szCs w:val="24"/>
        </w:rPr>
      </w:pPr>
    </w:p>
    <w:p w:rsidR="002F6AF9" w:rsidRDefault="002F6AF9" w:rsidP="005E1E3C">
      <w:pPr>
        <w:jc w:val="lowKashida"/>
        <w:rPr>
          <w:rFonts w:cs="Times New Roman"/>
          <w:b/>
          <w:bCs/>
          <w:sz w:val="24"/>
          <w:szCs w:val="24"/>
        </w:rPr>
      </w:pPr>
    </w:p>
    <w:p w:rsidR="005B0C6B" w:rsidRDefault="005B0C6B" w:rsidP="005E1E3C">
      <w:pPr>
        <w:jc w:val="lowKashida"/>
        <w:rPr>
          <w:rFonts w:cs="Times New Roman"/>
          <w:b/>
          <w:bCs/>
          <w:sz w:val="24"/>
          <w:szCs w:val="24"/>
        </w:rPr>
      </w:pPr>
    </w:p>
    <w:p w:rsidR="00953976" w:rsidRPr="004F482F" w:rsidRDefault="005E1E3C" w:rsidP="004F482F">
      <w:pPr>
        <w:jc w:val="lowKashida"/>
        <w:rPr>
          <w:b/>
          <w:bCs/>
          <w:sz w:val="24"/>
          <w:szCs w:val="24"/>
        </w:rPr>
      </w:pPr>
      <w:r w:rsidRPr="004F482F">
        <w:rPr>
          <w:b/>
          <w:bCs/>
          <w:sz w:val="24"/>
          <w:szCs w:val="24"/>
        </w:rPr>
        <w:lastRenderedPageBreak/>
        <w:t xml:space="preserve">1.3 </w:t>
      </w:r>
      <w:r w:rsidR="004F482F" w:rsidRPr="004F482F">
        <w:rPr>
          <w:b/>
          <w:bCs/>
          <w:sz w:val="24"/>
          <w:szCs w:val="24"/>
        </w:rPr>
        <w:t>Settling Stages</w:t>
      </w:r>
    </w:p>
    <w:p w:rsidR="00953976" w:rsidRDefault="00953976" w:rsidP="00953976">
      <w:pPr>
        <w:jc w:val="lowKashida"/>
        <w:rPr>
          <w:rFonts w:cs="Times New Roman"/>
          <w:sz w:val="24"/>
          <w:szCs w:val="24"/>
        </w:rPr>
      </w:pPr>
      <w:r>
        <w:rPr>
          <w:rFonts w:cs="Times New Roman"/>
          <w:sz w:val="24"/>
          <w:szCs w:val="24"/>
        </w:rPr>
        <w:t xml:space="preserve">Israel has resorted to the expansion of existing settlements during this period in order to compensate for the lack of new settlements. Expansion is achieved through growth in population and establishing new ‘neighborhoods’ within existing settlements. In addition, the building of the Annexation and Expansion Wall in June 2002, designed as a result of internal negotiations between the Israeli government and settler leaders, has placed 88% of settlers inside the borders of the Wall. </w:t>
      </w:r>
    </w:p>
    <w:p w:rsidR="005E1E3C" w:rsidRDefault="005E1E3C" w:rsidP="00953976">
      <w:pPr>
        <w:jc w:val="lowKashida"/>
        <w:rPr>
          <w:rFonts w:cs="Times New Roman"/>
          <w:sz w:val="24"/>
          <w:szCs w:val="24"/>
        </w:rPr>
      </w:pPr>
    </w:p>
    <w:p w:rsidR="005E1E3C" w:rsidRDefault="005E1E3C" w:rsidP="00162AA7">
      <w:pPr>
        <w:jc w:val="lowKashida"/>
        <w:rPr>
          <w:rFonts w:cs="Times New Roman"/>
          <w:sz w:val="24"/>
          <w:szCs w:val="24"/>
        </w:rPr>
      </w:pPr>
      <w:r>
        <w:rPr>
          <w:rFonts w:cs="Times New Roman"/>
          <w:sz w:val="24"/>
          <w:szCs w:val="24"/>
        </w:rPr>
        <w:t xml:space="preserve">Overall, the number of settlements increased between 1967 and </w:t>
      </w:r>
      <w:r w:rsidR="00F968BD">
        <w:rPr>
          <w:rFonts w:cs="Times New Roman"/>
          <w:sz w:val="24"/>
          <w:szCs w:val="24"/>
        </w:rPr>
        <w:t>2011</w:t>
      </w:r>
      <w:r>
        <w:rPr>
          <w:rFonts w:cs="Times New Roman"/>
          <w:sz w:val="24"/>
          <w:szCs w:val="24"/>
        </w:rPr>
        <w:t xml:space="preserve"> from </w:t>
      </w:r>
      <w:r w:rsidR="00953976">
        <w:rPr>
          <w:rFonts w:cs="Times New Roman"/>
          <w:sz w:val="24"/>
          <w:szCs w:val="24"/>
        </w:rPr>
        <w:t>one</w:t>
      </w:r>
      <w:r>
        <w:rPr>
          <w:rFonts w:cs="Times New Roman"/>
          <w:sz w:val="24"/>
          <w:szCs w:val="24"/>
        </w:rPr>
        <w:t xml:space="preserve"> settlement in 1967 to 144 in </w:t>
      </w:r>
      <w:r w:rsidR="00162AA7">
        <w:rPr>
          <w:rFonts w:cs="Times New Roman"/>
          <w:sz w:val="24"/>
          <w:szCs w:val="24"/>
        </w:rPr>
        <w:t>2011</w:t>
      </w:r>
      <w:r>
        <w:rPr>
          <w:rFonts w:cs="Times New Roman"/>
          <w:sz w:val="24"/>
          <w:szCs w:val="24"/>
        </w:rPr>
        <w:t xml:space="preserve">.  </w:t>
      </w:r>
    </w:p>
    <w:p w:rsidR="005B0C6B" w:rsidRDefault="005B0C6B" w:rsidP="005B0C6B">
      <w:pPr>
        <w:jc w:val="center"/>
        <w:rPr>
          <w:rFonts w:ascii="Arial" w:hAnsi="Arial" w:cs="Arial"/>
          <w:b/>
          <w:bCs/>
          <w:sz w:val="22"/>
          <w:szCs w:val="22"/>
        </w:rPr>
      </w:pPr>
    </w:p>
    <w:p w:rsidR="005B0C6B" w:rsidRDefault="005B0C6B" w:rsidP="0067719E">
      <w:pPr>
        <w:jc w:val="center"/>
        <w:rPr>
          <w:rFonts w:cs="Times New Roman"/>
          <w:b/>
          <w:bCs/>
          <w:sz w:val="24"/>
          <w:szCs w:val="24"/>
        </w:rPr>
      </w:pPr>
      <w:r>
        <w:rPr>
          <w:rFonts w:ascii="Arial" w:hAnsi="Arial" w:cs="Arial"/>
          <w:b/>
          <w:bCs/>
          <w:sz w:val="22"/>
          <w:szCs w:val="22"/>
        </w:rPr>
        <w:t>Number of Settlers in the Settlements in the West Bank by Year, 1988-</w:t>
      </w:r>
      <w:r w:rsidR="0067719E">
        <w:rPr>
          <w:rFonts w:cs="Times New Roman"/>
          <w:b/>
          <w:bCs/>
          <w:sz w:val="24"/>
          <w:szCs w:val="24"/>
        </w:rPr>
        <w:t>2011</w:t>
      </w:r>
    </w:p>
    <w:p w:rsidR="0047611E" w:rsidRDefault="0047611E" w:rsidP="0067719E">
      <w:pPr>
        <w:jc w:val="center"/>
        <w:rPr>
          <w:rFonts w:cs="Times New Roman"/>
          <w:b/>
          <w:bCs/>
          <w:sz w:val="24"/>
          <w:szCs w:val="24"/>
        </w:rPr>
      </w:pPr>
    </w:p>
    <w:p w:rsidR="00162AA7" w:rsidRDefault="001C5266" w:rsidP="00683EBD">
      <w:pPr>
        <w:jc w:val="center"/>
        <w:rPr>
          <w:rFonts w:cs="Times New Roman"/>
          <w:b/>
          <w:bCs/>
          <w:sz w:val="24"/>
          <w:szCs w:val="24"/>
        </w:rPr>
      </w:pPr>
      <w:r>
        <w:rPr>
          <w:rFonts w:cs="Times New Roman"/>
          <w:b/>
          <w:bCs/>
          <w:noProof/>
          <w:sz w:val="24"/>
          <w:szCs w:val="24"/>
        </w:rPr>
        <w:drawing>
          <wp:inline distT="0" distB="0" distL="0" distR="0">
            <wp:extent cx="5882020" cy="3040912"/>
            <wp:effectExtent l="19050" t="0" r="23480" b="7088"/>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83EBD" w:rsidRDefault="00683EBD" w:rsidP="0067719E">
      <w:pPr>
        <w:jc w:val="center"/>
        <w:rPr>
          <w:rFonts w:ascii="Arial" w:hAnsi="Arial" w:cs="Arial"/>
          <w:b/>
          <w:bCs/>
          <w:sz w:val="24"/>
          <w:szCs w:val="24"/>
        </w:rPr>
      </w:pPr>
    </w:p>
    <w:p w:rsidR="005E1E3C" w:rsidRDefault="005E1E3C" w:rsidP="005E1E3C">
      <w:pPr>
        <w:jc w:val="lowKashida"/>
        <w:rPr>
          <w:b/>
          <w:bCs/>
          <w:sz w:val="24"/>
          <w:szCs w:val="24"/>
        </w:rPr>
      </w:pPr>
      <w:r>
        <w:rPr>
          <w:b/>
          <w:bCs/>
          <w:sz w:val="24"/>
          <w:szCs w:val="24"/>
        </w:rPr>
        <w:t>1.4 The Nature of Settling in the West Bank</w:t>
      </w:r>
    </w:p>
    <w:p w:rsidR="00953976" w:rsidRDefault="00953976" w:rsidP="00DA6605">
      <w:pPr>
        <w:jc w:val="lowKashida"/>
        <w:rPr>
          <w:rFonts w:cs="Times New Roman"/>
          <w:sz w:val="24"/>
          <w:szCs w:val="24"/>
        </w:rPr>
      </w:pPr>
      <w:r>
        <w:rPr>
          <w:rFonts w:cs="Times New Roman"/>
          <w:sz w:val="24"/>
          <w:szCs w:val="24"/>
        </w:rPr>
        <w:t xml:space="preserve">In </w:t>
      </w:r>
      <w:r w:rsidR="00A523A6">
        <w:rPr>
          <w:rFonts w:cs="Times New Roman"/>
          <w:sz w:val="24"/>
          <w:szCs w:val="24"/>
        </w:rPr>
        <w:t>2011</w:t>
      </w:r>
      <w:r>
        <w:rPr>
          <w:rFonts w:cs="Times New Roman"/>
          <w:sz w:val="24"/>
          <w:szCs w:val="24"/>
        </w:rPr>
        <w:t xml:space="preserve">, there were </w:t>
      </w:r>
      <w:r w:rsidR="00A523A6">
        <w:rPr>
          <w:rFonts w:cs="Times New Roman"/>
          <w:sz w:val="24"/>
          <w:szCs w:val="24"/>
        </w:rPr>
        <w:t>50</w:t>
      </w:r>
      <w:r>
        <w:rPr>
          <w:rFonts w:cs="Times New Roman"/>
          <w:sz w:val="24"/>
          <w:szCs w:val="24"/>
        </w:rPr>
        <w:t xml:space="preserve"> urban settlements in the West Bank, with 22 of them in Jerusalem governorate. Settlers of this type of settlement represent 88.</w:t>
      </w:r>
      <w:r w:rsidR="00A523A6">
        <w:rPr>
          <w:rFonts w:cs="Times New Roman"/>
          <w:sz w:val="24"/>
          <w:szCs w:val="24"/>
        </w:rPr>
        <w:t>8</w:t>
      </w:r>
      <w:r>
        <w:rPr>
          <w:rFonts w:cs="Times New Roman"/>
          <w:sz w:val="24"/>
          <w:szCs w:val="24"/>
        </w:rPr>
        <w:t xml:space="preserve">% of the total settlers in the West Bank. These settlers are concentrated in Jerusalem governorate (98.7% of the total settlers in the governorate), followed by </w:t>
      </w:r>
      <w:proofErr w:type="spellStart"/>
      <w:r>
        <w:rPr>
          <w:rFonts w:cs="Times New Roman"/>
          <w:sz w:val="24"/>
          <w:szCs w:val="24"/>
        </w:rPr>
        <w:t>Qalqiliya</w:t>
      </w:r>
      <w:proofErr w:type="spellEnd"/>
      <w:r>
        <w:rPr>
          <w:rFonts w:cs="Times New Roman"/>
          <w:sz w:val="24"/>
          <w:szCs w:val="24"/>
        </w:rPr>
        <w:t xml:space="preserve"> governorate (94.</w:t>
      </w:r>
      <w:r w:rsidR="00A523A6">
        <w:rPr>
          <w:rFonts w:cs="Times New Roman"/>
          <w:sz w:val="24"/>
          <w:szCs w:val="24"/>
        </w:rPr>
        <w:t>3</w:t>
      </w:r>
      <w:r>
        <w:rPr>
          <w:rFonts w:cs="Times New Roman"/>
          <w:sz w:val="24"/>
          <w:szCs w:val="24"/>
        </w:rPr>
        <w:t>% of the total settlers in the governorate), then Bethlehem governorate (</w:t>
      </w:r>
      <w:r w:rsidR="00A523A6">
        <w:rPr>
          <w:rFonts w:cs="Times New Roman"/>
          <w:sz w:val="24"/>
          <w:szCs w:val="24"/>
        </w:rPr>
        <w:t>90.1</w:t>
      </w:r>
      <w:r>
        <w:rPr>
          <w:rFonts w:cs="Times New Roman"/>
          <w:sz w:val="24"/>
          <w:szCs w:val="24"/>
        </w:rPr>
        <w:t>% of the total settlers in the governorate), then Ramallah &amp; Al-</w:t>
      </w:r>
      <w:proofErr w:type="spellStart"/>
      <w:r>
        <w:rPr>
          <w:rFonts w:cs="Times New Roman"/>
          <w:sz w:val="24"/>
          <w:szCs w:val="24"/>
        </w:rPr>
        <w:t>Bireh</w:t>
      </w:r>
      <w:proofErr w:type="spellEnd"/>
      <w:r>
        <w:rPr>
          <w:rFonts w:cs="Times New Roman"/>
          <w:sz w:val="24"/>
          <w:szCs w:val="24"/>
        </w:rPr>
        <w:t xml:space="preserve"> governorate (</w:t>
      </w:r>
      <w:r w:rsidR="00A523A6">
        <w:rPr>
          <w:rFonts w:cs="Times New Roman"/>
          <w:sz w:val="24"/>
          <w:szCs w:val="24"/>
        </w:rPr>
        <w:t>88.9</w:t>
      </w:r>
      <w:r>
        <w:rPr>
          <w:rFonts w:cs="Times New Roman"/>
          <w:sz w:val="24"/>
          <w:szCs w:val="24"/>
        </w:rPr>
        <w:t xml:space="preserve">% of the total settlers in the governorate), then </w:t>
      </w:r>
      <w:proofErr w:type="spellStart"/>
      <w:r>
        <w:rPr>
          <w:rFonts w:cs="Times New Roman"/>
          <w:sz w:val="24"/>
          <w:szCs w:val="24"/>
        </w:rPr>
        <w:t>Salfit</w:t>
      </w:r>
      <w:proofErr w:type="spellEnd"/>
      <w:r>
        <w:rPr>
          <w:rFonts w:cs="Times New Roman"/>
          <w:sz w:val="24"/>
          <w:szCs w:val="24"/>
        </w:rPr>
        <w:t xml:space="preserve"> governorate (</w:t>
      </w:r>
      <w:r w:rsidR="00A523A6">
        <w:rPr>
          <w:rFonts w:cs="Times New Roman"/>
          <w:sz w:val="24"/>
          <w:szCs w:val="24"/>
        </w:rPr>
        <w:t>72.5</w:t>
      </w:r>
      <w:r>
        <w:rPr>
          <w:rFonts w:cs="Times New Roman"/>
          <w:sz w:val="24"/>
          <w:szCs w:val="24"/>
        </w:rPr>
        <w:t xml:space="preserve">% of the total settlers in the governorate). There are no urban settlements in Jenin, </w:t>
      </w:r>
      <w:r w:rsidR="00DA6605">
        <w:rPr>
          <w:rFonts w:cs="Times New Roman"/>
          <w:sz w:val="24"/>
          <w:szCs w:val="24"/>
        </w:rPr>
        <w:t xml:space="preserve">and Tubas </w:t>
      </w:r>
      <w:r>
        <w:rPr>
          <w:rFonts w:cs="Times New Roman"/>
          <w:sz w:val="24"/>
          <w:szCs w:val="24"/>
        </w:rPr>
        <w:t>governorates.</w:t>
      </w:r>
    </w:p>
    <w:p w:rsidR="00953976" w:rsidRDefault="00953976" w:rsidP="00953976">
      <w:pPr>
        <w:jc w:val="lowKashida"/>
        <w:rPr>
          <w:rFonts w:cs="Times New Roman"/>
          <w:sz w:val="24"/>
          <w:szCs w:val="24"/>
        </w:rPr>
      </w:pPr>
    </w:p>
    <w:p w:rsidR="00953976" w:rsidRDefault="00953976" w:rsidP="00A523A6">
      <w:pPr>
        <w:jc w:val="lowKashida"/>
        <w:rPr>
          <w:rFonts w:cs="Times New Roman"/>
          <w:sz w:val="24"/>
          <w:szCs w:val="24"/>
        </w:rPr>
      </w:pPr>
      <w:r>
        <w:rPr>
          <w:rFonts w:cs="Times New Roman"/>
          <w:sz w:val="24"/>
          <w:szCs w:val="24"/>
        </w:rPr>
        <w:t xml:space="preserve">In </w:t>
      </w:r>
      <w:r w:rsidR="00A523A6">
        <w:rPr>
          <w:rFonts w:cs="Times New Roman"/>
          <w:sz w:val="24"/>
          <w:szCs w:val="24"/>
        </w:rPr>
        <w:t>2011</w:t>
      </w:r>
      <w:r>
        <w:rPr>
          <w:rFonts w:cs="Times New Roman"/>
          <w:sz w:val="24"/>
          <w:szCs w:val="24"/>
        </w:rPr>
        <w:t xml:space="preserve">, the data showed that there were </w:t>
      </w:r>
      <w:r w:rsidR="00A523A6">
        <w:rPr>
          <w:rFonts w:cs="Times New Roman"/>
          <w:sz w:val="24"/>
          <w:szCs w:val="24"/>
        </w:rPr>
        <w:t>94</w:t>
      </w:r>
      <w:r>
        <w:rPr>
          <w:rFonts w:cs="Times New Roman"/>
          <w:sz w:val="24"/>
          <w:szCs w:val="24"/>
        </w:rPr>
        <w:t xml:space="preserve"> rural settlements in the West Bank, with </w:t>
      </w:r>
      <w:r w:rsidR="00A523A6">
        <w:rPr>
          <w:rFonts w:cs="Times New Roman"/>
          <w:sz w:val="24"/>
          <w:szCs w:val="24"/>
        </w:rPr>
        <w:t>50</w:t>
      </w:r>
      <w:r>
        <w:rPr>
          <w:rFonts w:cs="Times New Roman"/>
          <w:sz w:val="24"/>
          <w:szCs w:val="24"/>
        </w:rPr>
        <w:t xml:space="preserve"> of them classified as communal</w:t>
      </w:r>
      <w:r>
        <w:rPr>
          <w:rFonts w:cs="Times New Roman"/>
          <w:sz w:val="24"/>
          <w:szCs w:val="24"/>
          <w:rtl/>
          <w:lang w:val="en-GB"/>
        </w:rPr>
        <w:t xml:space="preserve"> </w:t>
      </w:r>
      <w:r>
        <w:rPr>
          <w:rFonts w:cs="Times New Roman"/>
          <w:sz w:val="24"/>
          <w:szCs w:val="24"/>
        </w:rPr>
        <w:t>settlements with a population of 44,</w:t>
      </w:r>
      <w:r w:rsidR="00A523A6">
        <w:rPr>
          <w:rFonts w:cs="Times New Roman"/>
          <w:sz w:val="24"/>
          <w:szCs w:val="24"/>
        </w:rPr>
        <w:t>254</w:t>
      </w:r>
      <w:r>
        <w:rPr>
          <w:rFonts w:cs="Times New Roman"/>
          <w:sz w:val="24"/>
          <w:szCs w:val="24"/>
        </w:rPr>
        <w:t xml:space="preserve"> settlers, followed by</w:t>
      </w:r>
      <w:r>
        <w:rPr>
          <w:rFonts w:cs="Times New Roman"/>
          <w:sz w:val="16"/>
          <w:szCs w:val="16"/>
        </w:rPr>
        <w:t xml:space="preserve"> </w:t>
      </w:r>
      <w:proofErr w:type="spellStart"/>
      <w:r>
        <w:rPr>
          <w:rFonts w:cs="Times New Roman"/>
          <w:sz w:val="24"/>
          <w:szCs w:val="24"/>
        </w:rPr>
        <w:t>moshav</w:t>
      </w:r>
      <w:proofErr w:type="spellEnd"/>
      <w:r>
        <w:rPr>
          <w:rFonts w:cs="Times New Roman"/>
          <w:sz w:val="24"/>
          <w:szCs w:val="24"/>
        </w:rPr>
        <w:t xml:space="preserve"> settlements</w:t>
      </w:r>
      <w:r>
        <w:rPr>
          <w:rFonts w:cs="Times New Roman"/>
          <w:sz w:val="16"/>
          <w:szCs w:val="16"/>
        </w:rPr>
        <w:t xml:space="preserve"> </w:t>
      </w:r>
      <w:r>
        <w:rPr>
          <w:rFonts w:cs="Times New Roman"/>
          <w:sz w:val="24"/>
          <w:szCs w:val="24"/>
        </w:rPr>
        <w:t xml:space="preserve">(17 settlements with a population of </w:t>
      </w:r>
      <w:r w:rsidR="00A523A6">
        <w:rPr>
          <w:rFonts w:cs="Times New Roman"/>
          <w:sz w:val="24"/>
          <w:szCs w:val="24"/>
        </w:rPr>
        <w:t>4</w:t>
      </w:r>
      <w:r>
        <w:rPr>
          <w:rFonts w:cs="Times New Roman"/>
          <w:sz w:val="24"/>
          <w:szCs w:val="24"/>
        </w:rPr>
        <w:t>,</w:t>
      </w:r>
      <w:r w:rsidR="00A523A6">
        <w:rPr>
          <w:rFonts w:cs="Times New Roman"/>
          <w:sz w:val="24"/>
          <w:szCs w:val="24"/>
        </w:rPr>
        <w:t>033</w:t>
      </w:r>
      <w:r>
        <w:rPr>
          <w:rFonts w:cs="Times New Roman"/>
          <w:sz w:val="24"/>
          <w:szCs w:val="24"/>
        </w:rPr>
        <w:t xml:space="preserve"> settlers).</w:t>
      </w:r>
    </w:p>
    <w:p w:rsidR="00953976" w:rsidRDefault="00953976" w:rsidP="00953976">
      <w:pPr>
        <w:ind w:left="45"/>
        <w:jc w:val="lowKashida"/>
        <w:rPr>
          <w:b/>
          <w:bCs/>
          <w:sz w:val="24"/>
          <w:szCs w:val="24"/>
        </w:rPr>
      </w:pPr>
    </w:p>
    <w:p w:rsidR="005E1E3C" w:rsidRDefault="005E1E3C" w:rsidP="005E1E3C">
      <w:pPr>
        <w:ind w:left="45"/>
        <w:jc w:val="lowKashida"/>
        <w:rPr>
          <w:b/>
          <w:bCs/>
          <w:sz w:val="24"/>
          <w:szCs w:val="24"/>
        </w:rPr>
      </w:pPr>
    </w:p>
    <w:p w:rsidR="000A02CF" w:rsidRDefault="000A02CF"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B0C6B" w:rsidRDefault="005B0C6B"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lastRenderedPageBreak/>
        <w:t xml:space="preserve">1.5 Geographical Dispersion </w:t>
      </w:r>
    </w:p>
    <w:p w:rsidR="005E1E3C" w:rsidRDefault="005E1E3C" w:rsidP="005E1E3C">
      <w:pPr>
        <w:ind w:left="45"/>
        <w:jc w:val="lowKashida"/>
        <w:rPr>
          <w:b/>
          <w:bCs/>
          <w:sz w:val="16"/>
          <w:szCs w:val="16"/>
        </w:rPr>
      </w:pPr>
    </w:p>
    <w:p w:rsidR="005E1E3C" w:rsidRDefault="005E1E3C" w:rsidP="005E1E3C">
      <w:pPr>
        <w:ind w:left="45"/>
        <w:jc w:val="lowKashida"/>
        <w:rPr>
          <w:b/>
          <w:bCs/>
          <w:sz w:val="24"/>
          <w:szCs w:val="24"/>
        </w:rPr>
      </w:pPr>
      <w:r>
        <w:rPr>
          <w:b/>
          <w:bCs/>
          <w:sz w:val="24"/>
          <w:szCs w:val="24"/>
        </w:rPr>
        <w:t xml:space="preserve">Eastern Strip: </w:t>
      </w:r>
    </w:p>
    <w:p w:rsidR="00953976" w:rsidRDefault="00953976" w:rsidP="001A156F">
      <w:pPr>
        <w:pStyle w:val="BodyTextIndent2"/>
      </w:pPr>
      <w:r>
        <w:t xml:space="preserve">At the end of </w:t>
      </w:r>
      <w:r w:rsidR="001A156F">
        <w:rPr>
          <w:rFonts w:cs="Times New Roman"/>
        </w:rPr>
        <w:t>2011</w:t>
      </w:r>
      <w:r>
        <w:t>, this area included 28 settlements with a population of 6,</w:t>
      </w:r>
      <w:r w:rsidR="001A156F">
        <w:t>450</w:t>
      </w:r>
      <w:r>
        <w:t xml:space="preserve"> settlers representing 1.2% of all settlers in the </w:t>
      </w:r>
      <w:r>
        <w:rPr>
          <w:rFonts w:cs="Times New Roman"/>
        </w:rPr>
        <w:t>West Bank</w:t>
      </w:r>
      <w:r>
        <w:t>.</w:t>
      </w:r>
    </w:p>
    <w:p w:rsidR="00953976" w:rsidRDefault="00953976" w:rsidP="00953976">
      <w:pPr>
        <w:ind w:left="45"/>
        <w:jc w:val="lowKashida"/>
        <w:rPr>
          <w:sz w:val="24"/>
          <w:szCs w:val="24"/>
        </w:rPr>
      </w:pPr>
    </w:p>
    <w:p w:rsidR="005E1E3C" w:rsidRDefault="005E1E3C" w:rsidP="005E1E3C">
      <w:pPr>
        <w:ind w:left="45"/>
        <w:jc w:val="lowKashida"/>
        <w:rPr>
          <w:b/>
          <w:bCs/>
          <w:sz w:val="24"/>
          <w:szCs w:val="24"/>
        </w:rPr>
      </w:pPr>
      <w:r>
        <w:rPr>
          <w:b/>
          <w:bCs/>
          <w:sz w:val="24"/>
          <w:szCs w:val="24"/>
        </w:rPr>
        <w:t xml:space="preserve">Mountain Strip: </w:t>
      </w:r>
    </w:p>
    <w:p w:rsidR="00953976" w:rsidRPr="00953976" w:rsidRDefault="00953976" w:rsidP="001A156F">
      <w:pPr>
        <w:ind w:left="45"/>
        <w:jc w:val="lowKashida"/>
        <w:rPr>
          <w:b/>
          <w:bCs/>
          <w:sz w:val="24"/>
          <w:szCs w:val="24"/>
        </w:rPr>
      </w:pPr>
      <w:r w:rsidRPr="00953976">
        <w:rPr>
          <w:sz w:val="24"/>
          <w:szCs w:val="24"/>
        </w:rPr>
        <w:t xml:space="preserve">At the end of </w:t>
      </w:r>
      <w:r w:rsidR="001A156F">
        <w:rPr>
          <w:rFonts w:cs="Times New Roman"/>
          <w:sz w:val="24"/>
          <w:szCs w:val="24"/>
        </w:rPr>
        <w:t>2011</w:t>
      </w:r>
      <w:r w:rsidRPr="00953976">
        <w:rPr>
          <w:sz w:val="24"/>
          <w:szCs w:val="24"/>
        </w:rPr>
        <w:t xml:space="preserve">, this area included 31 settlements with a population of </w:t>
      </w:r>
      <w:r w:rsidR="001A156F">
        <w:rPr>
          <w:sz w:val="24"/>
          <w:szCs w:val="24"/>
        </w:rPr>
        <w:t>47</w:t>
      </w:r>
      <w:r w:rsidRPr="00953976">
        <w:rPr>
          <w:sz w:val="24"/>
          <w:szCs w:val="24"/>
        </w:rPr>
        <w:t>,</w:t>
      </w:r>
      <w:r w:rsidR="001A156F">
        <w:rPr>
          <w:sz w:val="24"/>
          <w:szCs w:val="24"/>
        </w:rPr>
        <w:t>468</w:t>
      </w:r>
      <w:r w:rsidRPr="00953976">
        <w:rPr>
          <w:sz w:val="24"/>
          <w:szCs w:val="24"/>
        </w:rPr>
        <w:t xml:space="preserve"> settlers representing 8.</w:t>
      </w:r>
      <w:r w:rsidR="001A156F">
        <w:rPr>
          <w:sz w:val="24"/>
          <w:szCs w:val="24"/>
        </w:rPr>
        <w:t>8</w:t>
      </w:r>
      <w:r w:rsidRPr="00953976">
        <w:rPr>
          <w:sz w:val="24"/>
          <w:szCs w:val="24"/>
        </w:rPr>
        <w:t xml:space="preserve">% of all settlers in the </w:t>
      </w:r>
      <w:r w:rsidRPr="00953976">
        <w:rPr>
          <w:rFonts w:cs="Times New Roman"/>
          <w:sz w:val="24"/>
          <w:szCs w:val="24"/>
        </w:rPr>
        <w:t>West Bank</w:t>
      </w:r>
      <w:r w:rsidRPr="00953976">
        <w:rPr>
          <w:sz w:val="24"/>
          <w:szCs w:val="24"/>
        </w:rPr>
        <w:t>.</w:t>
      </w:r>
    </w:p>
    <w:p w:rsidR="00953976" w:rsidRPr="00953976" w:rsidRDefault="00953976"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t xml:space="preserve">Western Hills Strip: </w:t>
      </w:r>
    </w:p>
    <w:p w:rsidR="00953976" w:rsidRDefault="00953976" w:rsidP="00140E6B">
      <w:pPr>
        <w:pStyle w:val="BodyTextIndent2"/>
      </w:pPr>
      <w:r>
        <w:t xml:space="preserve">At the end of </w:t>
      </w:r>
      <w:r w:rsidR="001A156F">
        <w:rPr>
          <w:rFonts w:cs="Times New Roman"/>
        </w:rPr>
        <w:t>2011</w:t>
      </w:r>
      <w:r>
        <w:t xml:space="preserve">, this area included 48 settlements with a population of </w:t>
      </w:r>
      <w:r w:rsidR="001A156F">
        <w:t>15</w:t>
      </w:r>
      <w:r w:rsidR="00140E6B">
        <w:t>5</w:t>
      </w:r>
      <w:r>
        <w:t>,</w:t>
      </w:r>
      <w:r w:rsidR="001A156F">
        <w:t>396</w:t>
      </w:r>
      <w:r>
        <w:t xml:space="preserve"> settlers representing </w:t>
      </w:r>
      <w:r w:rsidR="001A156F">
        <w:t>29.0</w:t>
      </w:r>
      <w:r>
        <w:t xml:space="preserve">% of all settlers in the </w:t>
      </w:r>
      <w:r>
        <w:rPr>
          <w:rFonts w:cs="Times New Roman"/>
        </w:rPr>
        <w:t>West Bank</w:t>
      </w:r>
      <w:r>
        <w:t xml:space="preserve">. </w:t>
      </w:r>
    </w:p>
    <w:p w:rsidR="00953976" w:rsidRDefault="00953976" w:rsidP="00953976">
      <w:pPr>
        <w:ind w:left="45"/>
        <w:jc w:val="lowKashida"/>
        <w:rPr>
          <w:b/>
          <w:bCs/>
          <w:sz w:val="24"/>
          <w:szCs w:val="24"/>
        </w:rPr>
      </w:pPr>
    </w:p>
    <w:p w:rsidR="005E1E3C" w:rsidRDefault="005E1E3C" w:rsidP="005E1E3C">
      <w:pPr>
        <w:ind w:left="45"/>
        <w:jc w:val="lowKashida"/>
        <w:rPr>
          <w:b/>
          <w:bCs/>
          <w:sz w:val="24"/>
          <w:szCs w:val="24"/>
        </w:rPr>
      </w:pPr>
      <w:r>
        <w:rPr>
          <w:b/>
          <w:bCs/>
          <w:sz w:val="24"/>
          <w:szCs w:val="24"/>
        </w:rPr>
        <w:t>Greater Jerusalem Strip:</w:t>
      </w:r>
    </w:p>
    <w:p w:rsidR="00953976" w:rsidRDefault="00953976" w:rsidP="001A156F">
      <w:pPr>
        <w:pStyle w:val="BodyTextIndent2"/>
      </w:pPr>
      <w:r>
        <w:t xml:space="preserve">At the end of </w:t>
      </w:r>
      <w:r>
        <w:rPr>
          <w:rFonts w:cs="Times New Roman"/>
        </w:rPr>
        <w:t>2010</w:t>
      </w:r>
      <w:r>
        <w:t xml:space="preserve">, this area included 37 settlements with a population of </w:t>
      </w:r>
      <w:r w:rsidR="001A156F">
        <w:t>327</w:t>
      </w:r>
      <w:r>
        <w:t>,</w:t>
      </w:r>
      <w:r w:rsidR="001A156F">
        <w:t>618</w:t>
      </w:r>
      <w:r>
        <w:t xml:space="preserve"> settlers representing 61.</w:t>
      </w:r>
      <w:r w:rsidR="001A156F">
        <w:t>0</w:t>
      </w:r>
      <w:r>
        <w:t xml:space="preserve">% of all settlers in the </w:t>
      </w:r>
      <w:r>
        <w:rPr>
          <w:rFonts w:cs="Times New Roman"/>
        </w:rPr>
        <w:t>West Bank</w:t>
      </w:r>
      <w:r>
        <w:t>.</w:t>
      </w:r>
    </w:p>
    <w:p w:rsidR="00320AFC" w:rsidRDefault="00DC48A1">
      <w:pPr>
        <w:rPr>
          <w:sz w:val="24"/>
          <w:szCs w:val="24"/>
        </w:rPr>
      </w:pPr>
      <w:r>
        <w:rPr>
          <w:sz w:val="24"/>
          <w:szCs w:val="24"/>
        </w:rPr>
        <w:br w:type="page"/>
      </w:r>
      <w:r w:rsidR="00320AFC">
        <w:rPr>
          <w:b/>
          <w:bCs/>
          <w:sz w:val="24"/>
          <w:szCs w:val="24"/>
        </w:rPr>
        <w:lastRenderedPageBreak/>
        <w:br w:type="page"/>
      </w:r>
    </w:p>
    <w:p w:rsidR="005E1E3C" w:rsidRDefault="005E1E3C" w:rsidP="005E1E3C">
      <w:pPr>
        <w:pStyle w:val="Title"/>
        <w:rPr>
          <w:b w:val="0"/>
          <w:bCs w:val="0"/>
          <w:sz w:val="24"/>
          <w:szCs w:val="24"/>
        </w:rPr>
      </w:pPr>
      <w:r>
        <w:rPr>
          <w:b w:val="0"/>
          <w:bCs w:val="0"/>
          <w:sz w:val="24"/>
          <w:szCs w:val="24"/>
        </w:rPr>
        <w:lastRenderedPageBreak/>
        <w:t>Chapter Two</w:t>
      </w:r>
    </w:p>
    <w:p w:rsidR="005E1E3C" w:rsidRDefault="005E1E3C" w:rsidP="005E1E3C">
      <w:pPr>
        <w:pStyle w:val="Title"/>
        <w:rPr>
          <w:b w:val="0"/>
          <w:bCs w:val="0"/>
          <w:sz w:val="24"/>
          <w:szCs w:val="24"/>
          <w:rtl/>
          <w:lang w:val="en-GB"/>
        </w:rPr>
      </w:pPr>
    </w:p>
    <w:p w:rsidR="005E1E3C" w:rsidRDefault="005E1E3C" w:rsidP="005E1E3C">
      <w:pPr>
        <w:pStyle w:val="BodyText2"/>
        <w:ind w:right="-144"/>
        <w:jc w:val="center"/>
        <w:rPr>
          <w:b/>
          <w:bCs/>
          <w:sz w:val="28"/>
          <w:szCs w:val="28"/>
        </w:rPr>
      </w:pPr>
      <w:r>
        <w:rPr>
          <w:b/>
          <w:bCs/>
          <w:sz w:val="28"/>
          <w:szCs w:val="28"/>
        </w:rPr>
        <w:t>Methodology and Data Quality</w:t>
      </w:r>
    </w:p>
    <w:p w:rsidR="005E1E3C" w:rsidRDefault="005E1E3C" w:rsidP="005E1E3C">
      <w:pPr>
        <w:pStyle w:val="BodyText2"/>
        <w:ind w:right="-144"/>
        <w:jc w:val="center"/>
        <w:rPr>
          <w:b/>
          <w:bCs/>
        </w:rPr>
      </w:pPr>
    </w:p>
    <w:p w:rsidR="005E1E3C" w:rsidRDefault="005E1E3C" w:rsidP="00953976">
      <w:pPr>
        <w:ind w:left="45"/>
        <w:jc w:val="lowKashida"/>
        <w:rPr>
          <w:sz w:val="24"/>
          <w:szCs w:val="24"/>
        </w:rPr>
      </w:pPr>
      <w:r>
        <w:rPr>
          <w:sz w:val="24"/>
          <w:szCs w:val="24"/>
        </w:rPr>
        <w:t>This section presents the methodology used in data collection from different sources: Applied Research Institute-Jerusalem (ARIJ), Israel</w:t>
      </w:r>
      <w:r w:rsidR="00953976">
        <w:rPr>
          <w:sz w:val="24"/>
          <w:szCs w:val="24"/>
        </w:rPr>
        <w:t xml:space="preserve">i Central Bureau of Statistics, </w:t>
      </w:r>
      <w:r>
        <w:rPr>
          <w:sz w:val="24"/>
          <w:szCs w:val="24"/>
        </w:rPr>
        <w:t xml:space="preserve">Jerusalem Institute for Israeli Studies, </w:t>
      </w:r>
      <w:r w:rsidR="00953976">
        <w:rPr>
          <w:sz w:val="24"/>
          <w:szCs w:val="24"/>
        </w:rPr>
        <w:t>and</w:t>
      </w:r>
      <w:r>
        <w:rPr>
          <w:sz w:val="24"/>
          <w:szCs w:val="24"/>
        </w:rPr>
        <w:t xml:space="preserve"> Israeli Information Center for Human Rights in the Occupied Territories - B'TSELEM.  </w:t>
      </w: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2.1 Coverage</w:t>
      </w:r>
    </w:p>
    <w:p w:rsidR="005E1E3C" w:rsidRDefault="005E1E3C" w:rsidP="008571B2">
      <w:pPr>
        <w:ind w:left="45"/>
        <w:jc w:val="lowKashida"/>
        <w:rPr>
          <w:color w:val="FF0000"/>
          <w:sz w:val="24"/>
          <w:szCs w:val="24"/>
        </w:rPr>
      </w:pPr>
      <w:r>
        <w:rPr>
          <w:sz w:val="24"/>
          <w:szCs w:val="24"/>
        </w:rPr>
        <w:t>Data of Israeli settlements include all the areas classified by the Palestinian Official sources as West Bank, including settlements in J1, and no-man’s-land in Ramallah &amp; Al-</w:t>
      </w:r>
      <w:proofErr w:type="spellStart"/>
      <w:r>
        <w:rPr>
          <w:sz w:val="24"/>
          <w:szCs w:val="24"/>
        </w:rPr>
        <w:t>Bireh</w:t>
      </w:r>
      <w:proofErr w:type="spellEnd"/>
      <w:r>
        <w:rPr>
          <w:sz w:val="24"/>
          <w:szCs w:val="24"/>
        </w:rPr>
        <w:t xml:space="preserve"> Governorate, closed military areas along the green line in the West Bank</w:t>
      </w:r>
      <w:r w:rsidR="008571B2" w:rsidRPr="008571B2">
        <w:rPr>
          <w:sz w:val="24"/>
          <w:szCs w:val="24"/>
        </w:rPr>
        <w:t>.</w:t>
      </w:r>
    </w:p>
    <w:p w:rsidR="005E1E3C" w:rsidRDefault="005E1E3C" w:rsidP="005E1E3C">
      <w:pPr>
        <w:ind w:left="45"/>
        <w:jc w:val="lowKashida"/>
        <w:rPr>
          <w:sz w:val="24"/>
          <w:szCs w:val="24"/>
        </w:rPr>
      </w:pPr>
    </w:p>
    <w:p w:rsidR="00953976" w:rsidRDefault="00953976" w:rsidP="00953976">
      <w:pPr>
        <w:ind w:left="45"/>
        <w:jc w:val="lowKashida"/>
        <w:rPr>
          <w:sz w:val="24"/>
          <w:szCs w:val="24"/>
        </w:rPr>
      </w:pPr>
      <w:r>
        <w:rPr>
          <w:sz w:val="24"/>
          <w:szCs w:val="24"/>
        </w:rPr>
        <w:t>Figures in the Israeli Settlements in the Palestinian Territory Report were based on the database created to supply data about Israeli settlements in the Palestinian Territory.</w:t>
      </w:r>
    </w:p>
    <w:p w:rsidR="00953976" w:rsidRDefault="00953976" w:rsidP="00953976">
      <w:pPr>
        <w:ind w:left="45"/>
        <w:jc w:val="lowKashida"/>
        <w:rPr>
          <w:sz w:val="24"/>
          <w:szCs w:val="24"/>
        </w:rPr>
      </w:pPr>
    </w:p>
    <w:p w:rsidR="005E1E3C" w:rsidRDefault="005E1E3C" w:rsidP="005E1E3C">
      <w:pPr>
        <w:ind w:left="45"/>
        <w:jc w:val="lowKashida"/>
        <w:rPr>
          <w:b/>
          <w:bCs/>
          <w:sz w:val="24"/>
          <w:szCs w:val="24"/>
        </w:rPr>
      </w:pPr>
      <w:r>
        <w:rPr>
          <w:b/>
          <w:bCs/>
          <w:sz w:val="24"/>
          <w:szCs w:val="24"/>
        </w:rPr>
        <w:t>2.2 Data Sources</w:t>
      </w:r>
    </w:p>
    <w:p w:rsidR="005E1E3C" w:rsidRDefault="005E1E3C" w:rsidP="005E1E3C">
      <w:pPr>
        <w:ind w:left="45"/>
        <w:jc w:val="lowKashida"/>
        <w:rPr>
          <w:b/>
          <w:bCs/>
          <w:sz w:val="24"/>
          <w:szCs w:val="24"/>
        </w:rPr>
      </w:pPr>
      <w:r>
        <w:rPr>
          <w:b/>
          <w:bCs/>
          <w:sz w:val="24"/>
          <w:szCs w:val="24"/>
        </w:rPr>
        <w:t>Israeli Settlements Database</w:t>
      </w:r>
    </w:p>
    <w:p w:rsidR="00953976" w:rsidRDefault="00953976" w:rsidP="00953976">
      <w:pPr>
        <w:ind w:left="45"/>
        <w:jc w:val="lowKashida"/>
        <w:rPr>
          <w:sz w:val="24"/>
          <w:szCs w:val="24"/>
        </w:rPr>
      </w:pPr>
      <w:r>
        <w:rPr>
          <w:sz w:val="24"/>
          <w:szCs w:val="24"/>
        </w:rPr>
        <w:t>Starting in 2002, PCBS has created and developed a database including all the Israeli settlements in the Palestinian Territory. The database has been continuously updated using various data sources, such as the Palestinian Ministry of Planning, and a number of Palestinian and Israeli sources, in addition to estimates based on statistical assumptions.</w:t>
      </w:r>
    </w:p>
    <w:p w:rsidR="005E1E3C" w:rsidRDefault="005E1E3C"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 xml:space="preserve">Israeli Central Bureau of Statistics </w:t>
      </w:r>
    </w:p>
    <w:p w:rsidR="005E1E3C" w:rsidRDefault="005E1E3C" w:rsidP="00953976">
      <w:pPr>
        <w:ind w:left="45"/>
        <w:jc w:val="lowKashida"/>
        <w:rPr>
          <w:sz w:val="24"/>
          <w:szCs w:val="24"/>
        </w:rPr>
      </w:pPr>
      <w:r>
        <w:rPr>
          <w:sz w:val="24"/>
          <w:szCs w:val="24"/>
        </w:rPr>
        <w:t xml:space="preserve">ICBS represents the main source of data on annual population of Israeli settlements and the establishment date of settlements, the type of settlements, </w:t>
      </w:r>
      <w:r w:rsidR="00953976">
        <w:rPr>
          <w:sz w:val="24"/>
          <w:szCs w:val="24"/>
        </w:rPr>
        <w:t>r</w:t>
      </w:r>
      <w:r>
        <w:rPr>
          <w:sz w:val="24"/>
          <w:szCs w:val="24"/>
        </w:rPr>
        <w:t xml:space="preserve">egional </w:t>
      </w:r>
      <w:r w:rsidR="00953976">
        <w:rPr>
          <w:sz w:val="24"/>
          <w:szCs w:val="24"/>
        </w:rPr>
        <w:t>c</w:t>
      </w:r>
      <w:r>
        <w:rPr>
          <w:sz w:val="24"/>
          <w:szCs w:val="24"/>
        </w:rPr>
        <w:t>ouncil and institutional affiliations.</w:t>
      </w:r>
    </w:p>
    <w:p w:rsidR="005E1E3C" w:rsidRDefault="005E1E3C" w:rsidP="005E1E3C">
      <w:pPr>
        <w:ind w:left="45"/>
        <w:jc w:val="lowKashida"/>
        <w:rPr>
          <w:sz w:val="18"/>
          <w:szCs w:val="18"/>
        </w:rPr>
      </w:pPr>
    </w:p>
    <w:p w:rsidR="005E1E3C" w:rsidRDefault="00953976" w:rsidP="005E1E3C">
      <w:pPr>
        <w:ind w:left="45"/>
        <w:jc w:val="lowKashida"/>
        <w:rPr>
          <w:sz w:val="24"/>
          <w:szCs w:val="24"/>
        </w:rPr>
      </w:pPr>
      <w:r>
        <w:rPr>
          <w:sz w:val="24"/>
          <w:szCs w:val="24"/>
        </w:rPr>
        <w:t>It should be noted that this data source only covers Israeli settlements located in the West Bank. There are no data on settlements in the Jerusalem area (J1).</w:t>
      </w:r>
    </w:p>
    <w:p w:rsidR="00953976" w:rsidRDefault="00953976" w:rsidP="005E1E3C">
      <w:pPr>
        <w:ind w:left="45"/>
        <w:jc w:val="lowKashida"/>
        <w:rPr>
          <w:sz w:val="24"/>
          <w:szCs w:val="24"/>
        </w:rPr>
      </w:pPr>
    </w:p>
    <w:p w:rsidR="005E1E3C" w:rsidRDefault="005E1E3C" w:rsidP="005E1E3C">
      <w:pPr>
        <w:ind w:left="45"/>
        <w:jc w:val="lowKashida"/>
        <w:rPr>
          <w:b/>
          <w:bCs/>
          <w:sz w:val="24"/>
          <w:szCs w:val="24"/>
        </w:rPr>
      </w:pPr>
      <w:r>
        <w:rPr>
          <w:b/>
          <w:bCs/>
          <w:sz w:val="24"/>
          <w:szCs w:val="24"/>
        </w:rPr>
        <w:t>The Jerusalem Institute for Israeli Studies</w:t>
      </w:r>
    </w:p>
    <w:p w:rsidR="00953976" w:rsidRDefault="00953976" w:rsidP="00953976">
      <w:pPr>
        <w:ind w:left="45"/>
        <w:jc w:val="lowKashida"/>
        <w:rPr>
          <w:sz w:val="24"/>
          <w:szCs w:val="24"/>
        </w:rPr>
      </w:pPr>
      <w:r>
        <w:rPr>
          <w:sz w:val="24"/>
          <w:szCs w:val="24"/>
        </w:rPr>
        <w:t>The Jerusalem Institute for Israeli Studies represents the main source of data for the settler population of the settlements located in the Jerusalem area (J1).</w:t>
      </w:r>
    </w:p>
    <w:p w:rsidR="005E1E3C" w:rsidRDefault="005E1E3C" w:rsidP="005E1E3C">
      <w:pPr>
        <w:jc w:val="lowKashida"/>
        <w:rPr>
          <w:sz w:val="24"/>
          <w:szCs w:val="24"/>
        </w:rPr>
      </w:pPr>
    </w:p>
    <w:p w:rsidR="005E1E3C" w:rsidRDefault="005E1E3C" w:rsidP="005E1E3C">
      <w:pPr>
        <w:ind w:left="45"/>
        <w:jc w:val="lowKashida"/>
        <w:rPr>
          <w:b/>
          <w:bCs/>
          <w:sz w:val="24"/>
          <w:szCs w:val="24"/>
        </w:rPr>
      </w:pPr>
      <w:r>
        <w:rPr>
          <w:b/>
          <w:bCs/>
          <w:sz w:val="24"/>
          <w:szCs w:val="24"/>
        </w:rPr>
        <w:t>2.3 Data Processing</w:t>
      </w:r>
    </w:p>
    <w:p w:rsidR="00953976" w:rsidRDefault="00953976" w:rsidP="00953976">
      <w:pPr>
        <w:jc w:val="lowKashida"/>
        <w:rPr>
          <w:sz w:val="24"/>
          <w:szCs w:val="24"/>
        </w:rPr>
      </w:pPr>
      <w:r>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Default="00953976" w:rsidP="00953976">
      <w:pPr>
        <w:numPr>
          <w:ilvl w:val="0"/>
          <w:numId w:val="5"/>
        </w:numPr>
        <w:jc w:val="lowKashida"/>
        <w:rPr>
          <w:sz w:val="24"/>
          <w:szCs w:val="24"/>
        </w:rPr>
      </w:pPr>
      <w:r>
        <w:rPr>
          <w:sz w:val="24"/>
          <w:szCs w:val="24"/>
        </w:rPr>
        <w:t xml:space="preserve">Linking the population of each settlement with </w:t>
      </w:r>
      <w:r w:rsidRPr="000D3306">
        <w:rPr>
          <w:sz w:val="24"/>
          <w:szCs w:val="24"/>
        </w:rPr>
        <w:t>a population of attribution</w:t>
      </w:r>
      <w:r>
        <w:rPr>
          <w:sz w:val="24"/>
          <w:szCs w:val="24"/>
        </w:rPr>
        <w:t xml:space="preserve"> and the settlements for which data are available; </w:t>
      </w:r>
      <w:r>
        <w:rPr>
          <w:rFonts w:cs="Times New Roman"/>
          <w:sz w:val="24"/>
          <w:szCs w:val="24"/>
          <w:lang w:val="en-AU" w:eastAsia="en-AU"/>
        </w:rPr>
        <w:t>data are usually updated yearly by Israeli statistics.</w:t>
      </w:r>
    </w:p>
    <w:p w:rsidR="00953976" w:rsidRDefault="00953976" w:rsidP="00953976">
      <w:pPr>
        <w:numPr>
          <w:ilvl w:val="0"/>
          <w:numId w:val="5"/>
        </w:numPr>
        <w:jc w:val="lowKashida"/>
        <w:rPr>
          <w:sz w:val="24"/>
          <w:szCs w:val="24"/>
        </w:rPr>
      </w:pPr>
      <w:r>
        <w:rPr>
          <w:sz w:val="24"/>
          <w:szCs w:val="24"/>
        </w:rPr>
        <w:t xml:space="preserve">With regard to settlements whose total population was not available for the reference period (often those with less than 1000 people), a population estimate was calculated based on the latest data available, using an assumption of the constant annual growth rate for the last two years for each settlement. </w:t>
      </w:r>
    </w:p>
    <w:p w:rsidR="00953976" w:rsidRDefault="00953976" w:rsidP="00953976">
      <w:pPr>
        <w:numPr>
          <w:ilvl w:val="0"/>
          <w:numId w:val="5"/>
        </w:numPr>
        <w:jc w:val="lowKashida"/>
        <w:rPr>
          <w:sz w:val="24"/>
          <w:szCs w:val="24"/>
        </w:rPr>
      </w:pPr>
      <w:r>
        <w:rPr>
          <w:sz w:val="24"/>
          <w:szCs w:val="24"/>
        </w:rPr>
        <w:t xml:space="preserve">Re-examining the population of each settlement to change the classification depending on the number of people in the reference year. For example, for settlements with a </w:t>
      </w:r>
      <w:r>
        <w:rPr>
          <w:sz w:val="24"/>
          <w:szCs w:val="24"/>
        </w:rPr>
        <w:lastRenderedPageBreak/>
        <w:t>population of over 2000, the classification may be changed from rural to urban and all fields related to this classification will be changed.</w:t>
      </w:r>
    </w:p>
    <w:p w:rsidR="00953976" w:rsidRDefault="00953976" w:rsidP="00953976">
      <w:pPr>
        <w:numPr>
          <w:ilvl w:val="0"/>
          <w:numId w:val="5"/>
        </w:numPr>
        <w:jc w:val="lowKashida"/>
        <w:rPr>
          <w:sz w:val="24"/>
          <w:szCs w:val="24"/>
        </w:rPr>
      </w:pPr>
      <w:r>
        <w:rPr>
          <w:sz w:val="24"/>
          <w:szCs w:val="24"/>
        </w:rPr>
        <w:t>After updating the database, comprehensive editing and comparisons were done to examine the logic and consistency of the figures compared with previous data.</w:t>
      </w:r>
    </w:p>
    <w:p w:rsidR="00953976" w:rsidRDefault="00953976" w:rsidP="00953976">
      <w:pPr>
        <w:numPr>
          <w:ilvl w:val="0"/>
          <w:numId w:val="5"/>
        </w:numPr>
        <w:jc w:val="lowKashida"/>
        <w:rPr>
          <w:sz w:val="24"/>
          <w:szCs w:val="24"/>
        </w:rPr>
      </w:pPr>
      <w:r>
        <w:rPr>
          <w:sz w:val="24"/>
          <w:szCs w:val="24"/>
        </w:rPr>
        <w:t>Matching the results in the database with the results in the original sources and within the same geographic area of comparable data.</w:t>
      </w:r>
    </w:p>
    <w:p w:rsidR="00953976" w:rsidRDefault="00953976" w:rsidP="00953976">
      <w:pPr>
        <w:pStyle w:val="BodyText2"/>
        <w:ind w:right="-144"/>
        <w:jc w:val="left"/>
        <w:rPr>
          <w:b/>
          <w:bCs/>
        </w:rPr>
      </w:pPr>
      <w:r>
        <w:t>Extraction tables and verification of results</w:t>
      </w:r>
    </w:p>
    <w:p w:rsidR="00953976" w:rsidRDefault="00953976" w:rsidP="00953976">
      <w:pPr>
        <w:pStyle w:val="BodyText2"/>
        <w:ind w:right="-144"/>
        <w:jc w:val="left"/>
        <w:rPr>
          <w:b/>
          <w:bCs/>
        </w:rPr>
      </w:pPr>
    </w:p>
    <w:p w:rsidR="005E1E3C" w:rsidRPr="00511655" w:rsidRDefault="005E1E3C" w:rsidP="00953976">
      <w:pPr>
        <w:pStyle w:val="BodyText2"/>
        <w:ind w:right="-144"/>
        <w:jc w:val="left"/>
        <w:rPr>
          <w:b/>
          <w:bCs/>
        </w:rPr>
      </w:pPr>
      <w:r w:rsidRPr="00511655">
        <w:rPr>
          <w:b/>
          <w:bCs/>
        </w:rPr>
        <w:t xml:space="preserve">2.4 </w:t>
      </w:r>
      <w:r w:rsidR="00BD3273" w:rsidRPr="00BD3273">
        <w:rPr>
          <w:b/>
          <w:bCs/>
        </w:rPr>
        <w:t>Accuracy of the Data</w:t>
      </w:r>
      <w:r w:rsidR="00BD3273" w:rsidRPr="00511655">
        <w:rPr>
          <w:b/>
          <w:bCs/>
        </w:rPr>
        <w:t xml:space="preserve"> </w:t>
      </w:r>
    </w:p>
    <w:p w:rsidR="00695FB3" w:rsidRDefault="00695FB3" w:rsidP="005E1E3C">
      <w:pPr>
        <w:ind w:left="45"/>
        <w:jc w:val="lowKashida"/>
        <w:rPr>
          <w:b/>
          <w:bCs/>
          <w:sz w:val="24"/>
          <w:szCs w:val="24"/>
        </w:rPr>
      </w:pPr>
    </w:p>
    <w:p w:rsidR="005E1E3C" w:rsidRDefault="005E1E3C" w:rsidP="005E1E3C">
      <w:pPr>
        <w:ind w:left="45"/>
        <w:jc w:val="lowKashida"/>
        <w:rPr>
          <w:b/>
          <w:bCs/>
          <w:sz w:val="24"/>
          <w:szCs w:val="24"/>
        </w:rPr>
      </w:pPr>
      <w:r>
        <w:rPr>
          <w:b/>
          <w:bCs/>
          <w:sz w:val="24"/>
          <w:szCs w:val="24"/>
        </w:rPr>
        <w:t xml:space="preserve">Number of Population: </w:t>
      </w:r>
    </w:p>
    <w:p w:rsidR="00953976" w:rsidRDefault="00953976" w:rsidP="00953976">
      <w:pPr>
        <w:jc w:val="lowKashida"/>
        <w:rPr>
          <w:sz w:val="24"/>
          <w:szCs w:val="24"/>
        </w:rPr>
      </w:pPr>
      <w:r>
        <w:rPr>
          <w:sz w:val="24"/>
          <w:szCs w:val="24"/>
        </w:rPr>
        <w:t xml:space="preserve">The number of settlers for the settlements where there is lack of detailed data about the population was estimated based on the constant annual growth rate of the latest two years according to available data. </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Default="00953976" w:rsidP="00953976">
      <w:pPr>
        <w:jc w:val="lowKashida"/>
        <w:rPr>
          <w:sz w:val="16"/>
          <w:szCs w:val="16"/>
        </w:rPr>
      </w:pPr>
    </w:p>
    <w:p w:rsidR="00953976" w:rsidRDefault="00953976" w:rsidP="00953976">
      <w:pPr>
        <w:jc w:val="lowKashida"/>
        <w:rPr>
          <w:sz w:val="24"/>
          <w:szCs w:val="24"/>
        </w:rPr>
      </w:pPr>
      <w:r>
        <w:rPr>
          <w:sz w:val="24"/>
          <w:szCs w:val="24"/>
        </w:rPr>
        <w:t xml:space="preserve">However, the general estimates at the level of the West Bank are statistically accurate and reflect a margin error of </w:t>
      </w:r>
      <w:r w:rsidRPr="00661441">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5" o:title=""/>
          </v:shape>
          <o:OLEObject Type="Embed" ProgID="Equation.3" ShapeID="_x0000_i1025" DrawAspect="Content" ObjectID="_1405157746" r:id="rId16"/>
        </w:object>
      </w:r>
      <w:r>
        <w:rPr>
          <w:rFonts w:hint="cs"/>
          <w:sz w:val="24"/>
          <w:szCs w:val="24"/>
          <w:rtl/>
          <w:lang w:val="en-GB"/>
        </w:rPr>
        <w:t xml:space="preserve"> </w:t>
      </w:r>
      <w:r>
        <w:rPr>
          <w:sz w:val="24"/>
          <w:szCs w:val="24"/>
        </w:rPr>
        <w:t>6%.</w:t>
      </w:r>
    </w:p>
    <w:p w:rsidR="00953976" w:rsidRDefault="00953976" w:rsidP="00953976">
      <w:pPr>
        <w:jc w:val="lowKashida"/>
        <w:rPr>
          <w:sz w:val="16"/>
          <w:szCs w:val="16"/>
        </w:rPr>
      </w:pPr>
    </w:p>
    <w:p w:rsidR="005E1E3C" w:rsidRDefault="005E1E3C" w:rsidP="005E1E3C">
      <w:pPr>
        <w:jc w:val="lowKashida"/>
        <w:rPr>
          <w:sz w:val="16"/>
          <w:szCs w:val="16"/>
        </w:rPr>
      </w:pPr>
    </w:p>
    <w:p w:rsidR="005E1E3C" w:rsidRDefault="00320AFC" w:rsidP="00C36C56">
      <w:pPr>
        <w:pStyle w:val="BodyText2"/>
        <w:ind w:right="-144"/>
        <w:jc w:val="left"/>
        <w:rPr>
          <w:b/>
          <w:bCs/>
        </w:rPr>
      </w:pPr>
      <w:r w:rsidRPr="00511655">
        <w:rPr>
          <w:b/>
          <w:bCs/>
        </w:rPr>
        <w:t>2.</w:t>
      </w:r>
      <w:r>
        <w:rPr>
          <w:b/>
          <w:bCs/>
        </w:rPr>
        <w:t>5</w:t>
      </w:r>
      <w:r w:rsidRPr="00511655">
        <w:rPr>
          <w:b/>
          <w:bCs/>
        </w:rPr>
        <w:t xml:space="preserve"> </w:t>
      </w:r>
      <w:r w:rsidR="005E1E3C">
        <w:rPr>
          <w:b/>
          <w:bCs/>
        </w:rPr>
        <w:t>Technical Notes</w:t>
      </w:r>
    </w:p>
    <w:p w:rsidR="00953976" w:rsidRDefault="00953976" w:rsidP="00612B21">
      <w:pPr>
        <w:numPr>
          <w:ilvl w:val="0"/>
          <w:numId w:val="4"/>
        </w:numPr>
        <w:jc w:val="lowKashida"/>
        <w:rPr>
          <w:sz w:val="24"/>
          <w:szCs w:val="24"/>
        </w:rPr>
      </w:pPr>
      <w:r>
        <w:rPr>
          <w:sz w:val="24"/>
          <w:szCs w:val="24"/>
        </w:rPr>
        <w:t>For the purpose of correlating area with population, a number of settlements in Jerusalem-J1 were joined together in this report. As a result, the number of settlements was reduced from 22 settlements in 2003 to 16 in the period 2004-</w:t>
      </w:r>
      <w:r w:rsidR="00612B21">
        <w:rPr>
          <w:sz w:val="24"/>
          <w:szCs w:val="24"/>
        </w:rPr>
        <w:t>2011</w:t>
      </w:r>
      <w:r>
        <w:rPr>
          <w:sz w:val="24"/>
          <w:szCs w:val="24"/>
        </w:rPr>
        <w:t xml:space="preserve">. It should be emphasized that this decrease does not in any way point to an actual reduction in the number of settlements in that area.   </w:t>
      </w:r>
    </w:p>
    <w:p w:rsidR="00953976" w:rsidRDefault="00953976" w:rsidP="00953976">
      <w:pPr>
        <w:numPr>
          <w:ilvl w:val="0"/>
          <w:numId w:val="4"/>
        </w:numPr>
        <w:jc w:val="lowKashida"/>
        <w:rPr>
          <w:sz w:val="24"/>
          <w:szCs w:val="24"/>
        </w:rPr>
      </w:pPr>
      <w:r>
        <w:rPr>
          <w:sz w:val="24"/>
          <w:szCs w:val="24"/>
        </w:rPr>
        <w:t>There is a lack of coverage of some data from all sources.</w:t>
      </w:r>
    </w:p>
    <w:p w:rsidR="00953976" w:rsidRDefault="00953976" w:rsidP="00953976">
      <w:pPr>
        <w:numPr>
          <w:ilvl w:val="0"/>
          <w:numId w:val="4"/>
        </w:numPr>
        <w:jc w:val="lowKashida"/>
        <w:rPr>
          <w:sz w:val="24"/>
          <w:szCs w:val="24"/>
        </w:rPr>
      </w:pPr>
      <w:r>
        <w:rPr>
          <w:sz w:val="24"/>
          <w:szCs w:val="24"/>
        </w:rPr>
        <w:t>Data derived from the publications of the Israel Central Bureau of Statistics do not include that part of Jerusalem annexed by Israel in 1967, in addition to settlements annexed by Israel from Ramallah and al-Bireh or Hebron governorates.</w:t>
      </w:r>
    </w:p>
    <w:p w:rsidR="00953976" w:rsidRDefault="00953976" w:rsidP="00953976">
      <w:pPr>
        <w:numPr>
          <w:ilvl w:val="0"/>
          <w:numId w:val="4"/>
        </w:numPr>
        <w:jc w:val="lowKashida"/>
        <w:rPr>
          <w:sz w:val="24"/>
          <w:szCs w:val="24"/>
        </w:rPr>
      </w:pPr>
      <w:r>
        <w:rPr>
          <w:sz w:val="24"/>
          <w:szCs w:val="24"/>
        </w:rPr>
        <w:t>The statistics presented in this report are derived from various sources which are not fully consistent and it is therefore advisable to take this into consideration when using these statistics.</w:t>
      </w:r>
    </w:p>
    <w:p w:rsidR="00953976" w:rsidRDefault="00953976" w:rsidP="00953976">
      <w:pPr>
        <w:numPr>
          <w:ilvl w:val="0"/>
          <w:numId w:val="4"/>
        </w:numPr>
        <w:jc w:val="lowKashida"/>
        <w:rPr>
          <w:sz w:val="24"/>
          <w:szCs w:val="24"/>
        </w:rPr>
      </w:pPr>
      <w:r>
        <w:rPr>
          <w:sz w:val="24"/>
          <w:szCs w:val="24"/>
        </w:rPr>
        <w:t xml:space="preserve">The population data of settlements with less than 1000 settlers and the population of settlements in the JI area are not available for </w:t>
      </w:r>
      <w:r>
        <w:rPr>
          <w:rFonts w:cs="Times New Roman"/>
          <w:sz w:val="24"/>
          <w:szCs w:val="24"/>
        </w:rPr>
        <w:t>2007</w:t>
      </w:r>
      <w:r>
        <w:rPr>
          <w:sz w:val="24"/>
          <w:szCs w:val="24"/>
        </w:rPr>
        <w:t>. These data were estimated using the assumptions mentioned previously based on the rate of growth.</w:t>
      </w:r>
    </w:p>
    <w:p w:rsidR="00953976" w:rsidRDefault="00953976" w:rsidP="00953976">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5E1E3C" w:rsidRDefault="005E1E3C" w:rsidP="005E1E3C">
      <w:pPr>
        <w:ind w:right="360"/>
        <w:jc w:val="lowKashida"/>
        <w:rPr>
          <w:sz w:val="24"/>
          <w:szCs w:val="24"/>
        </w:rPr>
      </w:pPr>
    </w:p>
    <w:p w:rsidR="00695FB3" w:rsidRDefault="00695FB3" w:rsidP="005E1E3C">
      <w:pPr>
        <w:pStyle w:val="Title"/>
        <w:rPr>
          <w:b w:val="0"/>
          <w:bCs w:val="0"/>
          <w:sz w:val="24"/>
          <w:szCs w:val="24"/>
        </w:rPr>
      </w:pPr>
    </w:p>
    <w:p w:rsidR="005E1E3C" w:rsidRDefault="005E1E3C" w:rsidP="005E1E3C">
      <w:pPr>
        <w:pStyle w:val="Title"/>
        <w:rPr>
          <w:b w:val="0"/>
          <w:bCs w:val="0"/>
          <w:sz w:val="24"/>
          <w:szCs w:val="24"/>
        </w:rPr>
      </w:pPr>
      <w:r>
        <w:rPr>
          <w:b w:val="0"/>
          <w:bCs w:val="0"/>
          <w:sz w:val="24"/>
          <w:szCs w:val="24"/>
        </w:rPr>
        <w:t>Chapter Three</w:t>
      </w:r>
    </w:p>
    <w:p w:rsidR="005E1E3C" w:rsidRDefault="005E1E3C" w:rsidP="005E1E3C">
      <w:pPr>
        <w:pStyle w:val="Title"/>
        <w:rPr>
          <w:b w:val="0"/>
          <w:bCs w:val="0"/>
          <w:sz w:val="24"/>
          <w:szCs w:val="24"/>
        </w:rPr>
      </w:pPr>
    </w:p>
    <w:p w:rsidR="005E1E3C" w:rsidRDefault="005E1E3C" w:rsidP="005E1E3C">
      <w:pPr>
        <w:pStyle w:val="Title"/>
        <w:rPr>
          <w:szCs w:val="28"/>
        </w:rPr>
      </w:pPr>
      <w:r>
        <w:rPr>
          <w:szCs w:val="28"/>
        </w:rPr>
        <w:t>Concepts and Definitions</w:t>
      </w:r>
    </w:p>
    <w:p w:rsidR="005E1E3C" w:rsidRDefault="005E1E3C" w:rsidP="005E1E3C">
      <w:pPr>
        <w:jc w:val="lowKashida"/>
        <w:rPr>
          <w:b/>
          <w:bCs/>
          <w:sz w:val="24"/>
          <w:szCs w:val="24"/>
        </w:rPr>
      </w:pPr>
    </w:p>
    <w:p w:rsidR="005E1E3C" w:rsidRDefault="005E1E3C" w:rsidP="005E1E3C">
      <w:pPr>
        <w:jc w:val="lowKashida"/>
        <w:rPr>
          <w:sz w:val="24"/>
          <w:szCs w:val="24"/>
          <w:lang w:val="en-GB" w:eastAsia="en-GB"/>
        </w:rPr>
      </w:pPr>
      <w:r>
        <w:rPr>
          <w:b/>
          <w:bCs/>
          <w:sz w:val="24"/>
          <w:szCs w:val="24"/>
        </w:rPr>
        <w:t>A Settlement:</w:t>
      </w:r>
      <w:r>
        <w:rPr>
          <w:sz w:val="24"/>
          <w:szCs w:val="24"/>
          <w:rtl/>
          <w:lang w:val="en-GB" w:eastAsia="en-GB"/>
        </w:rPr>
        <w:tab/>
      </w:r>
    </w:p>
    <w:p w:rsidR="005E1E3C" w:rsidRDefault="005E1E3C" w:rsidP="005E1E3C">
      <w:pPr>
        <w:jc w:val="lowKashida"/>
        <w:rPr>
          <w:sz w:val="24"/>
          <w:szCs w:val="24"/>
        </w:rPr>
      </w:pPr>
      <w:r>
        <w:rPr>
          <w:sz w:val="24"/>
          <w:szCs w:val="24"/>
        </w:rPr>
        <w:t xml:space="preserve">A settlement, which is considered by the Israeli occupation as legal settlement and meets locality conditions. The Israeli Central Bureau of Statistics defines a locality as follows: </w:t>
      </w:r>
    </w:p>
    <w:p w:rsidR="005E1E3C" w:rsidRDefault="005E1E3C" w:rsidP="005E1E3C">
      <w:pPr>
        <w:jc w:val="lowKashida"/>
        <w:rPr>
          <w:sz w:val="24"/>
          <w:szCs w:val="24"/>
        </w:rPr>
      </w:pPr>
      <w:r>
        <w:rPr>
          <w:sz w:val="24"/>
          <w:szCs w:val="24"/>
        </w:rPr>
        <w:t>An inhabited place according to the following criteria:</w:t>
      </w:r>
    </w:p>
    <w:p w:rsidR="005E1E3C" w:rsidRDefault="005E1E3C" w:rsidP="005E1E3C">
      <w:pPr>
        <w:numPr>
          <w:ilvl w:val="0"/>
          <w:numId w:val="3"/>
        </w:numPr>
        <w:jc w:val="lowKashida"/>
        <w:rPr>
          <w:sz w:val="24"/>
          <w:szCs w:val="24"/>
        </w:rPr>
      </w:pPr>
      <w:r>
        <w:rPr>
          <w:sz w:val="24"/>
          <w:szCs w:val="24"/>
        </w:rPr>
        <w:t>Mainly has 20 or more inhabitants.</w:t>
      </w:r>
    </w:p>
    <w:p w:rsidR="005E1E3C" w:rsidRDefault="005E1E3C" w:rsidP="005E1E3C">
      <w:pPr>
        <w:numPr>
          <w:ilvl w:val="0"/>
          <w:numId w:val="3"/>
        </w:numPr>
        <w:jc w:val="lowKashida"/>
        <w:rPr>
          <w:sz w:val="24"/>
          <w:szCs w:val="24"/>
        </w:rPr>
      </w:pPr>
      <w:r>
        <w:rPr>
          <w:sz w:val="24"/>
          <w:szCs w:val="24"/>
        </w:rPr>
        <w:t>Self-ruled.</w:t>
      </w:r>
    </w:p>
    <w:p w:rsidR="005E1E3C" w:rsidRDefault="005E1E3C" w:rsidP="005E1E3C">
      <w:pPr>
        <w:numPr>
          <w:ilvl w:val="0"/>
          <w:numId w:val="3"/>
        </w:numPr>
        <w:jc w:val="lowKashida"/>
        <w:rPr>
          <w:sz w:val="24"/>
          <w:szCs w:val="24"/>
        </w:rPr>
      </w:pPr>
      <w:r>
        <w:rPr>
          <w:sz w:val="24"/>
          <w:szCs w:val="24"/>
        </w:rPr>
        <w:t>Not included in the formal borders of another locality.</w:t>
      </w:r>
    </w:p>
    <w:p w:rsidR="005E1E3C" w:rsidRDefault="005E1E3C" w:rsidP="005E1E3C">
      <w:pPr>
        <w:numPr>
          <w:ilvl w:val="0"/>
          <w:numId w:val="3"/>
        </w:numPr>
        <w:jc w:val="lowKashida"/>
        <w:rPr>
          <w:sz w:val="24"/>
          <w:szCs w:val="24"/>
        </w:rPr>
      </w:pPr>
      <w:r>
        <w:rPr>
          <w:sz w:val="24"/>
          <w:szCs w:val="24"/>
        </w:rPr>
        <w:t xml:space="preserve">Formally recognized.  </w:t>
      </w:r>
    </w:p>
    <w:p w:rsidR="005E1E3C" w:rsidRDefault="005E1E3C" w:rsidP="005E1E3C">
      <w:pPr>
        <w:jc w:val="lowKashida"/>
        <w:rPr>
          <w:sz w:val="24"/>
          <w:szCs w:val="24"/>
        </w:rPr>
      </w:pPr>
      <w:r>
        <w:rPr>
          <w:sz w:val="24"/>
          <w:szCs w:val="24"/>
        </w:rPr>
        <w:t xml:space="preserve">In addition to the settlements and Jewish neighborhoods; located in Jerusalem (J1). </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b/>
          <w:bCs/>
          <w:sz w:val="24"/>
          <w:szCs w:val="24"/>
          <w:rtl/>
          <w:lang w:val="en-GB"/>
        </w:rPr>
      </w:pPr>
      <w:r>
        <w:rPr>
          <w:b/>
          <w:bCs/>
          <w:sz w:val="24"/>
          <w:szCs w:val="24"/>
        </w:rPr>
        <w:t>Outpost:</w:t>
      </w:r>
    </w:p>
    <w:p w:rsidR="005E1E3C" w:rsidRDefault="005E1E3C" w:rsidP="005E1E3C">
      <w:pPr>
        <w:tabs>
          <w:tab w:val="left" w:pos="2155"/>
          <w:tab w:val="left" w:pos="9242"/>
        </w:tabs>
        <w:jc w:val="lowKashida"/>
        <w:rPr>
          <w:sz w:val="24"/>
          <w:szCs w:val="24"/>
          <w:lang w:val="en-GB" w:eastAsia="en-GB"/>
        </w:rPr>
      </w:pPr>
      <w:r>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Default="005E1E3C" w:rsidP="005E1E3C">
      <w:pPr>
        <w:tabs>
          <w:tab w:val="left" w:pos="2155"/>
          <w:tab w:val="left" w:pos="9242"/>
        </w:tabs>
        <w:jc w:val="lowKashida"/>
        <w:rPr>
          <w:sz w:val="24"/>
          <w:szCs w:val="24"/>
        </w:rPr>
      </w:pPr>
      <w:r>
        <w:rPr>
          <w:b/>
          <w:bCs/>
          <w:sz w:val="24"/>
          <w:szCs w:val="24"/>
        </w:rPr>
        <w:tab/>
      </w:r>
    </w:p>
    <w:p w:rsidR="005E1E3C" w:rsidRDefault="005E1E3C" w:rsidP="005E1E3C">
      <w:pPr>
        <w:tabs>
          <w:tab w:val="left" w:pos="2155"/>
          <w:tab w:val="left" w:pos="9242"/>
        </w:tabs>
        <w:jc w:val="lowKashida"/>
        <w:rPr>
          <w:b/>
          <w:bCs/>
          <w:sz w:val="24"/>
          <w:szCs w:val="24"/>
        </w:rPr>
      </w:pPr>
      <w:r>
        <w:rPr>
          <w:b/>
          <w:bCs/>
          <w:sz w:val="24"/>
          <w:szCs w:val="24"/>
        </w:rPr>
        <w:t>Occupation Site:</w:t>
      </w:r>
    </w:p>
    <w:p w:rsidR="005E1E3C" w:rsidRDefault="005E1E3C" w:rsidP="005E1E3C">
      <w:pPr>
        <w:tabs>
          <w:tab w:val="left" w:pos="2155"/>
          <w:tab w:val="left" w:pos="9242"/>
        </w:tabs>
        <w:jc w:val="lowKashida"/>
        <w:rPr>
          <w:sz w:val="24"/>
          <w:szCs w:val="24"/>
          <w:lang w:val="en-GB" w:eastAsia="en-GB"/>
        </w:rPr>
      </w:pPr>
      <w:r>
        <w:rPr>
          <w:sz w:val="24"/>
          <w:szCs w:val="24"/>
        </w:rPr>
        <w:t>Includes settlements, outposts, military settlements, semi-military settlements, agricultural settlements, Israeli industrial areas and Israeli military bases.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Yesha Council:</w:t>
      </w:r>
    </w:p>
    <w:p w:rsidR="005E1E3C" w:rsidRDefault="005E1E3C" w:rsidP="005E1E3C">
      <w:pPr>
        <w:tabs>
          <w:tab w:val="left" w:pos="2155"/>
          <w:tab w:val="left" w:pos="9242"/>
        </w:tabs>
        <w:jc w:val="lowKashida"/>
        <w:rPr>
          <w:sz w:val="24"/>
          <w:szCs w:val="24"/>
          <w:lang w:val="en-GB"/>
        </w:rPr>
      </w:pPr>
      <w:r>
        <w:rPr>
          <w:sz w:val="24"/>
          <w:szCs w:val="24"/>
        </w:rPr>
        <w:t>It refers to the council that represents settlers in the West Bank except that part of Jerusalem which was forcefully Annexed by Israel following its occupation of the West Bank in 1967. Yesha is also the representing body of a number of regional councils.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rStyle w:val="LatinChar0"/>
          <w:b/>
          <w:bCs/>
          <w:lang w:val="en-GB" w:eastAsia="en-GB"/>
        </w:rPr>
      </w:pPr>
      <w:r>
        <w:rPr>
          <w:rStyle w:val="LatinChar0"/>
          <w:b/>
          <w:bCs/>
          <w:sz w:val="24"/>
          <w:szCs w:val="24"/>
          <w:lang w:val="en-GB" w:eastAsia="en-GB"/>
        </w:rPr>
        <w:t xml:space="preserve">Regional Council:  </w:t>
      </w:r>
    </w:p>
    <w:p w:rsidR="005E1E3C" w:rsidRDefault="005E1E3C" w:rsidP="005E1E3C">
      <w:pPr>
        <w:tabs>
          <w:tab w:val="left" w:pos="2155"/>
          <w:tab w:val="left" w:pos="9242"/>
        </w:tabs>
        <w:jc w:val="lowKashida"/>
        <w:rPr>
          <w:sz w:val="24"/>
          <w:szCs w:val="24"/>
        </w:rPr>
      </w:pPr>
      <w:r>
        <w:rPr>
          <w:sz w:val="24"/>
          <w:szCs w:val="24"/>
        </w:rPr>
        <w:t>It’s an administrative authority representing a number of settlements.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Built –Up land in the Occupation Site:</w:t>
      </w:r>
    </w:p>
    <w:p w:rsidR="005E1E3C" w:rsidRDefault="005E1E3C" w:rsidP="005E1E3C">
      <w:pPr>
        <w:tabs>
          <w:tab w:val="left" w:pos="2155"/>
          <w:tab w:val="left" w:pos="9242"/>
        </w:tabs>
        <w:jc w:val="lowKashida"/>
        <w:rPr>
          <w:sz w:val="24"/>
          <w:szCs w:val="24"/>
        </w:rPr>
      </w:pPr>
      <w:r>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rFonts w:cs="Times New Roman"/>
          <w:b/>
          <w:bCs/>
          <w:sz w:val="24"/>
          <w:szCs w:val="24"/>
        </w:rPr>
        <w:t xml:space="preserve">Urban Settlement:  </w:t>
      </w:r>
    </w:p>
    <w:p w:rsidR="005E1E3C" w:rsidRDefault="005E1E3C" w:rsidP="005E1E3C">
      <w:pPr>
        <w:tabs>
          <w:tab w:val="left" w:pos="2155"/>
          <w:tab w:val="left" w:pos="9242"/>
        </w:tabs>
        <w:jc w:val="lowKashida"/>
        <w:rPr>
          <w:sz w:val="24"/>
          <w:szCs w:val="24"/>
        </w:rPr>
      </w:pPr>
      <w:r>
        <w:rPr>
          <w:sz w:val="24"/>
          <w:szCs w:val="24"/>
        </w:rPr>
        <w:t>It’s a settlement that has 2000 or more inhabitants, beside those settlements located inside Jerusalem area (J1), which are classified as urban settlements regardless of the number of population.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sz w:val="24"/>
          <w:szCs w:val="24"/>
          <w:lang w:val="en-GB"/>
        </w:rPr>
      </w:pPr>
      <w:r>
        <w:rPr>
          <w:b/>
          <w:bCs/>
          <w:sz w:val="24"/>
          <w:szCs w:val="24"/>
        </w:rPr>
        <w:t>Rural Settlement:</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D30BD4" w:rsidRDefault="007E53F5"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r>
        <w:rPr>
          <w:b/>
          <w:bCs/>
          <w:sz w:val="24"/>
          <w:szCs w:val="24"/>
        </w:rPr>
        <w:t>Moshav:</w:t>
      </w:r>
      <w:r>
        <w:rPr>
          <w:sz w:val="24"/>
          <w:szCs w:val="24"/>
          <w:rtl/>
          <w:lang w:val="en-GB"/>
        </w:rPr>
        <w:tab/>
      </w:r>
    </w:p>
    <w:p w:rsidR="005E1E3C" w:rsidRDefault="005E1E3C" w:rsidP="005E1E3C">
      <w:pPr>
        <w:tabs>
          <w:tab w:val="left" w:pos="2155"/>
          <w:tab w:val="left" w:pos="9242"/>
        </w:tabs>
        <w:jc w:val="lowKashida"/>
        <w:rPr>
          <w:sz w:val="24"/>
          <w:szCs w:val="24"/>
        </w:rPr>
      </w:pPr>
      <w:r>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Pr>
          <w:sz w:val="24"/>
          <w:szCs w:val="24"/>
        </w:rPr>
        <w:lastRenderedPageBreak/>
        <w:t>production and economic administration of the moshav is handled by the cooperative association, and the residents determine the degree of cooperation.</w:t>
      </w:r>
    </w:p>
    <w:p w:rsidR="005E1E3C" w:rsidRPr="00D30BD4" w:rsidRDefault="005E1E3C" w:rsidP="005E1E3C">
      <w:pPr>
        <w:tabs>
          <w:tab w:val="left" w:pos="2155"/>
          <w:tab w:val="left" w:pos="9242"/>
        </w:tabs>
        <w:jc w:val="lowKashida"/>
        <w:rPr>
          <w:b/>
          <w:bCs/>
          <w:sz w:val="18"/>
          <w:szCs w:val="18"/>
        </w:rPr>
      </w:pPr>
    </w:p>
    <w:p w:rsidR="005E1E3C" w:rsidRDefault="005E1E3C" w:rsidP="005E1E3C">
      <w:pPr>
        <w:tabs>
          <w:tab w:val="left" w:pos="2155"/>
          <w:tab w:val="left" w:pos="9242"/>
        </w:tabs>
        <w:jc w:val="lowKashida"/>
        <w:rPr>
          <w:sz w:val="24"/>
          <w:szCs w:val="24"/>
          <w:lang w:val="en-GB"/>
        </w:rPr>
      </w:pPr>
      <w:r>
        <w:rPr>
          <w:b/>
          <w:bCs/>
          <w:sz w:val="24"/>
          <w:szCs w:val="24"/>
        </w:rPr>
        <w:t>Collective Moshav:</w:t>
      </w:r>
    </w:p>
    <w:p w:rsidR="005E1E3C" w:rsidRDefault="005E1E3C" w:rsidP="005E1E3C">
      <w:pPr>
        <w:tabs>
          <w:tab w:val="left" w:pos="2155"/>
          <w:tab w:val="left" w:pos="9242"/>
        </w:tabs>
        <w:jc w:val="lowKashida"/>
        <w:rPr>
          <w:sz w:val="24"/>
          <w:szCs w:val="24"/>
        </w:rPr>
      </w:pPr>
      <w:r>
        <w:rPr>
          <w:sz w:val="24"/>
          <w:szCs w:val="24"/>
        </w:rPr>
        <w:t>It refers to a collective rural settlement where production and marketing are cooperative and consumption is private.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Kibbutz:</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collective rural settlement with cooperative production, marketing, and consumption.</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Institutional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an institution, which has the characteristics of a settlement but is not within the administrative boundaries of another settlement.</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Communal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tabs>
          <w:tab w:val="left" w:pos="2155"/>
          <w:tab w:val="left" w:pos="9242"/>
        </w:tabs>
        <w:jc w:val="lowKashida"/>
        <w:rPr>
          <w:b/>
          <w:bCs/>
          <w:sz w:val="24"/>
          <w:szCs w:val="24"/>
        </w:rPr>
      </w:pPr>
      <w:r>
        <w:rPr>
          <w:b/>
          <w:bCs/>
          <w:sz w:val="24"/>
          <w:szCs w:val="24"/>
        </w:rPr>
        <w:t>Other Rural Settlement:</w:t>
      </w:r>
      <w:r>
        <w:rPr>
          <w:b/>
          <w:bCs/>
          <w:sz w:val="24"/>
          <w:szCs w:val="24"/>
        </w:rPr>
        <w:tab/>
      </w:r>
    </w:p>
    <w:p w:rsidR="005E1E3C" w:rsidRDefault="005E1E3C" w:rsidP="005E1E3C">
      <w:pPr>
        <w:tabs>
          <w:tab w:val="left" w:pos="2155"/>
          <w:tab w:val="left" w:pos="9242"/>
        </w:tabs>
        <w:jc w:val="lowKashida"/>
        <w:rPr>
          <w:sz w:val="24"/>
          <w:szCs w:val="24"/>
        </w:rPr>
      </w:pPr>
      <w:r>
        <w:rPr>
          <w:sz w:val="24"/>
          <w:szCs w:val="24"/>
        </w:rPr>
        <w:t>It’s a settlement that has less than 2,000 inhabitants and not found in any type of the settlements above.</w:t>
      </w:r>
    </w:p>
    <w:p w:rsidR="005E1E3C" w:rsidRPr="00D30BD4" w:rsidRDefault="005E1E3C" w:rsidP="005E1E3C">
      <w:pPr>
        <w:tabs>
          <w:tab w:val="left" w:pos="2155"/>
          <w:tab w:val="left" w:pos="9242"/>
        </w:tabs>
        <w:jc w:val="lowKashida"/>
        <w:rPr>
          <w:b/>
          <w:bCs/>
          <w:sz w:val="18"/>
          <w:szCs w:val="18"/>
        </w:rPr>
      </w:pPr>
      <w:r w:rsidRPr="00D30BD4">
        <w:rPr>
          <w:b/>
          <w:bCs/>
          <w:sz w:val="18"/>
          <w:szCs w:val="18"/>
        </w:rPr>
        <w:tab/>
      </w:r>
    </w:p>
    <w:p w:rsidR="005E1E3C" w:rsidRDefault="005E1E3C" w:rsidP="005E1E3C">
      <w:pPr>
        <w:pStyle w:val="BodyText"/>
        <w:rPr>
          <w:b/>
          <w:bCs/>
          <w:szCs w:val="24"/>
        </w:rPr>
      </w:pPr>
      <w:r>
        <w:rPr>
          <w:b/>
          <w:bCs/>
          <w:szCs w:val="24"/>
        </w:rPr>
        <w:t>Geographical Dispersion:</w:t>
      </w:r>
    </w:p>
    <w:p w:rsidR="005E1E3C" w:rsidRDefault="005E1E3C" w:rsidP="005E1E3C">
      <w:pPr>
        <w:pStyle w:val="BodyText"/>
        <w:rPr>
          <w:szCs w:val="24"/>
        </w:rPr>
      </w:pPr>
      <w:r>
        <w:rPr>
          <w:szCs w:val="24"/>
        </w:rPr>
        <w:t xml:space="preserve">This classification divides the West Bank into four areas (strips): the mountain strip, the western hills strip, and greater Jerusalem strip.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 xml:space="preserve">The Mountain Strip:  the area on or adjacent to the peaks of the mountain range. This area is also known as the watershed line or the mountain-peak area. </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The Western Hills Strip:  includes the western slopes of the mountain range, and extends to the Green Line to the west.</w:t>
      </w:r>
    </w:p>
    <w:p w:rsidR="005E1E3C" w:rsidRPr="00D30BD4" w:rsidRDefault="005E1E3C" w:rsidP="00D30BD4">
      <w:pPr>
        <w:tabs>
          <w:tab w:val="left" w:pos="2155"/>
          <w:tab w:val="left" w:pos="9242"/>
        </w:tabs>
        <w:jc w:val="lowKashida"/>
        <w:rPr>
          <w:b/>
          <w:bCs/>
          <w:sz w:val="18"/>
          <w:szCs w:val="18"/>
        </w:rPr>
      </w:pPr>
    </w:p>
    <w:p w:rsidR="005E1E3C" w:rsidRDefault="005E1E3C" w:rsidP="005E1E3C">
      <w:pPr>
        <w:jc w:val="lowKashida"/>
        <w:rPr>
          <w:sz w:val="24"/>
          <w:szCs w:val="24"/>
        </w:rPr>
      </w:pPr>
      <w:r>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D30BD4" w:rsidRDefault="007E53F5" w:rsidP="00D30BD4">
      <w:pPr>
        <w:tabs>
          <w:tab w:val="left" w:pos="2155"/>
          <w:tab w:val="left" w:pos="9242"/>
        </w:tabs>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b/>
          <w:bCs/>
          <w:noProof w:val="0"/>
          <w:sz w:val="24"/>
        </w:rPr>
      </w:pPr>
      <w:r>
        <w:rPr>
          <w:b/>
          <w:bCs/>
          <w:sz w:val="24"/>
        </w:rPr>
        <w:t>Average altitude (Meters):</w:t>
      </w:r>
      <w:r>
        <w:rPr>
          <w:b/>
          <w:bCs/>
          <w:noProof w:val="0"/>
          <w:sz w:val="24"/>
        </w:rPr>
        <w:tab/>
      </w:r>
    </w:p>
    <w:p w:rsidR="005E1E3C" w:rsidRDefault="005E1E3C" w:rsidP="005E1E3C">
      <w:pPr>
        <w:jc w:val="lowKashida"/>
        <w:rPr>
          <w:sz w:val="24"/>
          <w:szCs w:val="24"/>
        </w:rPr>
      </w:pPr>
      <w:r>
        <w:rPr>
          <w:sz w:val="24"/>
          <w:szCs w:val="24"/>
        </w:rPr>
        <w:t>The average height of land above the level of the Sea (meter) in relation to main population center.</w:t>
      </w:r>
    </w:p>
    <w:p w:rsidR="002F175E" w:rsidRPr="002F175E"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Pr>
          <w:b/>
          <w:bCs/>
          <w:sz w:val="24"/>
        </w:rPr>
        <w:t>Jerusalem (J1):</w:t>
      </w:r>
      <w:r>
        <w:rPr>
          <w:rFonts w:cs="Times New Roman"/>
          <w:b/>
          <w:bCs/>
          <w:noProof w:val="0"/>
          <w:sz w:val="24"/>
          <w:lang w:eastAsia="ar-SA"/>
        </w:rPr>
        <w:tab/>
      </w:r>
    </w:p>
    <w:p w:rsidR="005E1E3C" w:rsidRDefault="00610347" w:rsidP="00C75F1E">
      <w:pPr>
        <w:jc w:val="lowKashida"/>
        <w:rPr>
          <w:sz w:val="24"/>
          <w:szCs w:val="24"/>
        </w:rPr>
      </w:pPr>
      <w:r>
        <w:rPr>
          <w:sz w:val="24"/>
          <w:szCs w:val="24"/>
        </w:rPr>
        <w:t xml:space="preserve">Those </w:t>
      </w:r>
      <w:r w:rsidR="005E1E3C">
        <w:rPr>
          <w:sz w:val="24"/>
          <w:szCs w:val="24"/>
        </w:rPr>
        <w:t>part</w:t>
      </w:r>
      <w:r>
        <w:rPr>
          <w:sz w:val="24"/>
          <w:szCs w:val="24"/>
        </w:rPr>
        <w:t>s</w:t>
      </w:r>
      <w:r w:rsidR="005E1E3C">
        <w:rPr>
          <w:sz w:val="24"/>
          <w:szCs w:val="24"/>
        </w:rPr>
        <w:t xml:space="preserve"> of Jerusalem, which </w:t>
      </w:r>
      <w:r>
        <w:rPr>
          <w:sz w:val="24"/>
          <w:szCs w:val="24"/>
        </w:rPr>
        <w:t>were</w:t>
      </w:r>
      <w:r w:rsidR="009C6DD2">
        <w:rPr>
          <w:sz w:val="24"/>
          <w:szCs w:val="24"/>
        </w:rPr>
        <w:t xml:space="preserve"> annexed by Israel in 1967.  The</w:t>
      </w:r>
      <w:r w:rsidR="005E1E3C">
        <w:rPr>
          <w:sz w:val="24"/>
          <w:szCs w:val="24"/>
        </w:rPr>
        <w:t>s</w:t>
      </w:r>
      <w:r w:rsidR="009C6DD2">
        <w:rPr>
          <w:sz w:val="24"/>
          <w:szCs w:val="24"/>
        </w:rPr>
        <w:t>e</w:t>
      </w:r>
      <w:r w:rsidR="005E1E3C">
        <w:rPr>
          <w:sz w:val="24"/>
          <w:szCs w:val="24"/>
        </w:rPr>
        <w:t xml:space="preserve"> part</w:t>
      </w:r>
      <w:r w:rsidR="009C6DD2">
        <w:rPr>
          <w:sz w:val="24"/>
          <w:szCs w:val="24"/>
        </w:rPr>
        <w:t>s</w:t>
      </w:r>
      <w:r w:rsidR="00FF429D">
        <w:rPr>
          <w:sz w:val="24"/>
          <w:szCs w:val="24"/>
        </w:rPr>
        <w:t xml:space="preserve"> include</w:t>
      </w:r>
      <w:r w:rsidR="005E1E3C">
        <w:rPr>
          <w:sz w:val="24"/>
          <w:szCs w:val="24"/>
        </w:rPr>
        <w:t xml:space="preserve"> the following localities: (Beit Hanina, Shu’fat Refugees Camp, Shu’fat, Al’ Isawiya, Sheikh </w:t>
      </w:r>
      <w:r w:rsidR="005E1E3C">
        <w:rPr>
          <w:sz w:val="24"/>
          <w:szCs w:val="24"/>
        </w:rPr>
        <w:lastRenderedPageBreak/>
        <w:t>Jarrah, Wadi Al - Joz, Bab</w:t>
      </w:r>
      <w:r w:rsidR="00C75F1E">
        <w:rPr>
          <w:sz w:val="24"/>
          <w:szCs w:val="24"/>
        </w:rPr>
        <w:t xml:space="preserve"> </w:t>
      </w:r>
      <w:r w:rsidR="005E1E3C">
        <w:rPr>
          <w:sz w:val="24"/>
          <w:szCs w:val="24"/>
        </w:rPr>
        <w:t>Al-Sahira, As Suwwana, At -Tur, Jerusalem “Al - Quds”, Ash - Shayyah, Ras Al-Amud, Silwan, Ath – Thuri, Jabal Al – Mukabbir, As – Sawahira Al – Gharbiya, Beit Safafa, Sharafat, Sur Bahir, and Um Tuba, Kufr A’qab).</w:t>
      </w:r>
    </w:p>
    <w:p w:rsidR="005E1E3C" w:rsidRPr="00D30BD4" w:rsidRDefault="005E1E3C" w:rsidP="00D30BD4">
      <w:pPr>
        <w:tabs>
          <w:tab w:val="left" w:pos="2155"/>
          <w:tab w:val="left" w:pos="9242"/>
        </w:tabs>
        <w:jc w:val="lowKashida"/>
        <w:rPr>
          <w:b/>
          <w:bCs/>
          <w:sz w:val="18"/>
          <w:szCs w:val="18"/>
        </w:rPr>
      </w:pPr>
      <w:r w:rsidRPr="00D30BD4">
        <w:rPr>
          <w:b/>
          <w:bCs/>
          <w:sz w:val="18"/>
          <w:szCs w:val="18"/>
        </w:rPr>
        <w:tab/>
      </w:r>
      <w:r w:rsidRPr="00D30BD4">
        <w:rPr>
          <w:b/>
          <w:bCs/>
          <w:sz w:val="18"/>
          <w:szCs w:val="18"/>
        </w:rPr>
        <w:tab/>
      </w:r>
    </w:p>
    <w:p w:rsidR="005E1E3C" w:rsidRDefault="005E1E3C" w:rsidP="005E1E3C">
      <w:pPr>
        <w:jc w:val="lowKashida"/>
        <w:rPr>
          <w:b/>
          <w:bCs/>
          <w:sz w:val="24"/>
          <w:szCs w:val="24"/>
        </w:rPr>
      </w:pPr>
      <w:r>
        <w:rPr>
          <w:b/>
          <w:bCs/>
          <w:sz w:val="24"/>
          <w:szCs w:val="24"/>
        </w:rPr>
        <w:t>Jerusalem (J2):</w:t>
      </w:r>
    </w:p>
    <w:p w:rsidR="005E1E3C" w:rsidRDefault="005E1E3C" w:rsidP="005E1E3C">
      <w:pPr>
        <w:jc w:val="lowKashida"/>
        <w:rPr>
          <w:sz w:val="24"/>
          <w:szCs w:val="24"/>
        </w:rPr>
      </w:pPr>
      <w:bookmarkStart w:id="0" w:name="OLE_LINK2"/>
      <w:r>
        <w:rPr>
          <w:sz w:val="24"/>
          <w:szCs w:val="24"/>
        </w:rPr>
        <w:t>Includes the remaining parts of Jerusalem governorate</w:t>
      </w:r>
      <w:bookmarkEnd w:id="0"/>
      <w:r>
        <w:rPr>
          <w:sz w:val="24"/>
          <w:szCs w:val="24"/>
        </w:rPr>
        <w:t>, namely: Rafat, Mikhmas, Qalandya Refugee Camp, the Bedouin Community-Jaba’, Qalandya, Beit Duqqu, Jaba’, Al-Judeira, Beit Anan, Al-Ram, Dahiat Al-Bareed, Al-Jib, Bir Nabala, Beit Ijza, Al-Qubeiba, Khirbet Um Al-Lahem, Biddu, An-Nabi Samu’eil, Hizma, Beit Hanina Al Tehta, Qatanna, Beit Surik, Beit Iksa, A’nata, The Bedouin Community – Al-Khan Al-Ahmar, Az Za’eem, Al-Sawahreh Al- Sharqiyeh, Ash-Sheikh Sa’d, The Bedouin Communities. Al-Eizariya, Abu Dis.</w:t>
      </w:r>
      <w:r>
        <w:rPr>
          <w:sz w:val="24"/>
          <w:szCs w:val="24"/>
        </w:rPr>
        <w:tab/>
      </w:r>
    </w:p>
    <w:p w:rsidR="005E1E3C" w:rsidRPr="00D30BD4" w:rsidRDefault="005E1E3C" w:rsidP="00D30BD4">
      <w:pPr>
        <w:tabs>
          <w:tab w:val="left" w:pos="2155"/>
          <w:tab w:val="left" w:pos="9242"/>
        </w:tabs>
        <w:jc w:val="lowKashida"/>
        <w:rPr>
          <w:b/>
          <w:bCs/>
          <w:sz w:val="18"/>
          <w:szCs w:val="18"/>
        </w:rPr>
      </w:pPr>
      <w:r w:rsidRPr="00D30BD4">
        <w:rPr>
          <w:b/>
          <w:bCs/>
          <w:sz w:val="18"/>
          <w:szCs w:val="18"/>
        </w:rPr>
        <w:tab/>
      </w:r>
    </w:p>
    <w:p w:rsidR="005E1E3C" w:rsidRDefault="005E1E3C" w:rsidP="005E1E3C">
      <w:pPr>
        <w:pStyle w:val="TxBrp3"/>
        <w:tabs>
          <w:tab w:val="clear" w:pos="1116"/>
          <w:tab w:val="left" w:pos="854"/>
        </w:tabs>
        <w:spacing w:line="283" w:lineRule="exact"/>
        <w:ind w:left="0"/>
        <w:jc w:val="lowKashida"/>
        <w:rPr>
          <w:b/>
          <w:bCs/>
          <w:sz w:val="24"/>
        </w:rPr>
      </w:pPr>
      <w:r>
        <w:rPr>
          <w:b/>
          <w:bCs/>
          <w:sz w:val="24"/>
        </w:rPr>
        <w:t>A set of special symbols was used in the tables of this report</w:t>
      </w:r>
    </w:p>
    <w:p w:rsidR="005E1E3C" w:rsidRDefault="005E1E3C" w:rsidP="005E1E3C">
      <w:pPr>
        <w:jc w:val="lowKashida"/>
        <w:rPr>
          <w:sz w:val="24"/>
          <w:szCs w:val="24"/>
        </w:rPr>
      </w:pPr>
      <w:r>
        <w:rPr>
          <w:sz w:val="24"/>
          <w:szCs w:val="24"/>
        </w:rPr>
        <w:t>(-):</w:t>
      </w:r>
      <w:r>
        <w:rPr>
          <w:sz w:val="24"/>
          <w:szCs w:val="24"/>
        </w:rPr>
        <w:tab/>
        <w:t>Nil</w:t>
      </w:r>
    </w:p>
    <w:p w:rsidR="005E1E3C" w:rsidRDefault="005E1E3C" w:rsidP="005E1E3C">
      <w:pPr>
        <w:jc w:val="lowKashida"/>
        <w:rPr>
          <w:sz w:val="24"/>
          <w:szCs w:val="24"/>
        </w:rPr>
      </w:pPr>
      <w:r>
        <w:rPr>
          <w:sz w:val="24"/>
          <w:szCs w:val="24"/>
        </w:rPr>
        <w:t>(..):</w:t>
      </w:r>
      <w:r>
        <w:rPr>
          <w:sz w:val="24"/>
          <w:szCs w:val="24"/>
        </w:rPr>
        <w:tab/>
        <w:t>Data not available</w:t>
      </w:r>
    </w:p>
    <w:p w:rsidR="005E1E3C" w:rsidRDefault="005E1E3C" w:rsidP="005E1E3C">
      <w:pPr>
        <w:jc w:val="lowKashida"/>
        <w:rPr>
          <w:sz w:val="24"/>
          <w:szCs w:val="24"/>
        </w:rPr>
      </w:pPr>
      <w:r>
        <w:rPr>
          <w:sz w:val="24"/>
          <w:szCs w:val="24"/>
        </w:rPr>
        <w:t xml:space="preserve">(R):      Revised Figures </w:t>
      </w: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r>
        <w:rPr>
          <w:rFonts w:cs="Times New Roman"/>
          <w:noProof w:val="0"/>
        </w:rPr>
        <w:br w:type="page"/>
      </w:r>
    </w:p>
    <w:p w:rsidR="005E1E3C" w:rsidRDefault="00DC48A1" w:rsidP="005E1E3C">
      <w:pPr>
        <w:pStyle w:val="BodyText2"/>
        <w:ind w:right="-144"/>
        <w:jc w:val="center"/>
        <w:rPr>
          <w:b/>
          <w:bCs/>
          <w:sz w:val="28"/>
          <w:szCs w:val="28"/>
        </w:rPr>
      </w:pPr>
      <w:r>
        <w:rPr>
          <w:b/>
          <w:bCs/>
          <w:sz w:val="28"/>
          <w:szCs w:val="28"/>
        </w:rPr>
        <w:lastRenderedPageBreak/>
        <w:br w:type="page"/>
      </w:r>
      <w:r w:rsidR="005E1E3C">
        <w:rPr>
          <w:b/>
          <w:bCs/>
          <w:sz w:val="28"/>
          <w:szCs w:val="28"/>
        </w:rPr>
        <w:lastRenderedPageBreak/>
        <w:t>References</w:t>
      </w:r>
    </w:p>
    <w:p w:rsidR="005E1E3C" w:rsidRDefault="005E1E3C" w:rsidP="005E1E3C">
      <w:pPr>
        <w:pStyle w:val="BodyText2"/>
        <w:ind w:left="288" w:right="70"/>
        <w:jc w:val="left"/>
        <w:rPr>
          <w:b/>
          <w:bCs/>
        </w:rPr>
      </w:pPr>
    </w:p>
    <w:p w:rsidR="005E1E3C" w:rsidRDefault="005E1E3C" w:rsidP="00612B21">
      <w:pPr>
        <w:pStyle w:val="BodyText2"/>
        <w:numPr>
          <w:ilvl w:val="0"/>
          <w:numId w:val="6"/>
        </w:numPr>
        <w:ind w:right="1"/>
      </w:pPr>
      <w:r>
        <w:t xml:space="preserve">Palestinian Central Bureau of Statistics, </w:t>
      </w:r>
      <w:r w:rsidR="00612B21">
        <w:t>2012</w:t>
      </w:r>
      <w:r>
        <w:t>.  Israeli Colonizing and Land Grab Database (Unpublished Data). Ramallah- Palestine.</w:t>
      </w:r>
    </w:p>
    <w:p w:rsidR="007413FA" w:rsidRDefault="007413FA" w:rsidP="005E1E3C">
      <w:pPr>
        <w:pStyle w:val="BodyText2"/>
        <w:numPr>
          <w:ilvl w:val="0"/>
          <w:numId w:val="6"/>
        </w:numPr>
        <w:ind w:right="1"/>
      </w:pPr>
      <w:r w:rsidRPr="007413FA">
        <w:t>Palestinian Central Bureau of Statistics, 2012. Revised Estimates based on the final results of Population, Housing and Establishment Census 2007. Ramallah-Palestine</w:t>
      </w:r>
    </w:p>
    <w:p w:rsidR="005E1E3C" w:rsidRDefault="005E1E3C" w:rsidP="005E1E3C">
      <w:pPr>
        <w:pStyle w:val="BodyText2"/>
        <w:numPr>
          <w:ilvl w:val="0"/>
          <w:numId w:val="6"/>
        </w:numPr>
        <w:ind w:right="1"/>
      </w:pPr>
      <w:r>
        <w:t>PLO Negotiations Affairs Department, July 2009.Barrier to Peace:  Assessment of Israel’s Barrier Route.  Ramallah-Palestine.</w:t>
      </w:r>
    </w:p>
    <w:p w:rsidR="005E1E3C" w:rsidRDefault="005E1E3C" w:rsidP="005E1E3C">
      <w:pPr>
        <w:pStyle w:val="BodyText2"/>
        <w:numPr>
          <w:ilvl w:val="0"/>
          <w:numId w:val="6"/>
        </w:numPr>
        <w:ind w:right="1"/>
      </w:pPr>
      <w:r>
        <w:t>Foundation for Middle East Peace, May-June 2008.  Report on Israeli Settlement</w:t>
      </w:r>
      <w:r>
        <w:br/>
        <w:t>in the Occupied Territories, Vol. 17, No. 3, Washington D.C.</w:t>
      </w:r>
    </w:p>
    <w:p w:rsidR="005E1E3C" w:rsidRDefault="005E1E3C" w:rsidP="005E1E3C">
      <w:pPr>
        <w:pStyle w:val="BodyText2"/>
        <w:numPr>
          <w:ilvl w:val="0"/>
          <w:numId w:val="6"/>
        </w:numPr>
        <w:ind w:right="1"/>
      </w:pPr>
      <w:r>
        <w:t>(OCHA).  July 2007.  The Humanitarian Impact on Palestinians of Israeli Settlements and Infrastructure in the West Bank;</w:t>
      </w:r>
    </w:p>
    <w:p w:rsidR="005E1E3C" w:rsidRDefault="005E1E3C" w:rsidP="005E1E3C">
      <w:pPr>
        <w:pStyle w:val="BodyText2"/>
        <w:numPr>
          <w:ilvl w:val="0"/>
          <w:numId w:val="6"/>
        </w:numPr>
        <w:ind w:right="1"/>
      </w:pPr>
      <w:r>
        <w:t>Israel Central Bureau of Statistics, 2010. Population of Localities with over 2000 Residents, as 30/09/2009 (Provisional Data).  Jerusalem</w:t>
      </w:r>
    </w:p>
    <w:p w:rsidR="005E1E3C" w:rsidRDefault="005E1E3C" w:rsidP="005E1E3C">
      <w:pPr>
        <w:pStyle w:val="BodyText2"/>
        <w:numPr>
          <w:ilvl w:val="0"/>
          <w:numId w:val="6"/>
        </w:numPr>
        <w:ind w:right="1"/>
      </w:pPr>
      <w:r>
        <w:t xml:space="preserve">Israel Central Bureau of Statistics, Statistical Abstract of Israel.  Jerusalem, Various Years. </w:t>
      </w:r>
    </w:p>
    <w:p w:rsidR="005E1E3C" w:rsidRDefault="005E1E3C" w:rsidP="005E1E3C">
      <w:pPr>
        <w:pStyle w:val="BodyText2"/>
        <w:numPr>
          <w:ilvl w:val="0"/>
          <w:numId w:val="6"/>
        </w:numPr>
        <w:ind w:right="1"/>
      </w:pPr>
      <w:r>
        <w:t>The Jerusalem Institute for Israeli Studies, Statistical Yearbook of Jerusalem.    Jerusalem, Various Years.</w:t>
      </w:r>
    </w:p>
    <w:p w:rsidR="005E1E3C" w:rsidRDefault="005E1E3C" w:rsidP="005E1E3C">
      <w:pPr>
        <w:pStyle w:val="BodyText2"/>
        <w:numPr>
          <w:ilvl w:val="0"/>
          <w:numId w:val="6"/>
        </w:numPr>
        <w:ind w:right="1"/>
      </w:pPr>
      <w:r>
        <w:t>The Israeli Information Center for Human Rights in the Occupied Territories (B'TSELEM), 2002.  Land Grab-Israel’s Settlement Policy in the West Bank.  Jerusalem.</w:t>
      </w:r>
    </w:p>
    <w:p w:rsidR="005E1E3C" w:rsidRDefault="005E1E3C" w:rsidP="005E1E3C">
      <w:pPr>
        <w:pStyle w:val="Title"/>
        <w:ind w:left="-2"/>
      </w:pPr>
      <w:r>
        <w:t xml:space="preserve"> </w:t>
      </w:r>
    </w:p>
    <w:p w:rsidR="005E1E3C" w:rsidRDefault="005E1E3C" w:rsidP="005E1E3C">
      <w:pPr>
        <w:pStyle w:val="BodyTextIndent2"/>
        <w:ind w:left="0"/>
        <w:rPr>
          <w:rtl/>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1A3F81" w:rsidRDefault="005E1E3C" w:rsidP="001A3F81">
      <w:pPr>
        <w:tabs>
          <w:tab w:val="left" w:pos="5793"/>
        </w:tabs>
      </w:pPr>
    </w:p>
    <w:sectPr w:rsidR="005E1E3C" w:rsidRPr="001A3F81" w:rsidSect="006505D8">
      <w:footerReference w:type="default" r:id="rId17"/>
      <w:pgSz w:w="11909" w:h="16834" w:code="9"/>
      <w:pgMar w:top="1418" w:right="1418" w:bottom="1418" w:left="1418" w:header="720" w:footer="720"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613" w:rsidRDefault="00366613">
      <w:r>
        <w:separator/>
      </w:r>
    </w:p>
  </w:endnote>
  <w:endnote w:type="continuationSeparator" w:id="0">
    <w:p w:rsidR="00366613" w:rsidRDefault="003666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8BD" w:rsidRPr="00096737" w:rsidRDefault="00F968BD">
    <w:pPr>
      <w:pStyle w:val="Footer"/>
      <w:jc w:val="center"/>
      <w:rPr>
        <w:rFonts w:cs="Times New Roman"/>
        <w:b/>
        <w:bCs/>
        <w:sz w:val="20"/>
        <w:szCs w:val="20"/>
      </w:rPr>
    </w:pPr>
    <w:r>
      <w:rPr>
        <w:rFonts w:cs="Times New Roman"/>
        <w:b/>
        <w:bCs/>
        <w:sz w:val="20"/>
        <w:szCs w:val="20"/>
      </w:rPr>
      <w:t>]</w:t>
    </w:r>
    <w:r w:rsidR="00B02478" w:rsidRPr="00096737">
      <w:rPr>
        <w:rFonts w:cs="Times New Roman"/>
        <w:b/>
        <w:bCs/>
        <w:sz w:val="20"/>
        <w:szCs w:val="20"/>
      </w:rPr>
      <w:fldChar w:fldCharType="begin"/>
    </w:r>
    <w:r w:rsidRPr="00096737">
      <w:rPr>
        <w:rFonts w:cs="Times New Roman"/>
        <w:b/>
        <w:bCs/>
        <w:sz w:val="20"/>
        <w:szCs w:val="20"/>
      </w:rPr>
      <w:instrText xml:space="preserve"> PAGE   \* MERGEFORMAT </w:instrText>
    </w:r>
    <w:r w:rsidR="00B02478" w:rsidRPr="00096737">
      <w:rPr>
        <w:rFonts w:cs="Times New Roman"/>
        <w:b/>
        <w:bCs/>
        <w:sz w:val="20"/>
        <w:szCs w:val="20"/>
      </w:rPr>
      <w:fldChar w:fldCharType="separate"/>
    </w:r>
    <w:r w:rsidR="008235FB">
      <w:rPr>
        <w:rFonts w:cs="Times New Roman"/>
        <w:b/>
        <w:bCs/>
        <w:sz w:val="20"/>
        <w:szCs w:val="20"/>
        <w:rtl/>
      </w:rPr>
      <w:t>25</w:t>
    </w:r>
    <w:r w:rsidR="00B02478" w:rsidRPr="00096737">
      <w:rPr>
        <w:rFonts w:cs="Times New Roman"/>
        <w:b/>
        <w:bCs/>
        <w:sz w:val="20"/>
        <w:szCs w:val="20"/>
      </w:rPr>
      <w:fldChar w:fldCharType="end"/>
    </w:r>
    <w:r>
      <w:rPr>
        <w:rFonts w:cs="Times New Roman"/>
        <w:b/>
        <w:bCs/>
        <w:sz w:val="20"/>
        <w:szCs w:val="20"/>
      </w:rPr>
      <w:t>[</w:t>
    </w:r>
  </w:p>
  <w:p w:rsidR="00F968BD" w:rsidRDefault="00F968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613" w:rsidRDefault="00366613">
      <w:r>
        <w:separator/>
      </w:r>
    </w:p>
  </w:footnote>
  <w:footnote w:type="continuationSeparator" w:id="0">
    <w:p w:rsidR="00366613" w:rsidRDefault="00366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8BD" w:rsidRPr="00A078D4" w:rsidRDefault="00F968BD" w:rsidP="00816249">
    <w:pPr>
      <w:pStyle w:val="Header"/>
      <w:bidi w:val="0"/>
      <w:rPr>
        <w:rFonts w:ascii="Arial" w:hAnsi="Arial" w:cs="Arial"/>
        <w:sz w:val="16"/>
        <w:szCs w:val="16"/>
        <w:rtl/>
      </w:rPr>
    </w:pPr>
    <w:r w:rsidRPr="00A078D4">
      <w:rPr>
        <w:rFonts w:ascii="Arial" w:hAnsi="Arial" w:cs="Arial"/>
        <w:sz w:val="16"/>
        <w:szCs w:val="16"/>
      </w:rPr>
      <w:t xml:space="preserve">PCBS: Israeli Settlements in the Palestinian Territory </w:t>
    </w:r>
    <w:r>
      <w:rPr>
        <w:rFonts w:ascii="Arial" w:hAnsi="Arial" w:cs="Arial"/>
        <w:sz w:val="16"/>
        <w:szCs w:val="16"/>
      </w:rPr>
      <w:t>2011</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07522"/>
  </w:hdrShapeDefaults>
  <w:footnotePr>
    <w:footnote w:id="-1"/>
    <w:footnote w:id="0"/>
  </w:footnotePr>
  <w:endnotePr>
    <w:endnote w:id="-1"/>
    <w:endnote w:id="0"/>
  </w:endnotePr>
  <w:compat/>
  <w:rsids>
    <w:rsidRoot w:val="00BE4FF5"/>
    <w:rsid w:val="00033396"/>
    <w:rsid w:val="00035C07"/>
    <w:rsid w:val="000409B9"/>
    <w:rsid w:val="000658F1"/>
    <w:rsid w:val="0007030C"/>
    <w:rsid w:val="00093ACB"/>
    <w:rsid w:val="00096737"/>
    <w:rsid w:val="000A02CF"/>
    <w:rsid w:val="000A7E4F"/>
    <w:rsid w:val="000B5124"/>
    <w:rsid w:val="000C589F"/>
    <w:rsid w:val="000D1DB9"/>
    <w:rsid w:val="000E3ED8"/>
    <w:rsid w:val="00140E6B"/>
    <w:rsid w:val="0015335C"/>
    <w:rsid w:val="00161F27"/>
    <w:rsid w:val="00162AA7"/>
    <w:rsid w:val="00174F7D"/>
    <w:rsid w:val="00197BF8"/>
    <w:rsid w:val="001A156F"/>
    <w:rsid w:val="001A3F81"/>
    <w:rsid w:val="001B051A"/>
    <w:rsid w:val="001B445F"/>
    <w:rsid w:val="001C1CE4"/>
    <w:rsid w:val="001C2899"/>
    <w:rsid w:val="001C5266"/>
    <w:rsid w:val="001D1F55"/>
    <w:rsid w:val="001D7AFC"/>
    <w:rsid w:val="001E5B82"/>
    <w:rsid w:val="002025C8"/>
    <w:rsid w:val="0022724C"/>
    <w:rsid w:val="00234636"/>
    <w:rsid w:val="00257785"/>
    <w:rsid w:val="00257EB1"/>
    <w:rsid w:val="00282DFD"/>
    <w:rsid w:val="002A79BF"/>
    <w:rsid w:val="002B0722"/>
    <w:rsid w:val="002B0E28"/>
    <w:rsid w:val="002C134A"/>
    <w:rsid w:val="002C15A1"/>
    <w:rsid w:val="002C3FB7"/>
    <w:rsid w:val="002C65E4"/>
    <w:rsid w:val="002D15C2"/>
    <w:rsid w:val="002D33CC"/>
    <w:rsid w:val="002F175E"/>
    <w:rsid w:val="002F6AF9"/>
    <w:rsid w:val="0030011F"/>
    <w:rsid w:val="003122B7"/>
    <w:rsid w:val="00320AFC"/>
    <w:rsid w:val="00342E6E"/>
    <w:rsid w:val="0034462B"/>
    <w:rsid w:val="00357DA6"/>
    <w:rsid w:val="00362AAD"/>
    <w:rsid w:val="00366613"/>
    <w:rsid w:val="0038395B"/>
    <w:rsid w:val="00383DE3"/>
    <w:rsid w:val="003916F1"/>
    <w:rsid w:val="00392CA9"/>
    <w:rsid w:val="003E7ECC"/>
    <w:rsid w:val="00463463"/>
    <w:rsid w:val="0047611E"/>
    <w:rsid w:val="004A47E9"/>
    <w:rsid w:val="004C2A86"/>
    <w:rsid w:val="004C36C4"/>
    <w:rsid w:val="004D0F04"/>
    <w:rsid w:val="004E1989"/>
    <w:rsid w:val="004E3298"/>
    <w:rsid w:val="004F482F"/>
    <w:rsid w:val="004F5B09"/>
    <w:rsid w:val="00512EE7"/>
    <w:rsid w:val="005506A2"/>
    <w:rsid w:val="00556D30"/>
    <w:rsid w:val="00570AE0"/>
    <w:rsid w:val="00583DF6"/>
    <w:rsid w:val="005858F5"/>
    <w:rsid w:val="005A67C0"/>
    <w:rsid w:val="005B0C6B"/>
    <w:rsid w:val="005D74B1"/>
    <w:rsid w:val="005E1E3C"/>
    <w:rsid w:val="00610347"/>
    <w:rsid w:val="00612B21"/>
    <w:rsid w:val="006156E4"/>
    <w:rsid w:val="00623772"/>
    <w:rsid w:val="00646F70"/>
    <w:rsid w:val="006505D8"/>
    <w:rsid w:val="00667550"/>
    <w:rsid w:val="0067719E"/>
    <w:rsid w:val="00683EBD"/>
    <w:rsid w:val="00695FB3"/>
    <w:rsid w:val="0070256D"/>
    <w:rsid w:val="00720FBC"/>
    <w:rsid w:val="00725D3B"/>
    <w:rsid w:val="007413FA"/>
    <w:rsid w:val="00743E10"/>
    <w:rsid w:val="00747F31"/>
    <w:rsid w:val="007B48FE"/>
    <w:rsid w:val="007D1E66"/>
    <w:rsid w:val="007D2559"/>
    <w:rsid w:val="007E53F5"/>
    <w:rsid w:val="00816249"/>
    <w:rsid w:val="008235FB"/>
    <w:rsid w:val="0085386D"/>
    <w:rsid w:val="008571B2"/>
    <w:rsid w:val="008758BA"/>
    <w:rsid w:val="0088068A"/>
    <w:rsid w:val="008B02D1"/>
    <w:rsid w:val="008B113C"/>
    <w:rsid w:val="008B3569"/>
    <w:rsid w:val="008F4836"/>
    <w:rsid w:val="00911D6E"/>
    <w:rsid w:val="009167DA"/>
    <w:rsid w:val="00922656"/>
    <w:rsid w:val="00932B3F"/>
    <w:rsid w:val="00953976"/>
    <w:rsid w:val="00983AFF"/>
    <w:rsid w:val="009846A8"/>
    <w:rsid w:val="00994C77"/>
    <w:rsid w:val="0099611A"/>
    <w:rsid w:val="00997732"/>
    <w:rsid w:val="009A0D32"/>
    <w:rsid w:val="009C6DD2"/>
    <w:rsid w:val="009C6EED"/>
    <w:rsid w:val="009C786B"/>
    <w:rsid w:val="00A078D4"/>
    <w:rsid w:val="00A30CE6"/>
    <w:rsid w:val="00A523A6"/>
    <w:rsid w:val="00A7565D"/>
    <w:rsid w:val="00A77D40"/>
    <w:rsid w:val="00A90892"/>
    <w:rsid w:val="00AA516D"/>
    <w:rsid w:val="00AC793F"/>
    <w:rsid w:val="00AE0DAE"/>
    <w:rsid w:val="00B00653"/>
    <w:rsid w:val="00B02478"/>
    <w:rsid w:val="00B1242B"/>
    <w:rsid w:val="00B12F30"/>
    <w:rsid w:val="00B15045"/>
    <w:rsid w:val="00B43038"/>
    <w:rsid w:val="00B55CD7"/>
    <w:rsid w:val="00B57573"/>
    <w:rsid w:val="00BD3273"/>
    <w:rsid w:val="00BD65EF"/>
    <w:rsid w:val="00BE4FF5"/>
    <w:rsid w:val="00BF5779"/>
    <w:rsid w:val="00C00634"/>
    <w:rsid w:val="00C36C56"/>
    <w:rsid w:val="00C43FA8"/>
    <w:rsid w:val="00C66D05"/>
    <w:rsid w:val="00C75F1E"/>
    <w:rsid w:val="00C85522"/>
    <w:rsid w:val="00C9268D"/>
    <w:rsid w:val="00C92C55"/>
    <w:rsid w:val="00CB29F6"/>
    <w:rsid w:val="00CB322B"/>
    <w:rsid w:val="00CC6D9C"/>
    <w:rsid w:val="00CD198C"/>
    <w:rsid w:val="00CD31B8"/>
    <w:rsid w:val="00CE06E0"/>
    <w:rsid w:val="00CE62C7"/>
    <w:rsid w:val="00D237DA"/>
    <w:rsid w:val="00D30BD4"/>
    <w:rsid w:val="00D520D0"/>
    <w:rsid w:val="00DA6605"/>
    <w:rsid w:val="00DC48A1"/>
    <w:rsid w:val="00DD4D55"/>
    <w:rsid w:val="00DE5BBC"/>
    <w:rsid w:val="00DE7B7E"/>
    <w:rsid w:val="00E026CE"/>
    <w:rsid w:val="00E11A11"/>
    <w:rsid w:val="00E3676A"/>
    <w:rsid w:val="00E47BDD"/>
    <w:rsid w:val="00E55C23"/>
    <w:rsid w:val="00E71CD7"/>
    <w:rsid w:val="00EA4057"/>
    <w:rsid w:val="00EB4C09"/>
    <w:rsid w:val="00F35A59"/>
    <w:rsid w:val="00F751F8"/>
    <w:rsid w:val="00F7607B"/>
    <w:rsid w:val="00F8088A"/>
    <w:rsid w:val="00F84A32"/>
    <w:rsid w:val="00F9404F"/>
    <w:rsid w:val="00F968BD"/>
    <w:rsid w:val="00F97E53"/>
    <w:rsid w:val="00FA0D16"/>
    <w:rsid w:val="00FB0ABC"/>
    <w:rsid w:val="00FD739E"/>
    <w:rsid w:val="00FE3F03"/>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ocuments%20and%20Settings\mmasri\Local%20Settings\Temporary%20Internet%20Files\Content.Outlook\8P32TXF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831081081081091"/>
          <c:y val="3.4364261168384883E-2"/>
          <c:w val="0.72558969962929165"/>
          <c:h val="0.77796375260461081"/>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pPr>
              <a:noFill/>
              <a:ln w="2533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24</c:v>
                </c:pt>
                <c:pt idx="2">
                  <c:v>19</c:v>
                </c:pt>
                <c:pt idx="3">
                  <c:v>17</c:v>
                </c:pt>
                <c:pt idx="4">
                  <c:v>13</c:v>
                </c:pt>
                <c:pt idx="5">
                  <c:v>12</c:v>
                </c:pt>
                <c:pt idx="6">
                  <c:v>11</c:v>
                </c:pt>
                <c:pt idx="7">
                  <c:v>7</c:v>
                </c:pt>
                <c:pt idx="8">
                  <c:v>7</c:v>
                </c:pt>
                <c:pt idx="9">
                  <c:v>5</c:v>
                </c:pt>
                <c:pt idx="10">
                  <c:v>3</c:v>
                </c:pt>
              </c:numCache>
            </c:numRef>
          </c:val>
        </c:ser>
        <c:dLbls>
          <c:showVal val="1"/>
        </c:dLbls>
        <c:axId val="145242368"/>
        <c:axId val="145269504"/>
      </c:barChart>
      <c:catAx>
        <c:axId val="145242368"/>
        <c:scaling>
          <c:orientation val="minMax"/>
        </c:scaling>
        <c:axPos val="l"/>
        <c:title>
          <c:tx>
            <c:rich>
              <a:bodyPr rot="0" vert="horz"/>
              <a:lstStyle/>
              <a:p>
                <a:pPr algn="ctr">
                  <a:defRPr sz="874" b="1" i="0" u="none" strike="noStrike" baseline="0">
                    <a:solidFill>
                      <a:srgbClr val="000000"/>
                    </a:solidFill>
                    <a:latin typeface="Arial"/>
                    <a:ea typeface="Arial"/>
                    <a:cs typeface="Arial"/>
                  </a:defRPr>
                </a:pPr>
                <a:r>
                  <a:rPr lang="en-US"/>
                  <a:t>Number  </a:t>
                </a:r>
              </a:p>
            </c:rich>
          </c:tx>
          <c:layout>
            <c:manualLayout>
              <c:xMode val="edge"/>
              <c:yMode val="edge"/>
              <c:x val="0.51422753842864088"/>
              <c:y val="0.89206739838955251"/>
            </c:manualLayout>
          </c:layout>
          <c:spPr>
            <a:noFill/>
            <a:ln w="25335">
              <a:noFill/>
            </a:ln>
          </c:spPr>
        </c:title>
        <c:numFmt formatCode="General" sourceLinked="1"/>
        <c:tickLblPos val="nextTo"/>
        <c:spPr>
          <a:ln w="3166">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145269504"/>
        <c:crosses val="autoZero"/>
        <c:auto val="1"/>
        <c:lblAlgn val="ctr"/>
        <c:lblOffset val="0"/>
        <c:tickLblSkip val="1"/>
        <c:tickMarkSkip val="1"/>
      </c:catAx>
      <c:valAx>
        <c:axId val="145269504"/>
        <c:scaling>
          <c:orientation val="minMax"/>
          <c:max val="30"/>
          <c:min val="0"/>
        </c:scaling>
        <c:axPos val="b"/>
        <c:numFmt formatCode="General" sourceLinked="1"/>
        <c:tickLblPos val="nextTo"/>
        <c:spPr>
          <a:ln w="3166">
            <a:solidFill>
              <a:srgbClr val="000000"/>
            </a:solidFill>
            <a:prstDash val="solid"/>
          </a:ln>
        </c:spPr>
        <c:txPr>
          <a:bodyPr rot="0" vert="horz"/>
          <a:lstStyle/>
          <a:p>
            <a:pPr>
              <a:defRPr sz="874" b="0" i="0" u="none" strike="noStrike" baseline="0">
                <a:solidFill>
                  <a:srgbClr val="000000"/>
                </a:solidFill>
                <a:latin typeface="Arial"/>
                <a:ea typeface="Arial"/>
                <a:cs typeface="Arial"/>
              </a:defRPr>
            </a:pPr>
            <a:endParaRPr lang="ar-SA"/>
          </a:p>
        </c:txPr>
        <c:crossAx val="145242368"/>
        <c:crosses val="autoZero"/>
        <c:crossBetween val="between"/>
        <c:majorUnit val="5"/>
        <c:minorUnit val="1"/>
      </c:valAx>
      <c:spPr>
        <a:noFill/>
        <a:ln w="25335">
          <a:noFill/>
        </a:ln>
      </c:spPr>
    </c:plotArea>
    <c:plotVisOnly val="1"/>
    <c:dispBlanksAs val="gap"/>
  </c:chart>
  <c:spPr>
    <a:noFill/>
    <a:ln w="3166">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3618090452261306"/>
          <c:y val="3.6303630363036306E-2"/>
          <c:w val="0.73366834170854267"/>
          <c:h val="0.77308475719455505"/>
        </c:manualLayout>
      </c:layout>
      <c:barChart>
        <c:barDir val="bar"/>
        <c:grouping val="clustered"/>
        <c:ser>
          <c:idx val="0"/>
          <c:order val="0"/>
          <c:tx>
            <c:strRef>
              <c:f>Sheet1!$A$2</c:f>
              <c:strCache>
                <c:ptCount val="1"/>
              </c:strCache>
            </c:strRef>
          </c:tx>
          <c:spPr>
            <a:solidFill>
              <a:srgbClr val="9999FF"/>
            </a:solidFill>
            <a:ln w="12649">
              <a:solidFill>
                <a:srgbClr val="000000"/>
              </a:solidFill>
              <a:prstDash val="solid"/>
            </a:ln>
          </c:spPr>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General</c:formatCode>
                <c:ptCount val="11"/>
                <c:pt idx="0">
                  <c:v>267.5</c:v>
                </c:pt>
                <c:pt idx="1">
                  <c:v>100.5</c:v>
                </c:pt>
                <c:pt idx="2">
                  <c:v>59.4</c:v>
                </c:pt>
                <c:pt idx="3">
                  <c:v>34.9</c:v>
                </c:pt>
                <c:pt idx="4">
                  <c:v>31.2</c:v>
                </c:pt>
                <c:pt idx="5" formatCode="0.0">
                  <c:v>17</c:v>
                </c:pt>
                <c:pt idx="6">
                  <c:v>12.6</c:v>
                </c:pt>
                <c:pt idx="7">
                  <c:v>6.4</c:v>
                </c:pt>
                <c:pt idx="8">
                  <c:v>3.4</c:v>
                </c:pt>
                <c:pt idx="9">
                  <c:v>2.2999999999999998</c:v>
                </c:pt>
                <c:pt idx="10">
                  <c:v>1.5</c:v>
                </c:pt>
              </c:numCache>
            </c:numRef>
          </c:val>
        </c:ser>
        <c:dLbls>
          <c:showVal val="1"/>
        </c:dLbls>
        <c:axId val="150624128"/>
        <c:axId val="150625664"/>
      </c:barChart>
      <c:catAx>
        <c:axId val="150624128"/>
        <c:scaling>
          <c:orientation val="minMax"/>
        </c:scaling>
        <c:axPos val="l"/>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50625664"/>
        <c:crossesAt val="0"/>
        <c:auto val="1"/>
        <c:lblAlgn val="ctr"/>
        <c:lblOffset val="100"/>
        <c:tickLblSkip val="1"/>
        <c:tickMarkSkip val="2"/>
      </c:catAx>
      <c:valAx>
        <c:axId val="150625664"/>
        <c:scaling>
          <c:orientation val="minMax"/>
          <c:max val="280"/>
          <c:min val="0"/>
        </c:scaling>
        <c:axPos val="b"/>
        <c:numFmt formatCode="General" sourceLinked="1"/>
        <c:tickLblPos val="nextTo"/>
        <c:spPr>
          <a:ln w="3162">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50624128"/>
        <c:crosses val="autoZero"/>
        <c:crossBetween val="between"/>
        <c:majorUnit val="50"/>
        <c:minorUnit val="10"/>
      </c:valAx>
      <c:spPr>
        <a:solidFill>
          <a:srgbClr val="FFFFFF"/>
        </a:solidFill>
        <a:ln w="25299">
          <a:noFill/>
        </a:ln>
      </c:spPr>
    </c:plotArea>
    <c:plotVisOnly val="1"/>
    <c:dispBlanksAs val="gap"/>
  </c:chart>
  <c:spPr>
    <a:noFill/>
    <a:ln w="3162">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21496792067672"/>
          <c:y val="7.5803649543807014E-2"/>
          <c:w val="0.8503220691163581"/>
          <c:h val="0.69004228021577485"/>
        </c:manualLayout>
      </c:layout>
      <c:lineChart>
        <c:grouping val="stacked"/>
        <c:ser>
          <c:idx val="0"/>
          <c:order val="0"/>
          <c:tx>
            <c:strRef>
              <c:f>Sheet1!$B$1</c:f>
              <c:strCache>
                <c:ptCount val="1"/>
                <c:pt idx="0">
                  <c:v>Number (Thousands)</c:v>
                </c:pt>
              </c:strCache>
            </c:strRef>
          </c:tx>
          <c:marker>
            <c:symbol val="none"/>
          </c:marker>
          <c:cat>
            <c:numRef>
              <c:f>Sheet1!$A$2:$A$25</c:f>
              <c:numCache>
                <c:formatCode>General</c:formatCode>
                <c:ptCount val="24"/>
                <c:pt idx="0">
                  <c:v>1988</c:v>
                </c:pt>
                <c:pt idx="1">
                  <c:v>1989</c:v>
                </c:pt>
                <c:pt idx="2">
                  <c:v>1990</c:v>
                </c:pt>
                <c:pt idx="3">
                  <c:v>1991</c:v>
                </c:pt>
                <c:pt idx="4">
                  <c:v>1992</c:v>
                </c:pt>
                <c:pt idx="5">
                  <c:v>1993</c:v>
                </c:pt>
                <c:pt idx="6">
                  <c:v>1994</c:v>
                </c:pt>
                <c:pt idx="7">
                  <c:v>1995</c:v>
                </c:pt>
                <c:pt idx="8">
                  <c:v>1996</c:v>
                </c:pt>
                <c:pt idx="9">
                  <c:v>1997</c:v>
                </c:pt>
                <c:pt idx="10">
                  <c:v>1998</c:v>
                </c:pt>
                <c:pt idx="11">
                  <c:v>1999</c:v>
                </c:pt>
                <c:pt idx="12">
                  <c:v>2000</c:v>
                </c:pt>
                <c:pt idx="13">
                  <c:v>2001</c:v>
                </c:pt>
                <c:pt idx="14">
                  <c:v>2002</c:v>
                </c:pt>
                <c:pt idx="15">
                  <c:v>2003</c:v>
                </c:pt>
                <c:pt idx="16">
                  <c:v>2004</c:v>
                </c:pt>
                <c:pt idx="17">
                  <c:v>2005</c:v>
                </c:pt>
                <c:pt idx="18">
                  <c:v>2006</c:v>
                </c:pt>
                <c:pt idx="19">
                  <c:v>2007</c:v>
                </c:pt>
                <c:pt idx="20">
                  <c:v>2008</c:v>
                </c:pt>
                <c:pt idx="21">
                  <c:v>2009</c:v>
                </c:pt>
                <c:pt idx="22">
                  <c:v>2010</c:v>
                </c:pt>
                <c:pt idx="23">
                  <c:v>2011</c:v>
                </c:pt>
              </c:numCache>
            </c:numRef>
          </c:cat>
          <c:val>
            <c:numRef>
              <c:f>Sheet1!$B$2:$B$25</c:f>
              <c:numCache>
                <c:formatCode>General</c:formatCode>
                <c:ptCount val="24"/>
                <c:pt idx="0">
                  <c:v>190.9</c:v>
                </c:pt>
                <c:pt idx="1">
                  <c:v>202.9</c:v>
                </c:pt>
                <c:pt idx="2">
                  <c:v>221.3</c:v>
                </c:pt>
                <c:pt idx="3">
                  <c:v>238.1</c:v>
                </c:pt>
                <c:pt idx="4">
                  <c:v>252.5</c:v>
                </c:pt>
                <c:pt idx="5">
                  <c:v>268.7</c:v>
                </c:pt>
                <c:pt idx="6">
                  <c:v>285.8</c:v>
                </c:pt>
                <c:pt idx="7">
                  <c:v>296.89999999999969</c:v>
                </c:pt>
                <c:pt idx="8">
                  <c:v>313.60000000000002</c:v>
                </c:pt>
                <c:pt idx="9">
                  <c:v>326.10000000000002</c:v>
                </c:pt>
                <c:pt idx="10">
                  <c:v>341.9</c:v>
                </c:pt>
                <c:pt idx="11">
                  <c:v>361.1</c:v>
                </c:pt>
                <c:pt idx="12">
                  <c:v>379.1</c:v>
                </c:pt>
                <c:pt idx="13">
                  <c:v>391.1</c:v>
                </c:pt>
                <c:pt idx="14">
                  <c:v>405.1</c:v>
                </c:pt>
                <c:pt idx="15">
                  <c:v>419.4</c:v>
                </c:pt>
                <c:pt idx="16">
                  <c:v>434.6</c:v>
                </c:pt>
                <c:pt idx="17">
                  <c:v>448.4</c:v>
                </c:pt>
                <c:pt idx="18" formatCode="0.0;[Red]0.0">
                  <c:v>465.4</c:v>
                </c:pt>
                <c:pt idx="19">
                  <c:v>482.8</c:v>
                </c:pt>
                <c:pt idx="20">
                  <c:v>501.4</c:v>
                </c:pt>
                <c:pt idx="21">
                  <c:v>511.7</c:v>
                </c:pt>
                <c:pt idx="22">
                  <c:v>518.9</c:v>
                </c:pt>
                <c:pt idx="23">
                  <c:v>536.9</c:v>
                </c:pt>
              </c:numCache>
            </c:numRef>
          </c:val>
        </c:ser>
        <c:hiLowLines/>
        <c:marker val="1"/>
        <c:axId val="129311104"/>
        <c:axId val="129313024"/>
      </c:lineChart>
      <c:catAx>
        <c:axId val="129311104"/>
        <c:scaling>
          <c:orientation val="minMax"/>
        </c:scaling>
        <c:axPos val="b"/>
        <c:title>
          <c:tx>
            <c:rich>
              <a:bodyPr/>
              <a:lstStyle/>
              <a:p>
                <a:pPr>
                  <a:defRPr/>
                </a:pPr>
                <a:r>
                  <a:rPr lang="en-US"/>
                  <a:t>Year</a:t>
                </a:r>
              </a:p>
            </c:rich>
          </c:tx>
          <c:layout>
            <c:manualLayout>
              <c:xMode val="edge"/>
              <c:yMode val="edge"/>
              <c:x val="0.4563034026872394"/>
              <c:y val="0.87343511306328392"/>
            </c:manualLayout>
          </c:layout>
        </c:title>
        <c:numFmt formatCode="General" sourceLinked="1"/>
        <c:majorTickMark val="none"/>
        <c:tickLblPos val="nextTo"/>
        <c:txPr>
          <a:bodyPr rot="-5400000" vert="horz"/>
          <a:lstStyle/>
          <a:p>
            <a:pPr>
              <a:defRPr sz="900"/>
            </a:pPr>
            <a:endParaRPr lang="ar-SA"/>
          </a:p>
        </c:txPr>
        <c:crossAx val="129313024"/>
        <c:crosses val="autoZero"/>
        <c:auto val="1"/>
        <c:lblAlgn val="ctr"/>
        <c:lblOffset val="100"/>
      </c:catAx>
      <c:valAx>
        <c:axId val="129313024"/>
        <c:scaling>
          <c:orientation val="minMax"/>
          <c:max val="550"/>
          <c:min val="150"/>
        </c:scaling>
        <c:axPos val="l"/>
        <c:majorGridlines/>
        <c:title>
          <c:tx>
            <c:rich>
              <a:bodyPr/>
              <a:lstStyle/>
              <a:p>
                <a:pPr>
                  <a:defRPr/>
                </a:pPr>
                <a:r>
                  <a:rPr lang="en-US" sz="1000" b="1" i="0" u="none" strike="noStrike" baseline="0"/>
                  <a:t>Number (Thousands</a:t>
                </a:r>
                <a:endParaRPr lang="en-US"/>
              </a:p>
            </c:rich>
          </c:tx>
        </c:title>
        <c:numFmt formatCode="General" sourceLinked="1"/>
        <c:tickLblPos val="nextTo"/>
        <c:crossAx val="129311104"/>
        <c:crosses val="autoZero"/>
        <c:crossBetween val="between"/>
        <c:majorUnit val="50"/>
        <c:minorUnit val="10"/>
      </c:valAx>
    </c:plotArea>
    <c:plotVisOnly val="1"/>
  </c:chart>
  <c:spPr>
    <a:ln w="0">
      <a:solidFill>
        <a:schemeClr val="tx1"/>
      </a:solid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383CB-8F86-4B50-BD67-F0AE2C0E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3585</Words>
  <Characters>20438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23976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subject/>
  <dc:creator>mmasri</dc:creator>
  <cp:keywords/>
  <dc:description/>
  <cp:lastModifiedBy>mmasri</cp:lastModifiedBy>
  <cp:revision>5</cp:revision>
  <cp:lastPrinted>2012-07-30T09:49:00Z</cp:lastPrinted>
  <dcterms:created xsi:type="dcterms:W3CDTF">2012-07-11T10:50:00Z</dcterms:created>
  <dcterms:modified xsi:type="dcterms:W3CDTF">2012-07-30T09:49:00Z</dcterms:modified>
</cp:coreProperties>
</file>