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6EF" w:rsidRDefault="00E436EF">
      <w:pPr>
        <w:rPr>
          <w:rFonts w:hint="cs"/>
          <w:rtl/>
        </w:rPr>
      </w:pPr>
    </w:p>
    <w:p w:rsidR="00E436EF" w:rsidRDefault="006207DA" w:rsidP="00215F79">
      <w:pPr>
        <w:bidi w:val="0"/>
        <w:jc w:val="center"/>
      </w:pPr>
      <w:r>
        <w:t xml:space="preserve">Chapter </w:t>
      </w:r>
      <w:r w:rsidR="00215F79">
        <w:t>Five</w:t>
      </w:r>
    </w:p>
    <w:p w:rsidR="00E436EF" w:rsidRDefault="00E436EF">
      <w:pPr>
        <w:bidi w:val="0"/>
        <w:jc w:val="center"/>
        <w:rPr>
          <w:color w:val="000000"/>
        </w:rPr>
      </w:pPr>
    </w:p>
    <w:p w:rsidR="00E436EF" w:rsidRDefault="006207DA">
      <w:pPr>
        <w:pStyle w:val="Heading6"/>
        <w:ind w:left="0" w:right="0"/>
        <w:jc w:val="center"/>
        <w:rPr>
          <w:sz w:val="24"/>
          <w:szCs w:val="24"/>
        </w:rPr>
      </w:pPr>
      <w:r>
        <w:rPr>
          <w:sz w:val="24"/>
          <w:szCs w:val="24"/>
        </w:rPr>
        <w:t>Children In Need of Special Protection</w:t>
      </w:r>
    </w:p>
    <w:p w:rsidR="00E436EF" w:rsidRDefault="00E436EF">
      <w:pPr>
        <w:jc w:val="center"/>
        <w:rPr>
          <w:rtl/>
        </w:rPr>
      </w:pPr>
    </w:p>
    <w:p w:rsidR="00E436EF" w:rsidRDefault="00E436EF">
      <w:pPr>
        <w:bidi w:val="0"/>
        <w:jc w:val="lowKashida"/>
      </w:pPr>
    </w:p>
    <w:p w:rsidR="00E436EF" w:rsidRDefault="00E436EF">
      <w:pPr>
        <w:bidi w:val="0"/>
        <w:jc w:val="lowKashida"/>
      </w:pPr>
    </w:p>
    <w:p w:rsidR="00E436EF" w:rsidRDefault="006207DA">
      <w:pPr>
        <w:pStyle w:val="BodyText2"/>
        <w:rPr>
          <w:rFonts w:cs="Times New Roman"/>
        </w:rPr>
      </w:pPr>
      <w:r>
        <w:rPr>
          <w:rFonts w:cs="Times New Roman"/>
        </w:rPr>
        <w:t>This chapter attempts to analyze data and information on a specific age group referred to as “children in need of special protection.” This group comprises a variety of children subgroups experiencing difficult life circumstances hampering their mental and physical wellbeing. Sub groups are usually identified according to the type of difficulty they encounter or due to:</w:t>
      </w:r>
    </w:p>
    <w:p w:rsidR="00E436EF" w:rsidRDefault="00E436EF">
      <w:pPr>
        <w:pStyle w:val="BodyText"/>
        <w:rPr>
          <w:sz w:val="24"/>
        </w:rPr>
      </w:pPr>
    </w:p>
    <w:p w:rsidR="00E436EF" w:rsidRDefault="006207DA">
      <w:pPr>
        <w:numPr>
          <w:ilvl w:val="0"/>
          <w:numId w:val="1"/>
        </w:numPr>
        <w:tabs>
          <w:tab w:val="clear" w:pos="0"/>
          <w:tab w:val="num" w:pos="426"/>
          <w:tab w:val="right" w:pos="9070"/>
        </w:tabs>
        <w:bidi w:val="0"/>
        <w:ind w:left="426" w:right="-20" w:hanging="142"/>
        <w:jc w:val="lowKashida"/>
        <w:rPr>
          <w:i/>
          <w:iCs/>
          <w:szCs w:val="24"/>
        </w:rPr>
      </w:pPr>
      <w:r>
        <w:rPr>
          <w:i/>
          <w:iCs/>
          <w:szCs w:val="24"/>
        </w:rPr>
        <w:t xml:space="preserve">Children’s separation from their parents due to institutionalization, hospitalization, family de-unification, adoption, or deprivation from family environment (CRC, Articles 9, 10, 20, and 21). </w:t>
      </w:r>
    </w:p>
    <w:p w:rsidR="00E436EF" w:rsidRDefault="006207DA">
      <w:pPr>
        <w:numPr>
          <w:ilvl w:val="0"/>
          <w:numId w:val="1"/>
        </w:numPr>
        <w:tabs>
          <w:tab w:val="clear" w:pos="0"/>
          <w:tab w:val="num" w:pos="426"/>
          <w:tab w:val="right" w:pos="9070"/>
        </w:tabs>
        <w:bidi w:val="0"/>
        <w:ind w:left="426" w:right="-20" w:hanging="142"/>
        <w:jc w:val="lowKashida"/>
        <w:rPr>
          <w:i/>
          <w:iCs/>
          <w:szCs w:val="24"/>
        </w:rPr>
      </w:pPr>
      <w:r>
        <w:rPr>
          <w:i/>
          <w:iCs/>
          <w:szCs w:val="24"/>
        </w:rPr>
        <w:t>Other subgroups in need of special protection are children subject to all kinds of physical, sexual and mental/emotional abuse (CRC, Articles 19 and 34).</w:t>
      </w:r>
    </w:p>
    <w:p w:rsidR="00E436EF" w:rsidRDefault="006207DA">
      <w:pPr>
        <w:numPr>
          <w:ilvl w:val="0"/>
          <w:numId w:val="1"/>
        </w:numPr>
        <w:tabs>
          <w:tab w:val="clear" w:pos="0"/>
          <w:tab w:val="num" w:pos="426"/>
          <w:tab w:val="right" w:pos="9070"/>
        </w:tabs>
        <w:bidi w:val="0"/>
        <w:ind w:left="426" w:right="-20" w:hanging="142"/>
        <w:jc w:val="lowKashida"/>
        <w:rPr>
          <w:i/>
          <w:iCs/>
          <w:szCs w:val="24"/>
        </w:rPr>
      </w:pPr>
      <w:r>
        <w:rPr>
          <w:i/>
          <w:iCs/>
          <w:szCs w:val="24"/>
        </w:rPr>
        <w:t>Disabled children (CRC, Articles 23).</w:t>
      </w:r>
    </w:p>
    <w:p w:rsidR="00E436EF" w:rsidRDefault="006207DA">
      <w:pPr>
        <w:numPr>
          <w:ilvl w:val="0"/>
          <w:numId w:val="1"/>
        </w:numPr>
        <w:tabs>
          <w:tab w:val="clear" w:pos="0"/>
          <w:tab w:val="num" w:pos="426"/>
          <w:tab w:val="right" w:pos="9070"/>
        </w:tabs>
        <w:bidi w:val="0"/>
        <w:ind w:left="426" w:right="-20" w:hanging="142"/>
        <w:jc w:val="lowKashida"/>
        <w:rPr>
          <w:i/>
          <w:iCs/>
          <w:szCs w:val="24"/>
        </w:rPr>
      </w:pPr>
      <w:r>
        <w:rPr>
          <w:i/>
          <w:iCs/>
          <w:szCs w:val="24"/>
        </w:rPr>
        <w:t>Poor children (CRC, Articles 26 and 27).</w:t>
      </w:r>
    </w:p>
    <w:p w:rsidR="00E436EF" w:rsidRDefault="006207DA">
      <w:pPr>
        <w:numPr>
          <w:ilvl w:val="0"/>
          <w:numId w:val="1"/>
        </w:numPr>
        <w:tabs>
          <w:tab w:val="clear" w:pos="0"/>
          <w:tab w:val="num" w:pos="426"/>
          <w:tab w:val="right" w:pos="9070"/>
        </w:tabs>
        <w:bidi w:val="0"/>
        <w:ind w:left="426" w:right="-20" w:hanging="142"/>
        <w:jc w:val="lowKashida"/>
        <w:rPr>
          <w:i/>
          <w:iCs/>
          <w:szCs w:val="24"/>
        </w:rPr>
      </w:pPr>
      <w:r>
        <w:rPr>
          <w:i/>
          <w:iCs/>
          <w:szCs w:val="24"/>
        </w:rPr>
        <w:t>Employed children (CRC, Article 32).</w:t>
      </w:r>
    </w:p>
    <w:p w:rsidR="00E436EF" w:rsidRDefault="006207DA">
      <w:pPr>
        <w:numPr>
          <w:ilvl w:val="0"/>
          <w:numId w:val="1"/>
        </w:numPr>
        <w:tabs>
          <w:tab w:val="clear" w:pos="0"/>
          <w:tab w:val="num" w:pos="426"/>
          <w:tab w:val="right" w:pos="9070"/>
        </w:tabs>
        <w:bidi w:val="0"/>
        <w:ind w:left="426" w:right="-20" w:hanging="142"/>
        <w:jc w:val="lowKashida"/>
        <w:rPr>
          <w:i/>
          <w:iCs/>
          <w:szCs w:val="24"/>
        </w:rPr>
      </w:pPr>
      <w:r>
        <w:rPr>
          <w:i/>
          <w:iCs/>
          <w:szCs w:val="24"/>
        </w:rPr>
        <w:t>Children exploited to the use, sale and trafficking of drugs (CRC, Article 35).</w:t>
      </w:r>
    </w:p>
    <w:p w:rsidR="00E436EF" w:rsidRDefault="006207DA">
      <w:pPr>
        <w:numPr>
          <w:ilvl w:val="0"/>
          <w:numId w:val="1"/>
        </w:numPr>
        <w:tabs>
          <w:tab w:val="clear" w:pos="0"/>
          <w:tab w:val="num" w:pos="426"/>
          <w:tab w:val="right" w:pos="9070"/>
        </w:tabs>
        <w:bidi w:val="0"/>
        <w:ind w:left="426" w:right="-20" w:hanging="142"/>
        <w:jc w:val="lowKashida"/>
        <w:rPr>
          <w:i/>
          <w:iCs/>
          <w:szCs w:val="24"/>
        </w:rPr>
      </w:pPr>
      <w:r>
        <w:rPr>
          <w:i/>
          <w:iCs/>
          <w:szCs w:val="24"/>
        </w:rPr>
        <w:t xml:space="preserve">Children deprived of their liberty or receiving juvenile institutional care (CRC, Articles 37 and 40). </w:t>
      </w:r>
    </w:p>
    <w:p w:rsidR="00E436EF" w:rsidRDefault="006207DA">
      <w:pPr>
        <w:numPr>
          <w:ilvl w:val="0"/>
          <w:numId w:val="1"/>
        </w:numPr>
        <w:tabs>
          <w:tab w:val="clear" w:pos="0"/>
          <w:tab w:val="num" w:pos="426"/>
          <w:tab w:val="right" w:pos="9070"/>
        </w:tabs>
        <w:bidi w:val="0"/>
        <w:ind w:left="426" w:right="-20" w:hanging="142"/>
        <w:jc w:val="lowKashida"/>
        <w:rPr>
          <w:i/>
          <w:iCs/>
          <w:szCs w:val="24"/>
        </w:rPr>
      </w:pPr>
      <w:r>
        <w:rPr>
          <w:i/>
          <w:iCs/>
          <w:szCs w:val="24"/>
        </w:rPr>
        <w:t>Children afflicted by violence and armed conflicts (CRC, Articles 38 and 39).</w:t>
      </w:r>
    </w:p>
    <w:p w:rsidR="00E436EF" w:rsidRDefault="00E436EF">
      <w:pPr>
        <w:pStyle w:val="BodyText"/>
        <w:rPr>
          <w:sz w:val="24"/>
        </w:rPr>
      </w:pPr>
    </w:p>
    <w:p w:rsidR="00E436EF" w:rsidRDefault="00E436EF">
      <w:pPr>
        <w:bidi w:val="0"/>
        <w:jc w:val="lowKashida"/>
      </w:pPr>
    </w:p>
    <w:p w:rsidR="00E436EF" w:rsidRDefault="006207DA">
      <w:pPr>
        <w:pStyle w:val="BodyText2"/>
        <w:rPr>
          <w:rFonts w:cs="Times New Roman"/>
        </w:rPr>
      </w:pPr>
      <w:r>
        <w:rPr>
          <w:rFonts w:cs="Times New Roman"/>
        </w:rPr>
        <w:t>Though many countries make serious efforts to ensure children’s full enjoyment of their rights, as stated in the United Nations Convention on the Rights of the Child-1989, this convention has not yet been implemented anywhere. This is very hard to accomplish especially given the number of uncontrollable political, economic and social factors involved. Undoubtedly all these factors have negative effects on children in general, and those in need of special protection, in particular. Furthermore, children experience a number of dramatic events resulting from individuals belonging to their environments such as negligence, abuse, exploitation, and violence from persons who should be their caretakers.</w:t>
      </w: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bidi w:val="0"/>
        <w:spacing w:line="360" w:lineRule="auto"/>
        <w:jc w:val="both"/>
        <w:rPr>
          <w:b/>
          <w:bCs/>
        </w:rPr>
      </w:pPr>
    </w:p>
    <w:p w:rsidR="00E436EF" w:rsidRDefault="001F3264">
      <w:pPr>
        <w:bidi w:val="0"/>
        <w:spacing w:line="360" w:lineRule="auto"/>
        <w:jc w:val="both"/>
        <w:rPr>
          <w:b/>
          <w:bCs/>
        </w:rPr>
      </w:pPr>
      <w:r>
        <w:rPr>
          <w:b/>
          <w:bCs/>
        </w:rPr>
        <w:lastRenderedPageBreak/>
        <w:t>5</w:t>
      </w:r>
      <w:r w:rsidR="006207DA">
        <w:rPr>
          <w:b/>
          <w:bCs/>
        </w:rPr>
        <w:t xml:space="preserve">.1 Children Living in Poverty </w:t>
      </w:r>
    </w:p>
    <w:p w:rsidR="00E436EF" w:rsidRDefault="006207DA">
      <w:pPr>
        <w:bidi w:val="0"/>
        <w:jc w:val="lowKashida"/>
        <w:rPr>
          <w:szCs w:val="24"/>
        </w:rPr>
      </w:pPr>
      <w:r>
        <w:rPr>
          <w:szCs w:val="24"/>
        </w:rPr>
        <w:t>19.9% of Palestinian households are childless, while the vast majority of Palestinian households</w:t>
      </w:r>
      <w:r w:rsidR="003D5FC8">
        <w:rPr>
          <w:szCs w:val="24"/>
        </w:rPr>
        <w:t xml:space="preserve"> at</w:t>
      </w:r>
      <w:r>
        <w:rPr>
          <w:szCs w:val="24"/>
        </w:rPr>
        <w:t xml:space="preserve"> 80.1% are with children. Hence, meaningful comparisons in poverty status should be carried out for households with a different number of children rather than merely between childless households and the rest. </w:t>
      </w:r>
    </w:p>
    <w:p w:rsidR="00E436EF" w:rsidRDefault="00E436EF">
      <w:pPr>
        <w:bidi w:val="0"/>
        <w:jc w:val="lowKashida"/>
        <w:rPr>
          <w:szCs w:val="24"/>
        </w:rPr>
      </w:pPr>
    </w:p>
    <w:p w:rsidR="00E436EF" w:rsidRDefault="006207DA" w:rsidP="007013D9">
      <w:pPr>
        <w:bidi w:val="0"/>
        <w:jc w:val="lowKashida"/>
        <w:rPr>
          <w:szCs w:val="24"/>
        </w:rPr>
      </w:pPr>
      <w:r>
        <w:rPr>
          <w:szCs w:val="24"/>
        </w:rPr>
        <w:t xml:space="preserve">The poverty rate in 2010 indicated that the rate of the total distribution of poverty among Palestinian households in the Palestinian </w:t>
      </w:r>
      <w:r w:rsidR="007013D9">
        <w:rPr>
          <w:szCs w:val="24"/>
        </w:rPr>
        <w:t xml:space="preserve">territory </w:t>
      </w:r>
      <w:r>
        <w:rPr>
          <w:szCs w:val="24"/>
        </w:rPr>
        <w:t>was 21.4% in 2010 (using consumption data), of which 22.8% is among households with children and 15.8% is among households without children.</w:t>
      </w:r>
    </w:p>
    <w:p w:rsidR="00E436EF" w:rsidRDefault="00E436EF">
      <w:pPr>
        <w:bidi w:val="0"/>
        <w:jc w:val="lowKashida"/>
        <w:rPr>
          <w:szCs w:val="24"/>
        </w:rPr>
      </w:pPr>
    </w:p>
    <w:p w:rsidR="00E436EF" w:rsidRDefault="006207DA" w:rsidP="007013D9">
      <w:pPr>
        <w:bidi w:val="0"/>
        <w:jc w:val="lowKashida"/>
        <w:rPr>
          <w:szCs w:val="24"/>
        </w:rPr>
      </w:pPr>
      <w:r>
        <w:rPr>
          <w:szCs w:val="24"/>
        </w:rPr>
        <w:t>More significant</w:t>
      </w:r>
      <w:r w:rsidR="007013D9">
        <w:rPr>
          <w:szCs w:val="24"/>
        </w:rPr>
        <w:t>ly, it  is</w:t>
      </w:r>
      <w:r>
        <w:rPr>
          <w:szCs w:val="24"/>
        </w:rPr>
        <w:t>the fact that the poverty data indicated that 16.0% of the households in West Bank were suffering from poverty in 2010 (16.4% among households with children and 14.6% among households without children), while 31.9% of households in Gaza Strip were suffering from poverty in 2010 (34.4% among households with children and 18.8% among households without children).</w:t>
      </w:r>
    </w:p>
    <w:p w:rsidR="00E436EF" w:rsidRDefault="00E436EF">
      <w:pPr>
        <w:bidi w:val="0"/>
        <w:jc w:val="lowKashida"/>
        <w:rPr>
          <w:szCs w:val="24"/>
        </w:rPr>
      </w:pPr>
    </w:p>
    <w:p w:rsidR="00E436EF" w:rsidRDefault="006207DA" w:rsidP="001F3264">
      <w:pPr>
        <w:bidi w:val="0"/>
        <w:jc w:val="center"/>
        <w:rPr>
          <w:b/>
          <w:bCs/>
          <w:sz w:val="22"/>
          <w:szCs w:val="22"/>
        </w:rPr>
      </w:pPr>
      <w:r>
        <w:rPr>
          <w:b/>
          <w:bCs/>
          <w:sz w:val="22"/>
          <w:szCs w:val="22"/>
        </w:rPr>
        <w:t>Table (</w:t>
      </w:r>
      <w:r w:rsidR="001F3264">
        <w:rPr>
          <w:b/>
          <w:bCs/>
          <w:sz w:val="22"/>
          <w:szCs w:val="22"/>
        </w:rPr>
        <w:t>5</w:t>
      </w:r>
      <w:r>
        <w:rPr>
          <w:b/>
          <w:bCs/>
          <w:sz w:val="22"/>
          <w:szCs w:val="22"/>
        </w:rPr>
        <w:t xml:space="preserve">-1): Likelihood of being poor among households according </w:t>
      </w:r>
    </w:p>
    <w:p w:rsidR="00E436EF" w:rsidRDefault="006207DA" w:rsidP="007013D9">
      <w:pPr>
        <w:bidi w:val="0"/>
        <w:jc w:val="center"/>
        <w:rPr>
          <w:b/>
          <w:bCs/>
          <w:sz w:val="22"/>
          <w:szCs w:val="22"/>
        </w:rPr>
      </w:pPr>
      <w:r>
        <w:rPr>
          <w:b/>
          <w:bCs/>
          <w:sz w:val="22"/>
          <w:szCs w:val="22"/>
        </w:rPr>
        <w:t>to households monthly consumption by region</w:t>
      </w:r>
      <w:r w:rsidR="007013D9">
        <w:rPr>
          <w:b/>
          <w:bCs/>
          <w:sz w:val="22"/>
          <w:szCs w:val="22"/>
        </w:rPr>
        <w:t xml:space="preserve"> in</w:t>
      </w:r>
      <w:r>
        <w:rPr>
          <w:b/>
          <w:bCs/>
          <w:sz w:val="22"/>
          <w:szCs w:val="22"/>
        </w:rPr>
        <w:t>2010</w:t>
      </w:r>
    </w:p>
    <w:p w:rsidR="00E436EF" w:rsidRDefault="00E436EF">
      <w:pPr>
        <w:bidi w:val="0"/>
        <w:jc w:val="center"/>
        <w:rPr>
          <w:b/>
          <w:bCs/>
          <w:sz w:val="22"/>
          <w:szCs w:val="22"/>
        </w:rPr>
      </w:pPr>
    </w:p>
    <w:tbl>
      <w:tblPr>
        <w:tblW w:w="9072" w:type="dxa"/>
        <w:jc w:val="center"/>
        <w:tblBorders>
          <w:top w:val="single" w:sz="12" w:space="0" w:color="008000"/>
          <w:left w:val="nil"/>
          <w:bottom w:val="single" w:sz="12" w:space="0" w:color="008000"/>
          <w:right w:val="nil"/>
          <w:insideH w:val="nil"/>
          <w:insideV w:val="nil"/>
        </w:tblBorders>
        <w:tblLook w:val="00AF"/>
      </w:tblPr>
      <w:tblGrid>
        <w:gridCol w:w="2129"/>
        <w:gridCol w:w="1137"/>
        <w:gridCol w:w="1277"/>
        <w:gridCol w:w="992"/>
        <w:gridCol w:w="1277"/>
        <w:gridCol w:w="992"/>
        <w:gridCol w:w="1268"/>
      </w:tblGrid>
      <w:tr w:rsidR="00E436EF">
        <w:trPr>
          <w:cantSplit/>
          <w:trHeight w:val="327"/>
          <w:jc w:val="center"/>
        </w:trPr>
        <w:tc>
          <w:tcPr>
            <w:tcW w:w="1173" w:type="pct"/>
            <w:vMerge w:val="restar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rFonts w:ascii="Arial" w:hAnsi="Arial" w:cs="Arial"/>
                <w:b/>
                <w:bCs/>
                <w:sz w:val="18"/>
                <w:szCs w:val="18"/>
              </w:rPr>
            </w:pPr>
            <w:r>
              <w:rPr>
                <w:rFonts w:ascii="Arial" w:hAnsi="Arial" w:cs="Arial"/>
                <w:b/>
                <w:bCs/>
                <w:sz w:val="18"/>
                <w:szCs w:val="18"/>
              </w:rPr>
              <w:t>Region</w:t>
            </w:r>
          </w:p>
        </w:tc>
        <w:tc>
          <w:tcPr>
            <w:tcW w:w="1330" w:type="pct"/>
            <w:gridSpan w:val="2"/>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rFonts w:ascii="Arial" w:hAnsi="Arial" w:cs="Arial"/>
                <w:b/>
                <w:bCs/>
                <w:sz w:val="18"/>
                <w:szCs w:val="18"/>
              </w:rPr>
            </w:pPr>
            <w:r>
              <w:rPr>
                <w:rFonts w:ascii="Arial" w:hAnsi="Arial" w:cs="Arial"/>
                <w:b/>
                <w:bCs/>
                <w:sz w:val="18"/>
                <w:szCs w:val="18"/>
              </w:rPr>
              <w:t>With Children</w:t>
            </w:r>
          </w:p>
        </w:tc>
        <w:tc>
          <w:tcPr>
            <w:tcW w:w="1251" w:type="pct"/>
            <w:gridSpan w:val="2"/>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rFonts w:ascii="Arial" w:hAnsi="Arial" w:cs="Arial"/>
                <w:b/>
                <w:bCs/>
                <w:sz w:val="18"/>
                <w:szCs w:val="18"/>
              </w:rPr>
            </w:pPr>
            <w:r>
              <w:rPr>
                <w:rFonts w:ascii="Arial" w:hAnsi="Arial" w:cs="Arial"/>
                <w:b/>
                <w:bCs/>
                <w:sz w:val="18"/>
                <w:szCs w:val="18"/>
              </w:rPr>
              <w:t>With out Children</w:t>
            </w:r>
          </w:p>
        </w:tc>
        <w:tc>
          <w:tcPr>
            <w:tcW w:w="1247" w:type="pct"/>
            <w:gridSpan w:val="2"/>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rFonts w:ascii="Arial" w:hAnsi="Arial" w:cs="Arial"/>
                <w:b/>
                <w:bCs/>
                <w:sz w:val="18"/>
                <w:szCs w:val="18"/>
              </w:rPr>
            </w:pPr>
            <w:r>
              <w:rPr>
                <w:rFonts w:ascii="Arial" w:hAnsi="Arial" w:cs="Arial"/>
                <w:b/>
                <w:bCs/>
                <w:sz w:val="18"/>
                <w:szCs w:val="18"/>
              </w:rPr>
              <w:t>Total</w:t>
            </w:r>
          </w:p>
        </w:tc>
      </w:tr>
      <w:tr w:rsidR="00E436EF">
        <w:trPr>
          <w:cantSplit/>
          <w:trHeight w:val="255"/>
          <w:jc w:val="center"/>
        </w:trPr>
        <w:tc>
          <w:tcPr>
            <w:tcW w:w="1173" w:type="pct"/>
            <w:vMerge/>
            <w:tcBorders>
              <w:top w:val="single" w:sz="4" w:space="0" w:color="auto"/>
              <w:left w:val="single" w:sz="4" w:space="0" w:color="auto"/>
              <w:bottom w:val="single" w:sz="4" w:space="0" w:color="auto"/>
              <w:right w:val="single" w:sz="4" w:space="0" w:color="auto"/>
            </w:tcBorders>
            <w:vAlign w:val="center"/>
          </w:tcPr>
          <w:p w:rsidR="00E436EF" w:rsidRDefault="00E436EF">
            <w:pPr>
              <w:bidi w:val="0"/>
              <w:jc w:val="center"/>
              <w:rPr>
                <w:sz w:val="18"/>
                <w:szCs w:val="18"/>
              </w:rPr>
            </w:pPr>
          </w:p>
        </w:tc>
        <w:tc>
          <w:tcPr>
            <w:tcW w:w="626"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sz w:val="18"/>
                <w:szCs w:val="18"/>
              </w:rPr>
            </w:pPr>
            <w:r>
              <w:rPr>
                <w:sz w:val="18"/>
                <w:szCs w:val="18"/>
              </w:rPr>
              <w:t>Value</w:t>
            </w:r>
          </w:p>
        </w:tc>
        <w:tc>
          <w:tcPr>
            <w:tcW w:w="704"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sz w:val="18"/>
                <w:szCs w:val="18"/>
              </w:rPr>
            </w:pPr>
            <w:r>
              <w:rPr>
                <w:sz w:val="18"/>
                <w:szCs w:val="18"/>
              </w:rPr>
              <w:t>Contribution</w:t>
            </w:r>
          </w:p>
        </w:tc>
        <w:tc>
          <w:tcPr>
            <w:tcW w:w="547"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sz w:val="18"/>
                <w:szCs w:val="18"/>
              </w:rPr>
            </w:pPr>
            <w:r>
              <w:rPr>
                <w:sz w:val="18"/>
                <w:szCs w:val="18"/>
              </w:rPr>
              <w:t>Value</w:t>
            </w:r>
          </w:p>
        </w:tc>
        <w:tc>
          <w:tcPr>
            <w:tcW w:w="704"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sz w:val="18"/>
                <w:szCs w:val="18"/>
              </w:rPr>
            </w:pPr>
            <w:r>
              <w:rPr>
                <w:sz w:val="18"/>
                <w:szCs w:val="18"/>
              </w:rPr>
              <w:t>Contribution</w:t>
            </w:r>
          </w:p>
        </w:tc>
        <w:tc>
          <w:tcPr>
            <w:tcW w:w="547"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sz w:val="18"/>
                <w:szCs w:val="18"/>
              </w:rPr>
            </w:pPr>
            <w:r>
              <w:rPr>
                <w:sz w:val="18"/>
                <w:szCs w:val="18"/>
              </w:rPr>
              <w:t>Value</w:t>
            </w:r>
          </w:p>
        </w:tc>
        <w:tc>
          <w:tcPr>
            <w:tcW w:w="700"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sz w:val="18"/>
                <w:szCs w:val="18"/>
              </w:rPr>
            </w:pPr>
            <w:r>
              <w:rPr>
                <w:sz w:val="18"/>
                <w:szCs w:val="18"/>
              </w:rPr>
              <w:t>Contribution</w:t>
            </w:r>
          </w:p>
        </w:tc>
      </w:tr>
      <w:tr w:rsidR="00E436EF">
        <w:trPr>
          <w:trHeight w:val="444"/>
          <w:jc w:val="center"/>
        </w:trPr>
        <w:tc>
          <w:tcPr>
            <w:tcW w:w="1173" w:type="pct"/>
            <w:tcBorders>
              <w:top w:val="single" w:sz="4" w:space="0" w:color="auto"/>
              <w:left w:val="single" w:sz="4" w:space="0" w:color="auto"/>
              <w:bottom w:val="nil"/>
              <w:right w:val="single" w:sz="4" w:space="0" w:color="auto"/>
            </w:tcBorders>
          </w:tcPr>
          <w:p w:rsidR="00E436EF" w:rsidRDefault="006207DA">
            <w:pPr>
              <w:bidi w:val="0"/>
              <w:jc w:val="lowKashida"/>
              <w:rPr>
                <w:rFonts w:ascii="Arial" w:hAnsi="Arial" w:cs="Arial"/>
                <w:b/>
                <w:bCs/>
                <w:sz w:val="18"/>
                <w:szCs w:val="18"/>
              </w:rPr>
            </w:pPr>
            <w:r>
              <w:rPr>
                <w:rFonts w:ascii="Arial" w:hAnsi="Arial" w:cs="Arial"/>
                <w:b/>
                <w:bCs/>
                <w:sz w:val="18"/>
                <w:szCs w:val="18"/>
              </w:rPr>
              <w:t>Palestinian Territory</w:t>
            </w:r>
          </w:p>
        </w:tc>
        <w:tc>
          <w:tcPr>
            <w:tcW w:w="626" w:type="pct"/>
            <w:tcBorders>
              <w:top w:val="single" w:sz="4" w:space="0" w:color="auto"/>
              <w:left w:val="single" w:sz="4" w:space="0" w:color="auto"/>
              <w:bottom w:val="nil"/>
            </w:tcBorders>
            <w:vAlign w:val="center"/>
          </w:tcPr>
          <w:p w:rsidR="00E436EF" w:rsidRDefault="006207DA">
            <w:pPr>
              <w:spacing w:line="360" w:lineRule="auto"/>
              <w:ind w:firstLine="241"/>
              <w:jc w:val="both"/>
              <w:rPr>
                <w:rFonts w:ascii="Arial" w:hAnsi="Arial" w:cs="Arial"/>
                <w:b/>
                <w:bCs/>
                <w:sz w:val="18"/>
                <w:szCs w:val="18"/>
              </w:rPr>
            </w:pPr>
            <w:r>
              <w:rPr>
                <w:rFonts w:ascii="Arial" w:hAnsi="Arial" w:cs="Arial"/>
                <w:b/>
                <w:bCs/>
                <w:sz w:val="18"/>
                <w:szCs w:val="18"/>
              </w:rPr>
              <w:t>22.8</w:t>
            </w:r>
          </w:p>
        </w:tc>
        <w:tc>
          <w:tcPr>
            <w:tcW w:w="704" w:type="pct"/>
            <w:tcBorders>
              <w:top w:val="single" w:sz="4" w:space="0" w:color="auto"/>
              <w:bottom w:val="nil"/>
            </w:tcBorders>
            <w:vAlign w:val="center"/>
          </w:tcPr>
          <w:p w:rsidR="00E436EF" w:rsidRDefault="006207DA">
            <w:pPr>
              <w:spacing w:line="360" w:lineRule="auto"/>
              <w:ind w:firstLine="241"/>
              <w:jc w:val="both"/>
              <w:rPr>
                <w:rFonts w:ascii="Arial" w:hAnsi="Arial" w:cs="Arial"/>
                <w:b/>
                <w:bCs/>
                <w:sz w:val="18"/>
                <w:szCs w:val="18"/>
              </w:rPr>
            </w:pPr>
            <w:r>
              <w:rPr>
                <w:rFonts w:ascii="Arial" w:hAnsi="Arial" w:cs="Arial"/>
                <w:b/>
                <w:bCs/>
                <w:sz w:val="18"/>
                <w:szCs w:val="18"/>
              </w:rPr>
              <w:t>100</w:t>
            </w:r>
          </w:p>
        </w:tc>
        <w:tc>
          <w:tcPr>
            <w:tcW w:w="547" w:type="pct"/>
            <w:tcBorders>
              <w:top w:val="single" w:sz="4" w:space="0" w:color="auto"/>
              <w:bottom w:val="nil"/>
            </w:tcBorders>
            <w:vAlign w:val="center"/>
          </w:tcPr>
          <w:p w:rsidR="00E436EF" w:rsidRDefault="006207DA">
            <w:pPr>
              <w:spacing w:line="360" w:lineRule="auto"/>
              <w:ind w:firstLine="241"/>
              <w:jc w:val="both"/>
              <w:rPr>
                <w:rFonts w:ascii="Arial" w:hAnsi="Arial" w:cs="Arial"/>
                <w:b/>
                <w:bCs/>
                <w:sz w:val="18"/>
                <w:szCs w:val="18"/>
              </w:rPr>
            </w:pPr>
            <w:r>
              <w:rPr>
                <w:rFonts w:ascii="Arial" w:hAnsi="Arial" w:cs="Arial" w:hint="cs"/>
                <w:b/>
                <w:bCs/>
                <w:sz w:val="18"/>
                <w:szCs w:val="18"/>
                <w:rtl/>
              </w:rPr>
              <w:t>15.8</w:t>
            </w:r>
          </w:p>
        </w:tc>
        <w:tc>
          <w:tcPr>
            <w:tcW w:w="704" w:type="pct"/>
            <w:tcBorders>
              <w:top w:val="single" w:sz="4" w:space="0" w:color="auto"/>
              <w:bottom w:val="nil"/>
              <w:right w:val="nil"/>
            </w:tcBorders>
            <w:vAlign w:val="center"/>
          </w:tcPr>
          <w:p w:rsidR="00E436EF" w:rsidRDefault="006207DA">
            <w:pPr>
              <w:tabs>
                <w:tab w:val="left" w:pos="1194"/>
              </w:tabs>
              <w:spacing w:line="360" w:lineRule="auto"/>
              <w:ind w:firstLine="241"/>
              <w:jc w:val="both"/>
              <w:rPr>
                <w:rFonts w:ascii="Arial" w:hAnsi="Arial" w:cs="Arial"/>
                <w:b/>
                <w:bCs/>
                <w:sz w:val="18"/>
                <w:szCs w:val="18"/>
                <w:rtl/>
              </w:rPr>
            </w:pPr>
            <w:r>
              <w:rPr>
                <w:rFonts w:ascii="Arial" w:hAnsi="Arial" w:cs="Arial"/>
                <w:b/>
                <w:bCs/>
                <w:sz w:val="18"/>
                <w:szCs w:val="18"/>
              </w:rPr>
              <w:t>100</w:t>
            </w:r>
          </w:p>
        </w:tc>
        <w:tc>
          <w:tcPr>
            <w:tcW w:w="547" w:type="pct"/>
            <w:tcBorders>
              <w:top w:val="single" w:sz="4" w:space="0" w:color="auto"/>
              <w:left w:val="nil"/>
              <w:bottom w:val="nil"/>
              <w:right w:val="nil"/>
            </w:tcBorders>
            <w:vAlign w:val="center"/>
          </w:tcPr>
          <w:p w:rsidR="00E436EF" w:rsidRDefault="006207DA">
            <w:pPr>
              <w:spacing w:line="360" w:lineRule="auto"/>
              <w:ind w:firstLine="241"/>
              <w:jc w:val="both"/>
              <w:rPr>
                <w:rFonts w:ascii="Arial" w:hAnsi="Arial" w:cs="Arial"/>
                <w:b/>
                <w:bCs/>
                <w:sz w:val="18"/>
                <w:szCs w:val="18"/>
              </w:rPr>
            </w:pPr>
            <w:r>
              <w:rPr>
                <w:rFonts w:ascii="Arial" w:hAnsi="Arial" w:cs="Arial" w:hint="cs"/>
                <w:b/>
                <w:bCs/>
                <w:sz w:val="18"/>
                <w:szCs w:val="18"/>
                <w:rtl/>
              </w:rPr>
              <w:t>21.4</w:t>
            </w:r>
          </w:p>
        </w:tc>
        <w:tc>
          <w:tcPr>
            <w:tcW w:w="700" w:type="pct"/>
            <w:tcBorders>
              <w:top w:val="single" w:sz="4" w:space="0" w:color="auto"/>
              <w:left w:val="nil"/>
              <w:bottom w:val="nil"/>
              <w:right w:val="single" w:sz="4" w:space="0" w:color="auto"/>
            </w:tcBorders>
            <w:vAlign w:val="center"/>
          </w:tcPr>
          <w:p w:rsidR="00E436EF" w:rsidRDefault="006207DA">
            <w:pPr>
              <w:tabs>
                <w:tab w:val="left" w:pos="1194"/>
              </w:tabs>
              <w:spacing w:line="360" w:lineRule="auto"/>
              <w:ind w:firstLine="241"/>
              <w:jc w:val="both"/>
              <w:rPr>
                <w:rFonts w:ascii="Arial" w:hAnsi="Arial" w:cs="Arial"/>
                <w:b/>
                <w:bCs/>
                <w:sz w:val="18"/>
                <w:szCs w:val="18"/>
              </w:rPr>
            </w:pPr>
            <w:r>
              <w:rPr>
                <w:rFonts w:ascii="Arial" w:hAnsi="Arial" w:cs="Arial" w:hint="cs"/>
                <w:b/>
                <w:bCs/>
                <w:sz w:val="18"/>
                <w:szCs w:val="18"/>
                <w:rtl/>
              </w:rPr>
              <w:t>100.0</w:t>
            </w:r>
          </w:p>
        </w:tc>
      </w:tr>
      <w:tr w:rsidR="00E436EF">
        <w:trPr>
          <w:trHeight w:val="445"/>
          <w:jc w:val="center"/>
        </w:trPr>
        <w:tc>
          <w:tcPr>
            <w:tcW w:w="1173" w:type="pct"/>
            <w:tcBorders>
              <w:top w:val="nil"/>
              <w:left w:val="single" w:sz="4" w:space="0" w:color="auto"/>
              <w:right w:val="single" w:sz="4" w:space="0" w:color="auto"/>
            </w:tcBorders>
          </w:tcPr>
          <w:p w:rsidR="00E436EF" w:rsidRDefault="006207DA">
            <w:pPr>
              <w:bidi w:val="0"/>
              <w:jc w:val="lowKashida"/>
              <w:rPr>
                <w:rFonts w:ascii="Arial" w:hAnsi="Arial" w:cs="Arial"/>
                <w:sz w:val="18"/>
                <w:szCs w:val="18"/>
              </w:rPr>
            </w:pPr>
            <w:r>
              <w:rPr>
                <w:rFonts w:ascii="Arial" w:hAnsi="Arial" w:cs="Arial"/>
                <w:sz w:val="18"/>
                <w:szCs w:val="18"/>
              </w:rPr>
              <w:t>West Bank</w:t>
            </w:r>
          </w:p>
        </w:tc>
        <w:tc>
          <w:tcPr>
            <w:tcW w:w="626" w:type="pct"/>
            <w:tcBorders>
              <w:top w:val="nil"/>
              <w:left w:val="single" w:sz="4" w:space="0" w:color="auto"/>
              <w:bottom w:val="nil"/>
            </w:tcBorders>
            <w:vAlign w:val="center"/>
          </w:tcPr>
          <w:p w:rsidR="00E436EF" w:rsidRDefault="006207DA">
            <w:pPr>
              <w:spacing w:line="360" w:lineRule="auto"/>
              <w:ind w:firstLine="241"/>
              <w:jc w:val="both"/>
              <w:rPr>
                <w:rFonts w:ascii="Arial" w:hAnsi="Arial" w:cs="Arial"/>
                <w:sz w:val="18"/>
                <w:szCs w:val="18"/>
              </w:rPr>
            </w:pPr>
            <w:r>
              <w:rPr>
                <w:rFonts w:ascii="Arial" w:hAnsi="Arial" w:cs="Arial" w:hint="cs"/>
                <w:sz w:val="18"/>
                <w:szCs w:val="18"/>
                <w:rtl/>
              </w:rPr>
              <w:t>16.4</w:t>
            </w:r>
          </w:p>
        </w:tc>
        <w:tc>
          <w:tcPr>
            <w:tcW w:w="704" w:type="pct"/>
            <w:tcBorders>
              <w:top w:val="nil"/>
              <w:bottom w:val="nil"/>
            </w:tcBorders>
            <w:vAlign w:val="center"/>
          </w:tcPr>
          <w:p w:rsidR="00E436EF" w:rsidRDefault="006207DA">
            <w:pPr>
              <w:spacing w:line="360" w:lineRule="auto"/>
              <w:ind w:firstLine="241"/>
              <w:jc w:val="both"/>
              <w:rPr>
                <w:rFonts w:ascii="Arial" w:hAnsi="Arial" w:cs="Arial"/>
                <w:sz w:val="18"/>
                <w:szCs w:val="18"/>
              </w:rPr>
            </w:pPr>
            <w:r>
              <w:rPr>
                <w:rFonts w:ascii="Arial" w:hAnsi="Arial" w:cs="Arial" w:hint="cs"/>
                <w:sz w:val="18"/>
                <w:szCs w:val="18"/>
                <w:rtl/>
              </w:rPr>
              <w:t>46.2</w:t>
            </w:r>
          </w:p>
        </w:tc>
        <w:tc>
          <w:tcPr>
            <w:tcW w:w="547" w:type="pct"/>
            <w:tcBorders>
              <w:top w:val="nil"/>
              <w:bottom w:val="nil"/>
            </w:tcBorders>
            <w:vAlign w:val="center"/>
          </w:tcPr>
          <w:p w:rsidR="00E436EF" w:rsidRDefault="006207DA">
            <w:pPr>
              <w:spacing w:line="360" w:lineRule="auto"/>
              <w:ind w:firstLine="241"/>
              <w:jc w:val="both"/>
              <w:rPr>
                <w:rFonts w:ascii="Arial" w:hAnsi="Arial" w:cs="Arial"/>
                <w:sz w:val="18"/>
                <w:szCs w:val="18"/>
                <w:rtl/>
              </w:rPr>
            </w:pPr>
            <w:r>
              <w:rPr>
                <w:rFonts w:ascii="Arial" w:hAnsi="Arial" w:cs="Arial" w:hint="cs"/>
                <w:sz w:val="18"/>
                <w:szCs w:val="18"/>
                <w:rtl/>
              </w:rPr>
              <w:t>14.6</w:t>
            </w:r>
          </w:p>
        </w:tc>
        <w:tc>
          <w:tcPr>
            <w:tcW w:w="704" w:type="pct"/>
            <w:tcBorders>
              <w:top w:val="nil"/>
              <w:bottom w:val="nil"/>
              <w:right w:val="nil"/>
            </w:tcBorders>
            <w:vAlign w:val="center"/>
          </w:tcPr>
          <w:p w:rsidR="00E436EF" w:rsidRDefault="006207DA">
            <w:pPr>
              <w:spacing w:line="360" w:lineRule="auto"/>
              <w:ind w:firstLine="241"/>
              <w:jc w:val="both"/>
              <w:rPr>
                <w:rFonts w:ascii="Arial" w:hAnsi="Arial" w:cs="Arial"/>
                <w:sz w:val="18"/>
                <w:szCs w:val="18"/>
              </w:rPr>
            </w:pPr>
            <w:r>
              <w:rPr>
                <w:rFonts w:ascii="Arial" w:hAnsi="Arial" w:cs="Arial" w:hint="cs"/>
                <w:sz w:val="18"/>
                <w:szCs w:val="18"/>
                <w:rtl/>
              </w:rPr>
              <w:t>66.4</w:t>
            </w:r>
          </w:p>
        </w:tc>
        <w:tc>
          <w:tcPr>
            <w:tcW w:w="547" w:type="pct"/>
            <w:tcBorders>
              <w:top w:val="nil"/>
              <w:left w:val="nil"/>
              <w:bottom w:val="nil"/>
              <w:right w:val="nil"/>
            </w:tcBorders>
            <w:vAlign w:val="center"/>
          </w:tcPr>
          <w:p w:rsidR="00E436EF" w:rsidRDefault="006207DA">
            <w:pPr>
              <w:spacing w:line="360" w:lineRule="auto"/>
              <w:ind w:firstLine="241"/>
              <w:jc w:val="both"/>
              <w:rPr>
                <w:rFonts w:ascii="Arial" w:hAnsi="Arial" w:cs="Arial"/>
                <w:sz w:val="18"/>
                <w:szCs w:val="18"/>
                <w:rtl/>
              </w:rPr>
            </w:pPr>
            <w:r>
              <w:rPr>
                <w:rFonts w:ascii="Arial" w:hAnsi="Arial" w:cs="Arial" w:hint="cs"/>
                <w:sz w:val="18"/>
                <w:szCs w:val="18"/>
                <w:rtl/>
              </w:rPr>
              <w:t>16.0</w:t>
            </w:r>
          </w:p>
        </w:tc>
        <w:tc>
          <w:tcPr>
            <w:tcW w:w="700" w:type="pct"/>
            <w:tcBorders>
              <w:top w:val="nil"/>
              <w:left w:val="nil"/>
              <w:bottom w:val="nil"/>
              <w:right w:val="single" w:sz="4" w:space="0" w:color="auto"/>
            </w:tcBorders>
            <w:vAlign w:val="center"/>
          </w:tcPr>
          <w:p w:rsidR="00E436EF" w:rsidRDefault="006207DA">
            <w:pPr>
              <w:spacing w:line="360" w:lineRule="auto"/>
              <w:ind w:firstLine="241"/>
              <w:jc w:val="both"/>
              <w:rPr>
                <w:rFonts w:ascii="Arial" w:hAnsi="Arial" w:cs="Arial"/>
                <w:sz w:val="18"/>
                <w:szCs w:val="18"/>
              </w:rPr>
            </w:pPr>
            <w:r>
              <w:rPr>
                <w:rFonts w:ascii="Arial" w:hAnsi="Arial" w:cs="Arial" w:hint="cs"/>
                <w:sz w:val="18"/>
                <w:szCs w:val="18"/>
                <w:rtl/>
              </w:rPr>
              <w:t>49.1</w:t>
            </w:r>
          </w:p>
        </w:tc>
      </w:tr>
      <w:tr w:rsidR="00E436EF">
        <w:trPr>
          <w:trHeight w:val="274"/>
          <w:jc w:val="center"/>
        </w:trPr>
        <w:tc>
          <w:tcPr>
            <w:tcW w:w="1173" w:type="pct"/>
            <w:tcBorders>
              <w:left w:val="single" w:sz="4" w:space="0" w:color="auto"/>
              <w:bottom w:val="single" w:sz="4" w:space="0" w:color="auto"/>
              <w:right w:val="single" w:sz="4" w:space="0" w:color="auto"/>
            </w:tcBorders>
          </w:tcPr>
          <w:p w:rsidR="00E436EF" w:rsidRDefault="006207DA">
            <w:pPr>
              <w:bidi w:val="0"/>
              <w:jc w:val="lowKashida"/>
              <w:rPr>
                <w:rFonts w:ascii="Arial" w:hAnsi="Arial" w:cs="Arial"/>
                <w:sz w:val="18"/>
                <w:szCs w:val="18"/>
              </w:rPr>
            </w:pPr>
            <w:r>
              <w:rPr>
                <w:rFonts w:ascii="Arial" w:hAnsi="Arial" w:cs="Arial"/>
                <w:sz w:val="18"/>
                <w:szCs w:val="18"/>
              </w:rPr>
              <w:t>Gaza Strip</w:t>
            </w:r>
          </w:p>
        </w:tc>
        <w:tc>
          <w:tcPr>
            <w:tcW w:w="626" w:type="pct"/>
            <w:tcBorders>
              <w:top w:val="nil"/>
              <w:left w:val="single" w:sz="4" w:space="0" w:color="auto"/>
              <w:bottom w:val="single" w:sz="4" w:space="0" w:color="auto"/>
            </w:tcBorders>
            <w:vAlign w:val="center"/>
          </w:tcPr>
          <w:p w:rsidR="00E436EF" w:rsidRDefault="006207DA">
            <w:pPr>
              <w:spacing w:line="360" w:lineRule="auto"/>
              <w:ind w:firstLine="241"/>
              <w:jc w:val="both"/>
              <w:rPr>
                <w:rFonts w:ascii="Arial" w:hAnsi="Arial" w:cs="Arial"/>
                <w:sz w:val="18"/>
                <w:szCs w:val="18"/>
              </w:rPr>
            </w:pPr>
            <w:r>
              <w:rPr>
                <w:rFonts w:ascii="Arial" w:hAnsi="Arial" w:cs="Arial" w:hint="cs"/>
                <w:sz w:val="18"/>
                <w:szCs w:val="18"/>
                <w:rtl/>
              </w:rPr>
              <w:t>34.4</w:t>
            </w:r>
          </w:p>
        </w:tc>
        <w:tc>
          <w:tcPr>
            <w:tcW w:w="704" w:type="pct"/>
            <w:tcBorders>
              <w:top w:val="nil"/>
              <w:bottom w:val="single" w:sz="4" w:space="0" w:color="auto"/>
            </w:tcBorders>
            <w:vAlign w:val="center"/>
          </w:tcPr>
          <w:p w:rsidR="00E436EF" w:rsidRDefault="006207DA">
            <w:pPr>
              <w:spacing w:line="360" w:lineRule="auto"/>
              <w:ind w:firstLine="241"/>
              <w:jc w:val="both"/>
              <w:rPr>
                <w:rFonts w:ascii="Arial" w:hAnsi="Arial" w:cs="Arial"/>
                <w:sz w:val="18"/>
                <w:szCs w:val="18"/>
              </w:rPr>
            </w:pPr>
            <w:r>
              <w:rPr>
                <w:rFonts w:ascii="Arial" w:hAnsi="Arial" w:cs="Arial" w:hint="cs"/>
                <w:sz w:val="18"/>
                <w:szCs w:val="18"/>
                <w:rtl/>
              </w:rPr>
              <w:t>53.8</w:t>
            </w:r>
          </w:p>
        </w:tc>
        <w:tc>
          <w:tcPr>
            <w:tcW w:w="547" w:type="pct"/>
            <w:tcBorders>
              <w:top w:val="nil"/>
              <w:bottom w:val="single" w:sz="4" w:space="0" w:color="auto"/>
            </w:tcBorders>
            <w:vAlign w:val="center"/>
          </w:tcPr>
          <w:p w:rsidR="00E436EF" w:rsidRDefault="006207DA">
            <w:pPr>
              <w:spacing w:line="360" w:lineRule="auto"/>
              <w:ind w:firstLine="241"/>
              <w:jc w:val="both"/>
              <w:rPr>
                <w:rFonts w:ascii="Arial" w:hAnsi="Arial" w:cs="Arial"/>
                <w:sz w:val="18"/>
                <w:szCs w:val="18"/>
                <w:rtl/>
              </w:rPr>
            </w:pPr>
            <w:r>
              <w:rPr>
                <w:rFonts w:ascii="Arial" w:hAnsi="Arial" w:cs="Arial" w:hint="cs"/>
                <w:sz w:val="18"/>
                <w:szCs w:val="18"/>
                <w:rtl/>
              </w:rPr>
              <w:t>18.8</w:t>
            </w:r>
          </w:p>
        </w:tc>
        <w:tc>
          <w:tcPr>
            <w:tcW w:w="704" w:type="pct"/>
            <w:tcBorders>
              <w:top w:val="nil"/>
              <w:bottom w:val="single" w:sz="4" w:space="0" w:color="auto"/>
              <w:right w:val="nil"/>
            </w:tcBorders>
            <w:vAlign w:val="center"/>
          </w:tcPr>
          <w:p w:rsidR="00E436EF" w:rsidRDefault="006207DA">
            <w:pPr>
              <w:spacing w:line="360" w:lineRule="auto"/>
              <w:ind w:firstLine="241"/>
              <w:jc w:val="both"/>
              <w:rPr>
                <w:rFonts w:ascii="Arial" w:hAnsi="Arial" w:cs="Arial"/>
                <w:sz w:val="18"/>
                <w:szCs w:val="18"/>
              </w:rPr>
            </w:pPr>
            <w:r>
              <w:rPr>
                <w:rFonts w:ascii="Arial" w:hAnsi="Arial" w:cs="Arial" w:hint="cs"/>
                <w:sz w:val="18"/>
                <w:szCs w:val="18"/>
                <w:rtl/>
              </w:rPr>
              <w:t>33.6</w:t>
            </w:r>
          </w:p>
        </w:tc>
        <w:tc>
          <w:tcPr>
            <w:tcW w:w="547" w:type="pct"/>
            <w:tcBorders>
              <w:top w:val="nil"/>
              <w:left w:val="nil"/>
              <w:bottom w:val="single" w:sz="4" w:space="0" w:color="auto"/>
              <w:right w:val="nil"/>
            </w:tcBorders>
            <w:vAlign w:val="center"/>
          </w:tcPr>
          <w:p w:rsidR="00E436EF" w:rsidRDefault="006207DA">
            <w:pPr>
              <w:spacing w:line="360" w:lineRule="auto"/>
              <w:ind w:firstLine="241"/>
              <w:jc w:val="both"/>
              <w:rPr>
                <w:rFonts w:ascii="Arial" w:hAnsi="Arial" w:cs="Arial"/>
                <w:sz w:val="18"/>
                <w:szCs w:val="18"/>
              </w:rPr>
            </w:pPr>
            <w:r>
              <w:rPr>
                <w:rFonts w:ascii="Arial" w:hAnsi="Arial" w:cs="Arial" w:hint="cs"/>
                <w:sz w:val="18"/>
                <w:szCs w:val="18"/>
                <w:rtl/>
              </w:rPr>
              <w:t>31.9</w:t>
            </w:r>
          </w:p>
        </w:tc>
        <w:tc>
          <w:tcPr>
            <w:tcW w:w="700" w:type="pct"/>
            <w:tcBorders>
              <w:top w:val="nil"/>
              <w:left w:val="nil"/>
              <w:bottom w:val="single" w:sz="4" w:space="0" w:color="auto"/>
              <w:right w:val="single" w:sz="4" w:space="0" w:color="auto"/>
            </w:tcBorders>
            <w:vAlign w:val="center"/>
          </w:tcPr>
          <w:p w:rsidR="00E436EF" w:rsidRDefault="006207DA">
            <w:pPr>
              <w:spacing w:line="360" w:lineRule="auto"/>
              <w:ind w:firstLine="241"/>
              <w:jc w:val="both"/>
              <w:rPr>
                <w:rFonts w:ascii="Arial" w:hAnsi="Arial" w:cs="Arial"/>
                <w:sz w:val="18"/>
                <w:szCs w:val="18"/>
              </w:rPr>
            </w:pPr>
            <w:r>
              <w:rPr>
                <w:rFonts w:ascii="Arial" w:hAnsi="Arial" w:cs="Arial" w:hint="cs"/>
                <w:sz w:val="18"/>
                <w:szCs w:val="18"/>
                <w:rtl/>
              </w:rPr>
              <w:t>50.9</w:t>
            </w:r>
          </w:p>
        </w:tc>
      </w:tr>
    </w:tbl>
    <w:p w:rsidR="00E436EF" w:rsidRPr="00C5641D" w:rsidRDefault="006207DA">
      <w:pPr>
        <w:bidi w:val="0"/>
        <w:ind w:right="-2"/>
        <w:jc w:val="lowKashida"/>
        <w:rPr>
          <w:b/>
          <w:bCs/>
          <w:sz w:val="20"/>
        </w:rPr>
      </w:pPr>
      <w:r>
        <w:rPr>
          <w:b/>
          <w:bCs/>
          <w:sz w:val="18"/>
          <w:szCs w:val="18"/>
        </w:rPr>
        <w:t>Source: Palestinian Central Bureau of Statistics</w:t>
      </w:r>
      <w:r>
        <w:rPr>
          <w:sz w:val="18"/>
          <w:szCs w:val="18"/>
        </w:rPr>
        <w:t xml:space="preserve">, </w:t>
      </w:r>
      <w:r>
        <w:rPr>
          <w:b/>
          <w:bCs/>
          <w:sz w:val="18"/>
          <w:szCs w:val="18"/>
        </w:rPr>
        <w:t>2011</w:t>
      </w:r>
      <w:r>
        <w:rPr>
          <w:sz w:val="18"/>
          <w:szCs w:val="18"/>
        </w:rPr>
        <w:t xml:space="preserve">. </w:t>
      </w:r>
      <w:r>
        <w:rPr>
          <w:i/>
          <w:iCs/>
          <w:sz w:val="18"/>
          <w:szCs w:val="18"/>
        </w:rPr>
        <w:t xml:space="preserve">data base of Palestinian Expenditure and consumption survey, 2010. </w:t>
      </w:r>
      <w:r>
        <w:rPr>
          <w:i/>
          <w:iCs/>
          <w:sz w:val="20"/>
        </w:rPr>
        <w:t xml:space="preserve">.(unpublished data)- </w:t>
      </w:r>
      <w:r w:rsidRPr="00C5641D">
        <w:rPr>
          <w:b/>
          <w:bCs/>
          <w:sz w:val="20"/>
        </w:rPr>
        <w:t>Ramallah- Palestine.</w:t>
      </w:r>
    </w:p>
    <w:p w:rsidR="00E436EF" w:rsidRPr="00C5641D" w:rsidRDefault="00E436EF">
      <w:pPr>
        <w:bidi w:val="0"/>
        <w:ind w:right="-2"/>
        <w:jc w:val="lowKashida"/>
        <w:rPr>
          <w:b/>
          <w:bCs/>
          <w:sz w:val="20"/>
        </w:rPr>
      </w:pPr>
    </w:p>
    <w:p w:rsidR="00E436EF" w:rsidRDefault="00E436EF">
      <w:pPr>
        <w:bidi w:val="0"/>
        <w:ind w:right="970"/>
        <w:rPr>
          <w:rFonts w:ascii="Arial" w:hAnsi="Arial" w:cs="Arial"/>
          <w:b/>
          <w:bCs/>
          <w:sz w:val="18"/>
          <w:szCs w:val="18"/>
        </w:rPr>
      </w:pPr>
    </w:p>
    <w:p w:rsidR="00E436EF" w:rsidRDefault="006207DA" w:rsidP="007013D9">
      <w:pPr>
        <w:bidi w:val="0"/>
        <w:ind w:right="-2"/>
        <w:jc w:val="lowKashida"/>
        <w:rPr>
          <w:szCs w:val="24"/>
        </w:rPr>
      </w:pPr>
      <w:r>
        <w:rPr>
          <w:rFonts w:hint="cs"/>
          <w:szCs w:val="24"/>
          <w:rtl/>
        </w:rPr>
        <w:t>26.9</w:t>
      </w:r>
      <w:r>
        <w:rPr>
          <w:szCs w:val="24"/>
        </w:rPr>
        <w:t xml:space="preserve">% of  children in the Palestinian Territory were poor in 2010; </w:t>
      </w:r>
      <w:r>
        <w:rPr>
          <w:rFonts w:hint="cs"/>
          <w:szCs w:val="24"/>
          <w:rtl/>
        </w:rPr>
        <w:t>19.0</w:t>
      </w:r>
      <w:r>
        <w:rPr>
          <w:szCs w:val="24"/>
        </w:rPr>
        <w:t xml:space="preserve">% in West Bank, and </w:t>
      </w:r>
      <w:r>
        <w:rPr>
          <w:rFonts w:hint="cs"/>
          <w:szCs w:val="24"/>
          <w:rtl/>
        </w:rPr>
        <w:t>38.4</w:t>
      </w:r>
      <w:r>
        <w:rPr>
          <w:szCs w:val="24"/>
        </w:rPr>
        <w:t>% in Gaza Strip.</w:t>
      </w:r>
    </w:p>
    <w:p w:rsidR="00E436EF" w:rsidRDefault="00E436EF">
      <w:pPr>
        <w:bidi w:val="0"/>
        <w:ind w:right="-2"/>
        <w:jc w:val="lowKashida"/>
        <w:rPr>
          <w:szCs w:val="24"/>
        </w:rPr>
      </w:pPr>
    </w:p>
    <w:p w:rsidR="00E436EF" w:rsidRDefault="00E436EF">
      <w:pPr>
        <w:bidi w:val="0"/>
        <w:ind w:left="990" w:right="-2"/>
        <w:rPr>
          <w:rFonts w:ascii="Arial" w:hAnsi="Arial" w:cs="Arial"/>
          <w:b/>
          <w:bCs/>
          <w:sz w:val="18"/>
          <w:szCs w:val="18"/>
        </w:rPr>
      </w:pPr>
    </w:p>
    <w:p w:rsidR="00E436EF" w:rsidRDefault="006207DA" w:rsidP="007013D9">
      <w:pPr>
        <w:bidi w:val="0"/>
        <w:jc w:val="center"/>
        <w:rPr>
          <w:b/>
          <w:bCs/>
          <w:sz w:val="22"/>
          <w:szCs w:val="22"/>
        </w:rPr>
      </w:pPr>
      <w:r>
        <w:rPr>
          <w:b/>
          <w:bCs/>
          <w:sz w:val="22"/>
          <w:szCs w:val="22"/>
        </w:rPr>
        <w:t>Table (</w:t>
      </w:r>
      <w:r w:rsidR="001F3264">
        <w:rPr>
          <w:b/>
          <w:bCs/>
          <w:sz w:val="22"/>
          <w:szCs w:val="22"/>
        </w:rPr>
        <w:t>5</w:t>
      </w:r>
      <w:r>
        <w:rPr>
          <w:b/>
          <w:bCs/>
          <w:sz w:val="22"/>
          <w:szCs w:val="22"/>
        </w:rPr>
        <w:t>-2): Percentage of children in poverty by region</w:t>
      </w:r>
      <w:r w:rsidR="007013D9">
        <w:rPr>
          <w:b/>
          <w:bCs/>
          <w:sz w:val="22"/>
          <w:szCs w:val="22"/>
        </w:rPr>
        <w:t xml:space="preserve"> in </w:t>
      </w:r>
      <w:r>
        <w:rPr>
          <w:b/>
          <w:bCs/>
          <w:sz w:val="22"/>
          <w:szCs w:val="22"/>
        </w:rPr>
        <w:t>2010</w:t>
      </w:r>
    </w:p>
    <w:p w:rsidR="00E436EF" w:rsidRDefault="00E436EF">
      <w:pPr>
        <w:bidi w:val="0"/>
        <w:ind w:left="990" w:right="970"/>
        <w:rPr>
          <w:rFonts w:ascii="Arial" w:hAnsi="Arial" w:cs="Arial"/>
          <w:b/>
          <w:bCs/>
          <w:sz w:val="18"/>
          <w:szCs w:val="18"/>
        </w:rPr>
      </w:pPr>
    </w:p>
    <w:tbl>
      <w:tblPr>
        <w:tblW w:w="8788" w:type="dxa"/>
        <w:jc w:val="center"/>
        <w:tblInd w:w="-845" w:type="dxa"/>
        <w:tblBorders>
          <w:top w:val="single" w:sz="12" w:space="0" w:color="008000"/>
          <w:left w:val="nil"/>
          <w:bottom w:val="single" w:sz="12" w:space="0" w:color="008000"/>
          <w:right w:val="nil"/>
          <w:insideH w:val="nil"/>
          <w:insideV w:val="nil"/>
        </w:tblBorders>
        <w:tblLook w:val="00AF"/>
      </w:tblPr>
      <w:tblGrid>
        <w:gridCol w:w="2974"/>
        <w:gridCol w:w="2907"/>
        <w:gridCol w:w="2907"/>
      </w:tblGrid>
      <w:tr w:rsidR="00E436EF">
        <w:trPr>
          <w:cantSplit/>
          <w:trHeight w:val="327"/>
          <w:jc w:val="center"/>
        </w:trPr>
        <w:tc>
          <w:tcPr>
            <w:tcW w:w="1692"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rFonts w:ascii="Arial" w:hAnsi="Arial" w:cs="Arial"/>
                <w:b/>
                <w:bCs/>
                <w:sz w:val="18"/>
                <w:szCs w:val="18"/>
              </w:rPr>
            </w:pPr>
            <w:r>
              <w:rPr>
                <w:rFonts w:ascii="Arial" w:hAnsi="Arial" w:cs="Arial"/>
                <w:b/>
                <w:bCs/>
                <w:sz w:val="18"/>
                <w:szCs w:val="18"/>
              </w:rPr>
              <w:t>Region</w:t>
            </w:r>
          </w:p>
        </w:tc>
        <w:tc>
          <w:tcPr>
            <w:tcW w:w="1654"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rFonts w:ascii="Arial" w:hAnsi="Arial" w:cs="Arial"/>
                <w:b/>
                <w:bCs/>
                <w:sz w:val="18"/>
                <w:szCs w:val="18"/>
              </w:rPr>
            </w:pPr>
            <w:r>
              <w:rPr>
                <w:rFonts w:ascii="Arial" w:hAnsi="Arial" w:cs="Arial"/>
                <w:b/>
                <w:bCs/>
                <w:sz w:val="18"/>
                <w:szCs w:val="18"/>
              </w:rPr>
              <w:t>Poverty</w:t>
            </w:r>
          </w:p>
        </w:tc>
        <w:tc>
          <w:tcPr>
            <w:tcW w:w="1654"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rFonts w:ascii="Arial" w:hAnsi="Arial" w:cs="Arial"/>
                <w:b/>
                <w:bCs/>
                <w:sz w:val="18"/>
                <w:szCs w:val="18"/>
              </w:rPr>
            </w:pPr>
            <w:r>
              <w:rPr>
                <w:rFonts w:ascii="Arial" w:hAnsi="Arial" w:cs="Arial"/>
                <w:b/>
                <w:bCs/>
                <w:sz w:val="18"/>
                <w:szCs w:val="18"/>
              </w:rPr>
              <w:t>Deep poverty</w:t>
            </w:r>
          </w:p>
        </w:tc>
      </w:tr>
      <w:tr w:rsidR="00E436EF">
        <w:trPr>
          <w:cantSplit/>
          <w:trHeight w:val="444"/>
          <w:jc w:val="center"/>
        </w:trPr>
        <w:tc>
          <w:tcPr>
            <w:tcW w:w="1692" w:type="pct"/>
            <w:tcBorders>
              <w:top w:val="single" w:sz="4" w:space="0" w:color="auto"/>
              <w:left w:val="single" w:sz="4" w:space="0" w:color="auto"/>
              <w:bottom w:val="nil"/>
              <w:right w:val="single" w:sz="4" w:space="0" w:color="auto"/>
            </w:tcBorders>
          </w:tcPr>
          <w:p w:rsidR="00E436EF" w:rsidRDefault="006207DA">
            <w:pPr>
              <w:bidi w:val="0"/>
              <w:jc w:val="lowKashida"/>
              <w:rPr>
                <w:rFonts w:ascii="Arial" w:hAnsi="Arial" w:cs="Arial"/>
                <w:b/>
                <w:bCs/>
                <w:sz w:val="18"/>
                <w:szCs w:val="18"/>
              </w:rPr>
            </w:pPr>
            <w:r>
              <w:rPr>
                <w:rFonts w:ascii="Arial" w:hAnsi="Arial" w:cs="Arial"/>
                <w:b/>
                <w:bCs/>
                <w:sz w:val="18"/>
                <w:szCs w:val="18"/>
              </w:rPr>
              <w:t>Palestinian Territory</w:t>
            </w:r>
          </w:p>
        </w:tc>
        <w:tc>
          <w:tcPr>
            <w:tcW w:w="1654" w:type="pct"/>
            <w:tcBorders>
              <w:top w:val="single" w:sz="4" w:space="0" w:color="auto"/>
              <w:left w:val="single" w:sz="4" w:space="0" w:color="auto"/>
              <w:bottom w:val="nil"/>
            </w:tcBorders>
            <w:vAlign w:val="center"/>
          </w:tcPr>
          <w:p w:rsidR="00E436EF" w:rsidRDefault="006207DA">
            <w:pPr>
              <w:spacing w:line="360" w:lineRule="auto"/>
              <w:ind w:firstLine="241"/>
              <w:jc w:val="both"/>
              <w:rPr>
                <w:rFonts w:ascii="Arial" w:hAnsi="Arial" w:cs="Arial"/>
                <w:b/>
                <w:bCs/>
                <w:sz w:val="18"/>
                <w:szCs w:val="18"/>
              </w:rPr>
            </w:pPr>
            <w:r>
              <w:rPr>
                <w:rFonts w:ascii="Arial" w:hAnsi="Arial" w:cs="Arial" w:hint="cs"/>
                <w:b/>
                <w:bCs/>
                <w:sz w:val="18"/>
                <w:szCs w:val="18"/>
                <w:rtl/>
              </w:rPr>
              <w:t>26.9</w:t>
            </w:r>
          </w:p>
        </w:tc>
        <w:tc>
          <w:tcPr>
            <w:tcW w:w="1654" w:type="pct"/>
            <w:tcBorders>
              <w:top w:val="single" w:sz="4" w:space="0" w:color="auto"/>
              <w:bottom w:val="nil"/>
              <w:right w:val="single" w:sz="4" w:space="0" w:color="auto"/>
            </w:tcBorders>
            <w:vAlign w:val="center"/>
          </w:tcPr>
          <w:p w:rsidR="00E436EF" w:rsidRDefault="006207DA">
            <w:pPr>
              <w:tabs>
                <w:tab w:val="left" w:pos="1194"/>
              </w:tabs>
              <w:spacing w:line="360" w:lineRule="auto"/>
              <w:ind w:firstLine="241"/>
              <w:jc w:val="both"/>
              <w:rPr>
                <w:rFonts w:ascii="Arial" w:hAnsi="Arial" w:cs="Arial"/>
                <w:b/>
                <w:bCs/>
                <w:sz w:val="18"/>
                <w:szCs w:val="18"/>
                <w:rtl/>
              </w:rPr>
            </w:pPr>
            <w:r>
              <w:rPr>
                <w:rFonts w:ascii="Arial" w:hAnsi="Arial" w:cs="Arial" w:hint="cs"/>
                <w:b/>
                <w:bCs/>
                <w:sz w:val="18"/>
                <w:szCs w:val="18"/>
                <w:rtl/>
              </w:rPr>
              <w:t>14.6</w:t>
            </w:r>
          </w:p>
        </w:tc>
      </w:tr>
      <w:tr w:rsidR="00E436EF">
        <w:trPr>
          <w:cantSplit/>
          <w:trHeight w:val="445"/>
          <w:jc w:val="center"/>
        </w:trPr>
        <w:tc>
          <w:tcPr>
            <w:tcW w:w="1692" w:type="pct"/>
            <w:tcBorders>
              <w:top w:val="nil"/>
              <w:left w:val="single" w:sz="4" w:space="0" w:color="auto"/>
              <w:right w:val="single" w:sz="4" w:space="0" w:color="auto"/>
            </w:tcBorders>
          </w:tcPr>
          <w:p w:rsidR="00E436EF" w:rsidRDefault="006207DA">
            <w:pPr>
              <w:bidi w:val="0"/>
              <w:jc w:val="lowKashida"/>
              <w:rPr>
                <w:rFonts w:ascii="Arial" w:hAnsi="Arial" w:cs="Arial"/>
                <w:sz w:val="18"/>
                <w:szCs w:val="18"/>
              </w:rPr>
            </w:pPr>
            <w:r>
              <w:rPr>
                <w:rFonts w:ascii="Arial" w:hAnsi="Arial" w:cs="Arial"/>
                <w:sz w:val="18"/>
                <w:szCs w:val="18"/>
              </w:rPr>
              <w:t>West Bank</w:t>
            </w:r>
          </w:p>
        </w:tc>
        <w:tc>
          <w:tcPr>
            <w:tcW w:w="1654" w:type="pct"/>
            <w:tcBorders>
              <w:top w:val="nil"/>
              <w:left w:val="single" w:sz="4" w:space="0" w:color="auto"/>
              <w:bottom w:val="nil"/>
            </w:tcBorders>
            <w:vAlign w:val="center"/>
          </w:tcPr>
          <w:p w:rsidR="00E436EF" w:rsidRDefault="006207DA">
            <w:pPr>
              <w:spacing w:line="360" w:lineRule="auto"/>
              <w:ind w:firstLine="241"/>
              <w:jc w:val="both"/>
              <w:rPr>
                <w:rFonts w:ascii="Arial" w:hAnsi="Arial" w:cs="Arial"/>
                <w:sz w:val="18"/>
                <w:szCs w:val="18"/>
              </w:rPr>
            </w:pPr>
            <w:r>
              <w:rPr>
                <w:rFonts w:ascii="Arial" w:hAnsi="Arial" w:cs="Arial" w:hint="cs"/>
                <w:sz w:val="18"/>
                <w:szCs w:val="18"/>
                <w:rtl/>
              </w:rPr>
              <w:t>19.0</w:t>
            </w:r>
          </w:p>
        </w:tc>
        <w:tc>
          <w:tcPr>
            <w:tcW w:w="1654" w:type="pct"/>
            <w:tcBorders>
              <w:top w:val="nil"/>
              <w:bottom w:val="nil"/>
              <w:right w:val="single" w:sz="4" w:space="0" w:color="auto"/>
            </w:tcBorders>
            <w:vAlign w:val="center"/>
          </w:tcPr>
          <w:p w:rsidR="00E436EF" w:rsidRDefault="006207DA">
            <w:pPr>
              <w:spacing w:line="360" w:lineRule="auto"/>
              <w:ind w:firstLine="241"/>
              <w:jc w:val="both"/>
              <w:rPr>
                <w:rFonts w:ascii="Arial" w:hAnsi="Arial" w:cs="Arial"/>
                <w:sz w:val="18"/>
                <w:szCs w:val="18"/>
              </w:rPr>
            </w:pPr>
            <w:r>
              <w:rPr>
                <w:rFonts w:ascii="Arial" w:hAnsi="Arial" w:cs="Arial" w:hint="cs"/>
                <w:sz w:val="18"/>
                <w:szCs w:val="18"/>
                <w:rtl/>
              </w:rPr>
              <w:t>8.8</w:t>
            </w:r>
          </w:p>
        </w:tc>
      </w:tr>
      <w:tr w:rsidR="00E436EF">
        <w:trPr>
          <w:cantSplit/>
          <w:trHeight w:val="274"/>
          <w:jc w:val="center"/>
        </w:trPr>
        <w:tc>
          <w:tcPr>
            <w:tcW w:w="1692" w:type="pct"/>
            <w:tcBorders>
              <w:left w:val="single" w:sz="4" w:space="0" w:color="auto"/>
              <w:bottom w:val="single" w:sz="4" w:space="0" w:color="auto"/>
              <w:right w:val="single" w:sz="4" w:space="0" w:color="auto"/>
            </w:tcBorders>
          </w:tcPr>
          <w:p w:rsidR="00E436EF" w:rsidRDefault="006207DA">
            <w:pPr>
              <w:bidi w:val="0"/>
              <w:jc w:val="lowKashida"/>
              <w:rPr>
                <w:rFonts w:ascii="Arial" w:hAnsi="Arial" w:cs="Arial"/>
                <w:sz w:val="18"/>
                <w:szCs w:val="18"/>
              </w:rPr>
            </w:pPr>
            <w:r>
              <w:rPr>
                <w:rFonts w:ascii="Arial" w:hAnsi="Arial" w:cs="Arial"/>
                <w:sz w:val="18"/>
                <w:szCs w:val="18"/>
              </w:rPr>
              <w:t>Gaza Strip</w:t>
            </w:r>
          </w:p>
        </w:tc>
        <w:tc>
          <w:tcPr>
            <w:tcW w:w="1654" w:type="pct"/>
            <w:tcBorders>
              <w:top w:val="nil"/>
              <w:left w:val="single" w:sz="4" w:space="0" w:color="auto"/>
              <w:bottom w:val="single" w:sz="4" w:space="0" w:color="auto"/>
            </w:tcBorders>
            <w:vAlign w:val="center"/>
          </w:tcPr>
          <w:p w:rsidR="00E436EF" w:rsidRDefault="006207DA">
            <w:pPr>
              <w:spacing w:line="360" w:lineRule="auto"/>
              <w:ind w:firstLine="241"/>
              <w:jc w:val="both"/>
              <w:rPr>
                <w:rFonts w:ascii="Arial" w:hAnsi="Arial" w:cs="Arial"/>
                <w:sz w:val="18"/>
                <w:szCs w:val="18"/>
              </w:rPr>
            </w:pPr>
            <w:r>
              <w:rPr>
                <w:rFonts w:ascii="Arial" w:hAnsi="Arial" w:cs="Arial" w:hint="cs"/>
                <w:sz w:val="18"/>
                <w:szCs w:val="18"/>
                <w:rtl/>
              </w:rPr>
              <w:t>38.4</w:t>
            </w:r>
          </w:p>
        </w:tc>
        <w:tc>
          <w:tcPr>
            <w:tcW w:w="1654" w:type="pct"/>
            <w:tcBorders>
              <w:top w:val="nil"/>
              <w:bottom w:val="single" w:sz="4" w:space="0" w:color="auto"/>
              <w:right w:val="single" w:sz="4" w:space="0" w:color="auto"/>
            </w:tcBorders>
            <w:vAlign w:val="center"/>
          </w:tcPr>
          <w:p w:rsidR="00E436EF" w:rsidRDefault="006207DA">
            <w:pPr>
              <w:spacing w:line="360" w:lineRule="auto"/>
              <w:ind w:firstLine="241"/>
              <w:jc w:val="both"/>
              <w:rPr>
                <w:rFonts w:ascii="Arial" w:hAnsi="Arial" w:cs="Arial"/>
                <w:sz w:val="18"/>
                <w:szCs w:val="18"/>
              </w:rPr>
            </w:pPr>
            <w:r>
              <w:rPr>
                <w:rFonts w:ascii="Arial" w:hAnsi="Arial" w:cs="Arial" w:hint="cs"/>
                <w:sz w:val="18"/>
                <w:szCs w:val="18"/>
                <w:rtl/>
              </w:rPr>
              <w:t>23.1</w:t>
            </w:r>
          </w:p>
        </w:tc>
      </w:tr>
    </w:tbl>
    <w:p w:rsidR="00E436EF" w:rsidRDefault="006207DA">
      <w:pPr>
        <w:bidi w:val="0"/>
        <w:ind w:right="-2"/>
        <w:jc w:val="lowKashida"/>
        <w:rPr>
          <w:sz w:val="20"/>
        </w:rPr>
      </w:pPr>
      <w:r>
        <w:rPr>
          <w:b/>
          <w:bCs/>
          <w:sz w:val="18"/>
          <w:szCs w:val="18"/>
        </w:rPr>
        <w:t>Source: Palestinian Central Bureau of Statistics</w:t>
      </w:r>
      <w:r>
        <w:rPr>
          <w:sz w:val="18"/>
          <w:szCs w:val="18"/>
        </w:rPr>
        <w:t xml:space="preserve">, </w:t>
      </w:r>
      <w:r>
        <w:rPr>
          <w:b/>
          <w:bCs/>
          <w:sz w:val="18"/>
          <w:szCs w:val="18"/>
        </w:rPr>
        <w:t>2011</w:t>
      </w:r>
      <w:r>
        <w:rPr>
          <w:sz w:val="18"/>
          <w:szCs w:val="18"/>
        </w:rPr>
        <w:t xml:space="preserve">. </w:t>
      </w:r>
      <w:r>
        <w:rPr>
          <w:i/>
          <w:iCs/>
          <w:sz w:val="18"/>
          <w:szCs w:val="18"/>
        </w:rPr>
        <w:t xml:space="preserve">data base of Palestinian Expenditure and consumption survey, 2010. </w:t>
      </w:r>
      <w:r>
        <w:rPr>
          <w:i/>
          <w:iCs/>
          <w:sz w:val="20"/>
        </w:rPr>
        <w:t xml:space="preserve">.(unpublished data)- </w:t>
      </w:r>
      <w:r w:rsidRPr="00C5641D">
        <w:rPr>
          <w:b/>
          <w:bCs/>
          <w:sz w:val="20"/>
        </w:rPr>
        <w:t>Ramallah- Palestine.</w:t>
      </w:r>
    </w:p>
    <w:p w:rsidR="00E436EF" w:rsidRDefault="00E436EF">
      <w:pPr>
        <w:bidi w:val="0"/>
        <w:ind w:left="990" w:right="970"/>
        <w:rPr>
          <w:rFonts w:ascii="Arial" w:hAnsi="Arial" w:cs="Arial"/>
          <w:b/>
          <w:bCs/>
          <w:sz w:val="18"/>
          <w:szCs w:val="18"/>
        </w:rPr>
      </w:pPr>
    </w:p>
    <w:p w:rsidR="00E436EF" w:rsidRDefault="00E436EF">
      <w:pPr>
        <w:bidi w:val="0"/>
        <w:ind w:left="990" w:right="970"/>
        <w:rPr>
          <w:rFonts w:ascii="Arial" w:hAnsi="Arial" w:cs="Arial"/>
          <w:b/>
          <w:bCs/>
          <w:sz w:val="18"/>
          <w:szCs w:val="18"/>
        </w:rPr>
      </w:pPr>
    </w:p>
    <w:p w:rsidR="00E436EF" w:rsidRDefault="001F3264" w:rsidP="009B4283">
      <w:pPr>
        <w:bidi w:val="0"/>
        <w:jc w:val="lowKashida"/>
        <w:rPr>
          <w:szCs w:val="24"/>
        </w:rPr>
      </w:pPr>
      <w:r>
        <w:rPr>
          <w:b/>
          <w:bCs/>
          <w:sz w:val="22"/>
          <w:szCs w:val="22"/>
        </w:rPr>
        <w:t>5</w:t>
      </w:r>
      <w:r w:rsidR="006207DA">
        <w:rPr>
          <w:b/>
          <w:bCs/>
          <w:sz w:val="22"/>
          <w:szCs w:val="22"/>
        </w:rPr>
        <w:t>.2 Number of Childen</w:t>
      </w:r>
      <w:r w:rsidR="006207DA">
        <w:rPr>
          <w:b/>
          <w:bCs/>
          <w:szCs w:val="24"/>
        </w:rPr>
        <w:t xml:space="preserve"> in the </w:t>
      </w:r>
      <w:r w:rsidR="009B4283">
        <w:rPr>
          <w:b/>
          <w:bCs/>
          <w:szCs w:val="24"/>
        </w:rPr>
        <w:t>H</w:t>
      </w:r>
      <w:r w:rsidR="006207DA">
        <w:rPr>
          <w:b/>
          <w:bCs/>
          <w:szCs w:val="24"/>
        </w:rPr>
        <w:t>ousehold</w:t>
      </w:r>
    </w:p>
    <w:p w:rsidR="00E436EF" w:rsidRDefault="006207DA">
      <w:pPr>
        <w:bidi w:val="0"/>
        <w:jc w:val="lowKashida"/>
        <w:rPr>
          <w:szCs w:val="24"/>
        </w:rPr>
      </w:pPr>
      <w:r>
        <w:rPr>
          <w:szCs w:val="24"/>
        </w:rPr>
        <w:t>With the exception of childless households, the incidence of poverty increases consistently by the additional number of children among households. Households with the least incidence of poverty are those with 1-2 children. The picture remains essentially the same when other poverty indexes are used to reflect the depth of poverty.</w:t>
      </w:r>
    </w:p>
    <w:p w:rsidR="00E436EF" w:rsidRDefault="00E436EF">
      <w:pPr>
        <w:bidi w:val="0"/>
        <w:jc w:val="center"/>
        <w:rPr>
          <w:szCs w:val="24"/>
        </w:rPr>
      </w:pPr>
    </w:p>
    <w:p w:rsidR="00E436EF" w:rsidRDefault="006207DA" w:rsidP="001F3264">
      <w:pPr>
        <w:bidi w:val="0"/>
        <w:jc w:val="center"/>
        <w:rPr>
          <w:b/>
          <w:bCs/>
          <w:sz w:val="22"/>
          <w:szCs w:val="22"/>
        </w:rPr>
      </w:pPr>
      <w:r>
        <w:rPr>
          <w:b/>
          <w:bCs/>
          <w:sz w:val="22"/>
          <w:szCs w:val="22"/>
        </w:rPr>
        <w:lastRenderedPageBreak/>
        <w:t>Table (</w:t>
      </w:r>
      <w:r w:rsidR="001F3264">
        <w:rPr>
          <w:b/>
          <w:bCs/>
          <w:sz w:val="22"/>
          <w:szCs w:val="22"/>
        </w:rPr>
        <w:t>5</w:t>
      </w:r>
      <w:r>
        <w:rPr>
          <w:b/>
          <w:bCs/>
          <w:sz w:val="22"/>
          <w:szCs w:val="22"/>
        </w:rPr>
        <w:t>-3):  Likelihood of being poor among households according to households monthly consumption by number of children in the household, 2010</w:t>
      </w:r>
    </w:p>
    <w:p w:rsidR="00E436EF" w:rsidRDefault="00E436EF">
      <w:pPr>
        <w:bidi w:val="0"/>
        <w:jc w:val="center"/>
        <w:rPr>
          <w:b/>
          <w:bCs/>
          <w:sz w:val="22"/>
          <w:szCs w:val="22"/>
        </w:rPr>
      </w:pPr>
    </w:p>
    <w:tbl>
      <w:tblPr>
        <w:tblW w:w="9072" w:type="dxa"/>
        <w:jc w:val="center"/>
        <w:tblBorders>
          <w:top w:val="single" w:sz="12" w:space="0" w:color="008000"/>
          <w:left w:val="nil"/>
          <w:bottom w:val="single" w:sz="12" w:space="0" w:color="008000"/>
          <w:right w:val="nil"/>
          <w:insideH w:val="nil"/>
          <w:insideV w:val="nil"/>
        </w:tblBorders>
        <w:tblLook w:val="00AF"/>
      </w:tblPr>
      <w:tblGrid>
        <w:gridCol w:w="3262"/>
        <w:gridCol w:w="2976"/>
        <w:gridCol w:w="2834"/>
      </w:tblGrid>
      <w:tr w:rsidR="00E436EF">
        <w:trPr>
          <w:cantSplit/>
          <w:jc w:val="center"/>
        </w:trPr>
        <w:tc>
          <w:tcPr>
            <w:tcW w:w="1798" w:type="pct"/>
            <w:vMerge w:val="restart"/>
            <w:tcBorders>
              <w:top w:val="single" w:sz="4" w:space="0" w:color="auto"/>
              <w:left w:val="single" w:sz="4" w:space="0" w:color="auto"/>
              <w:bottom w:val="single" w:sz="2" w:space="0" w:color="008000"/>
              <w:right w:val="single" w:sz="4" w:space="0" w:color="auto"/>
            </w:tcBorders>
            <w:vAlign w:val="center"/>
          </w:tcPr>
          <w:p w:rsidR="00E436EF" w:rsidRDefault="006207DA">
            <w:pPr>
              <w:bidi w:val="0"/>
              <w:jc w:val="center"/>
              <w:rPr>
                <w:rFonts w:ascii="Arial" w:hAnsi="Arial" w:cs="Arial"/>
                <w:b/>
                <w:bCs/>
                <w:sz w:val="18"/>
                <w:szCs w:val="18"/>
              </w:rPr>
            </w:pPr>
            <w:r>
              <w:rPr>
                <w:rFonts w:ascii="Arial" w:hAnsi="Arial" w:cs="Arial"/>
                <w:b/>
                <w:bCs/>
                <w:sz w:val="18"/>
                <w:szCs w:val="18"/>
              </w:rPr>
              <w:t>Number of Childen</w:t>
            </w:r>
          </w:p>
        </w:tc>
        <w:tc>
          <w:tcPr>
            <w:tcW w:w="3202" w:type="pct"/>
            <w:gridSpan w:val="2"/>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rFonts w:ascii="Arial" w:hAnsi="Arial" w:cs="Arial"/>
                <w:b/>
                <w:bCs/>
                <w:sz w:val="18"/>
                <w:szCs w:val="18"/>
              </w:rPr>
            </w:pPr>
            <w:r>
              <w:rPr>
                <w:rFonts w:ascii="Arial" w:hAnsi="Arial" w:cs="Arial"/>
                <w:b/>
                <w:bCs/>
                <w:sz w:val="18"/>
                <w:szCs w:val="18"/>
              </w:rPr>
              <w:t>Poverty</w:t>
            </w:r>
          </w:p>
        </w:tc>
      </w:tr>
      <w:tr w:rsidR="00E436EF">
        <w:trPr>
          <w:cantSplit/>
          <w:jc w:val="center"/>
        </w:trPr>
        <w:tc>
          <w:tcPr>
            <w:tcW w:w="1798" w:type="pct"/>
            <w:vMerge/>
            <w:tcBorders>
              <w:top w:val="single" w:sz="2" w:space="0" w:color="008000"/>
              <w:left w:val="single" w:sz="4" w:space="0" w:color="auto"/>
              <w:bottom w:val="single" w:sz="4" w:space="0" w:color="auto"/>
              <w:right w:val="single" w:sz="4" w:space="0" w:color="auto"/>
            </w:tcBorders>
            <w:vAlign w:val="center"/>
          </w:tcPr>
          <w:p w:rsidR="00E436EF" w:rsidRDefault="00E436EF">
            <w:pPr>
              <w:bidi w:val="0"/>
              <w:jc w:val="center"/>
              <w:rPr>
                <w:sz w:val="22"/>
                <w:szCs w:val="22"/>
              </w:rPr>
            </w:pPr>
          </w:p>
        </w:tc>
        <w:tc>
          <w:tcPr>
            <w:tcW w:w="1640"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rPr>
                <w:rFonts w:ascii="Arial" w:hAnsi="Arial" w:cs="Arial"/>
                <w:sz w:val="18"/>
                <w:szCs w:val="18"/>
              </w:rPr>
            </w:pPr>
            <w:r>
              <w:rPr>
                <w:rFonts w:ascii="Arial" w:hAnsi="Arial" w:cs="Arial"/>
                <w:sz w:val="18"/>
                <w:szCs w:val="18"/>
              </w:rPr>
              <w:t xml:space="preserve">                Value</w:t>
            </w:r>
          </w:p>
        </w:tc>
        <w:tc>
          <w:tcPr>
            <w:tcW w:w="1562"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rFonts w:ascii="Arial" w:hAnsi="Arial" w:cs="Arial"/>
                <w:sz w:val="18"/>
                <w:szCs w:val="18"/>
              </w:rPr>
            </w:pPr>
            <w:r>
              <w:rPr>
                <w:rFonts w:ascii="Arial" w:hAnsi="Arial" w:cs="Arial"/>
                <w:sz w:val="18"/>
                <w:szCs w:val="18"/>
              </w:rPr>
              <w:t>Contribution</w:t>
            </w:r>
          </w:p>
        </w:tc>
      </w:tr>
      <w:tr w:rsidR="00E436EF">
        <w:trPr>
          <w:jc w:val="center"/>
        </w:trPr>
        <w:tc>
          <w:tcPr>
            <w:tcW w:w="1798" w:type="pct"/>
            <w:tcBorders>
              <w:top w:val="single" w:sz="4" w:space="0" w:color="auto"/>
              <w:left w:val="single" w:sz="4" w:space="0" w:color="auto"/>
              <w:right w:val="single" w:sz="4" w:space="0" w:color="auto"/>
            </w:tcBorders>
            <w:vAlign w:val="center"/>
          </w:tcPr>
          <w:p w:rsidR="00E436EF" w:rsidRDefault="006207DA" w:rsidP="001409FB">
            <w:pPr>
              <w:bidi w:val="0"/>
              <w:rPr>
                <w:rFonts w:ascii="Arial" w:hAnsi="Arial" w:cs="Arial"/>
                <w:sz w:val="18"/>
                <w:szCs w:val="18"/>
              </w:rPr>
            </w:pPr>
            <w:r>
              <w:rPr>
                <w:rFonts w:ascii="Arial" w:hAnsi="Arial" w:cs="Arial" w:hint="cs"/>
                <w:sz w:val="18"/>
                <w:szCs w:val="18"/>
                <w:rtl/>
              </w:rPr>
              <w:t>0</w:t>
            </w:r>
          </w:p>
        </w:tc>
        <w:tc>
          <w:tcPr>
            <w:tcW w:w="1640" w:type="pct"/>
            <w:tcBorders>
              <w:top w:val="single" w:sz="4" w:space="0" w:color="auto"/>
              <w:left w:val="single" w:sz="4" w:space="0" w:color="auto"/>
              <w:bottom w:val="nil"/>
            </w:tcBorders>
            <w:vAlign w:val="center"/>
          </w:tcPr>
          <w:p w:rsidR="00E436EF" w:rsidRDefault="006207DA">
            <w:pPr>
              <w:ind w:left="328"/>
              <w:jc w:val="center"/>
              <w:rPr>
                <w:rFonts w:ascii="Arial" w:hAnsi="Arial" w:cs="Arial"/>
                <w:sz w:val="18"/>
                <w:szCs w:val="18"/>
              </w:rPr>
            </w:pPr>
            <w:r>
              <w:rPr>
                <w:rFonts w:ascii="Arial" w:hAnsi="Arial" w:cs="Arial"/>
                <w:sz w:val="18"/>
                <w:szCs w:val="18"/>
              </w:rPr>
              <w:t>15.8</w:t>
            </w:r>
          </w:p>
        </w:tc>
        <w:tc>
          <w:tcPr>
            <w:tcW w:w="1562" w:type="pct"/>
            <w:tcBorders>
              <w:top w:val="single" w:sz="4" w:space="0" w:color="auto"/>
              <w:bottom w:val="nil"/>
              <w:right w:val="single" w:sz="4" w:space="0" w:color="auto"/>
            </w:tcBorders>
            <w:vAlign w:val="center"/>
          </w:tcPr>
          <w:p w:rsidR="00E436EF" w:rsidRDefault="006207DA">
            <w:pPr>
              <w:ind w:left="328"/>
              <w:jc w:val="center"/>
              <w:rPr>
                <w:rFonts w:ascii="Arial" w:hAnsi="Arial" w:cs="Arial"/>
                <w:sz w:val="18"/>
                <w:szCs w:val="18"/>
              </w:rPr>
            </w:pPr>
            <w:r>
              <w:rPr>
                <w:rFonts w:ascii="Arial" w:hAnsi="Arial" w:cs="Arial" w:hint="cs"/>
                <w:sz w:val="18"/>
                <w:szCs w:val="18"/>
                <w:rtl/>
              </w:rPr>
              <w:t>14.6</w:t>
            </w:r>
          </w:p>
        </w:tc>
      </w:tr>
      <w:tr w:rsidR="00E436EF">
        <w:trPr>
          <w:jc w:val="center"/>
        </w:trPr>
        <w:tc>
          <w:tcPr>
            <w:tcW w:w="1798" w:type="pct"/>
            <w:tcBorders>
              <w:left w:val="single" w:sz="4" w:space="0" w:color="auto"/>
              <w:right w:val="single" w:sz="4" w:space="0" w:color="auto"/>
            </w:tcBorders>
            <w:vAlign w:val="center"/>
          </w:tcPr>
          <w:p w:rsidR="00E436EF" w:rsidRDefault="006207DA" w:rsidP="001409FB">
            <w:pPr>
              <w:bidi w:val="0"/>
              <w:rPr>
                <w:rFonts w:ascii="Arial" w:hAnsi="Arial" w:cs="Arial"/>
                <w:sz w:val="18"/>
                <w:szCs w:val="18"/>
              </w:rPr>
            </w:pPr>
            <w:r>
              <w:rPr>
                <w:rFonts w:ascii="Arial" w:hAnsi="Arial" w:cs="Arial"/>
                <w:sz w:val="18"/>
                <w:szCs w:val="18"/>
              </w:rPr>
              <w:t>1-2</w:t>
            </w:r>
          </w:p>
        </w:tc>
        <w:tc>
          <w:tcPr>
            <w:tcW w:w="1640" w:type="pct"/>
            <w:tcBorders>
              <w:top w:val="nil"/>
              <w:left w:val="single" w:sz="4" w:space="0" w:color="auto"/>
              <w:bottom w:val="nil"/>
            </w:tcBorders>
            <w:vAlign w:val="center"/>
          </w:tcPr>
          <w:p w:rsidR="00E436EF" w:rsidRDefault="006207DA">
            <w:pPr>
              <w:ind w:left="328"/>
              <w:jc w:val="center"/>
              <w:rPr>
                <w:rFonts w:ascii="Arial" w:hAnsi="Arial" w:cs="Arial"/>
                <w:sz w:val="18"/>
                <w:szCs w:val="18"/>
              </w:rPr>
            </w:pPr>
            <w:r>
              <w:rPr>
                <w:rFonts w:ascii="Arial" w:hAnsi="Arial" w:cs="Arial" w:hint="cs"/>
                <w:sz w:val="18"/>
                <w:szCs w:val="18"/>
                <w:rtl/>
              </w:rPr>
              <w:t>16.4</w:t>
            </w:r>
          </w:p>
        </w:tc>
        <w:tc>
          <w:tcPr>
            <w:tcW w:w="1562" w:type="pct"/>
            <w:tcBorders>
              <w:top w:val="nil"/>
              <w:bottom w:val="nil"/>
              <w:right w:val="single" w:sz="4" w:space="0" w:color="auto"/>
            </w:tcBorders>
            <w:vAlign w:val="center"/>
          </w:tcPr>
          <w:p w:rsidR="00E436EF" w:rsidRDefault="006207DA">
            <w:pPr>
              <w:ind w:left="328"/>
              <w:jc w:val="center"/>
              <w:rPr>
                <w:rFonts w:ascii="Arial" w:hAnsi="Arial" w:cs="Arial"/>
                <w:sz w:val="18"/>
                <w:szCs w:val="18"/>
              </w:rPr>
            </w:pPr>
            <w:r>
              <w:rPr>
                <w:rFonts w:ascii="Arial" w:hAnsi="Arial" w:cs="Arial" w:hint="cs"/>
                <w:sz w:val="18"/>
                <w:szCs w:val="18"/>
                <w:rtl/>
              </w:rPr>
              <w:t>19.4</w:t>
            </w:r>
          </w:p>
        </w:tc>
      </w:tr>
      <w:tr w:rsidR="00E436EF">
        <w:trPr>
          <w:jc w:val="center"/>
        </w:trPr>
        <w:tc>
          <w:tcPr>
            <w:tcW w:w="1798" w:type="pct"/>
            <w:tcBorders>
              <w:left w:val="single" w:sz="4" w:space="0" w:color="auto"/>
              <w:right w:val="single" w:sz="4" w:space="0" w:color="auto"/>
            </w:tcBorders>
            <w:vAlign w:val="center"/>
          </w:tcPr>
          <w:p w:rsidR="00E436EF" w:rsidRDefault="006207DA" w:rsidP="001409FB">
            <w:pPr>
              <w:bidi w:val="0"/>
              <w:rPr>
                <w:rFonts w:ascii="Arial" w:hAnsi="Arial" w:cs="Arial"/>
                <w:sz w:val="18"/>
                <w:szCs w:val="18"/>
              </w:rPr>
            </w:pPr>
            <w:r>
              <w:rPr>
                <w:rFonts w:ascii="Arial" w:hAnsi="Arial" w:cs="Arial"/>
                <w:sz w:val="18"/>
                <w:szCs w:val="18"/>
              </w:rPr>
              <w:t>3-4</w:t>
            </w:r>
          </w:p>
        </w:tc>
        <w:tc>
          <w:tcPr>
            <w:tcW w:w="1640" w:type="pct"/>
            <w:tcBorders>
              <w:top w:val="nil"/>
              <w:left w:val="single" w:sz="4" w:space="0" w:color="auto"/>
              <w:bottom w:val="nil"/>
            </w:tcBorders>
            <w:vAlign w:val="center"/>
          </w:tcPr>
          <w:p w:rsidR="00E436EF" w:rsidRDefault="006207DA">
            <w:pPr>
              <w:ind w:left="328"/>
              <w:jc w:val="center"/>
              <w:rPr>
                <w:rFonts w:ascii="Arial" w:hAnsi="Arial" w:cs="Arial"/>
                <w:sz w:val="18"/>
                <w:szCs w:val="18"/>
              </w:rPr>
            </w:pPr>
            <w:r>
              <w:rPr>
                <w:rFonts w:ascii="Arial" w:hAnsi="Arial" w:cs="Arial" w:hint="cs"/>
                <w:sz w:val="18"/>
                <w:szCs w:val="18"/>
                <w:rtl/>
              </w:rPr>
              <w:t>20.6</w:t>
            </w:r>
          </w:p>
        </w:tc>
        <w:tc>
          <w:tcPr>
            <w:tcW w:w="1562" w:type="pct"/>
            <w:tcBorders>
              <w:top w:val="nil"/>
              <w:bottom w:val="nil"/>
              <w:right w:val="single" w:sz="4" w:space="0" w:color="auto"/>
            </w:tcBorders>
            <w:vAlign w:val="center"/>
          </w:tcPr>
          <w:p w:rsidR="00E436EF" w:rsidRDefault="006207DA">
            <w:pPr>
              <w:ind w:left="328"/>
              <w:jc w:val="center"/>
              <w:rPr>
                <w:rFonts w:ascii="Arial" w:hAnsi="Arial" w:cs="Arial"/>
                <w:sz w:val="18"/>
                <w:szCs w:val="18"/>
              </w:rPr>
            </w:pPr>
            <w:r>
              <w:rPr>
                <w:rFonts w:ascii="Arial" w:hAnsi="Arial" w:cs="Arial" w:hint="cs"/>
                <w:sz w:val="18"/>
                <w:szCs w:val="18"/>
                <w:rtl/>
              </w:rPr>
              <w:t>29.2</w:t>
            </w:r>
          </w:p>
        </w:tc>
      </w:tr>
      <w:tr w:rsidR="00E436EF">
        <w:trPr>
          <w:jc w:val="center"/>
        </w:trPr>
        <w:tc>
          <w:tcPr>
            <w:tcW w:w="1798" w:type="pct"/>
            <w:tcBorders>
              <w:left w:val="single" w:sz="4" w:space="0" w:color="auto"/>
              <w:right w:val="single" w:sz="4" w:space="0" w:color="auto"/>
            </w:tcBorders>
            <w:vAlign w:val="center"/>
          </w:tcPr>
          <w:p w:rsidR="00E436EF" w:rsidRDefault="006207DA" w:rsidP="001409FB">
            <w:pPr>
              <w:bidi w:val="0"/>
              <w:rPr>
                <w:rFonts w:ascii="Arial" w:hAnsi="Arial" w:cs="Arial"/>
                <w:sz w:val="18"/>
                <w:szCs w:val="18"/>
              </w:rPr>
            </w:pPr>
            <w:r>
              <w:rPr>
                <w:rFonts w:ascii="Arial" w:hAnsi="Arial" w:cs="Arial"/>
                <w:sz w:val="18"/>
                <w:szCs w:val="18"/>
              </w:rPr>
              <w:t>5-6</w:t>
            </w:r>
          </w:p>
        </w:tc>
        <w:tc>
          <w:tcPr>
            <w:tcW w:w="1640" w:type="pct"/>
            <w:tcBorders>
              <w:top w:val="nil"/>
              <w:left w:val="single" w:sz="4" w:space="0" w:color="auto"/>
              <w:bottom w:val="nil"/>
            </w:tcBorders>
            <w:vAlign w:val="center"/>
          </w:tcPr>
          <w:p w:rsidR="00E436EF" w:rsidRDefault="006207DA">
            <w:pPr>
              <w:ind w:left="328"/>
              <w:jc w:val="center"/>
              <w:rPr>
                <w:rFonts w:ascii="Arial" w:hAnsi="Arial" w:cs="Arial"/>
                <w:sz w:val="18"/>
                <w:szCs w:val="18"/>
              </w:rPr>
            </w:pPr>
            <w:r>
              <w:rPr>
                <w:rFonts w:ascii="Arial" w:hAnsi="Arial" w:cs="Arial" w:hint="cs"/>
                <w:sz w:val="18"/>
                <w:szCs w:val="18"/>
                <w:rtl/>
              </w:rPr>
              <w:t>28.2</w:t>
            </w:r>
          </w:p>
        </w:tc>
        <w:tc>
          <w:tcPr>
            <w:tcW w:w="1562" w:type="pct"/>
            <w:tcBorders>
              <w:top w:val="nil"/>
              <w:bottom w:val="nil"/>
              <w:right w:val="single" w:sz="4" w:space="0" w:color="auto"/>
            </w:tcBorders>
            <w:vAlign w:val="center"/>
          </w:tcPr>
          <w:p w:rsidR="00E436EF" w:rsidRDefault="006207DA">
            <w:pPr>
              <w:ind w:left="328"/>
              <w:jc w:val="center"/>
              <w:rPr>
                <w:rFonts w:ascii="Arial" w:hAnsi="Arial" w:cs="Arial"/>
                <w:sz w:val="18"/>
                <w:szCs w:val="18"/>
              </w:rPr>
            </w:pPr>
            <w:r>
              <w:rPr>
                <w:rFonts w:ascii="Arial" w:hAnsi="Arial" w:cs="Arial" w:hint="cs"/>
                <w:sz w:val="18"/>
                <w:szCs w:val="18"/>
                <w:rtl/>
              </w:rPr>
              <w:t>23.8</w:t>
            </w:r>
          </w:p>
        </w:tc>
      </w:tr>
      <w:tr w:rsidR="00E436EF">
        <w:trPr>
          <w:jc w:val="center"/>
        </w:trPr>
        <w:tc>
          <w:tcPr>
            <w:tcW w:w="1798" w:type="pct"/>
            <w:tcBorders>
              <w:left w:val="single" w:sz="4" w:space="0" w:color="auto"/>
              <w:right w:val="single" w:sz="4" w:space="0" w:color="auto"/>
            </w:tcBorders>
            <w:vAlign w:val="center"/>
          </w:tcPr>
          <w:p w:rsidR="00E436EF" w:rsidRDefault="006207DA" w:rsidP="001409FB">
            <w:pPr>
              <w:bidi w:val="0"/>
              <w:rPr>
                <w:rFonts w:ascii="Arial" w:hAnsi="Arial" w:cs="Arial"/>
                <w:sz w:val="18"/>
                <w:szCs w:val="18"/>
              </w:rPr>
            </w:pPr>
            <w:r>
              <w:rPr>
                <w:rFonts w:ascii="Arial" w:hAnsi="Arial" w:cs="Arial"/>
                <w:sz w:val="18"/>
                <w:szCs w:val="18"/>
              </w:rPr>
              <w:t>7+</w:t>
            </w:r>
          </w:p>
        </w:tc>
        <w:tc>
          <w:tcPr>
            <w:tcW w:w="1640" w:type="pct"/>
            <w:tcBorders>
              <w:top w:val="nil"/>
              <w:left w:val="single" w:sz="4" w:space="0" w:color="auto"/>
              <w:bottom w:val="nil"/>
            </w:tcBorders>
            <w:vAlign w:val="center"/>
          </w:tcPr>
          <w:p w:rsidR="00E436EF" w:rsidRDefault="006207DA">
            <w:pPr>
              <w:ind w:left="328"/>
              <w:jc w:val="center"/>
              <w:rPr>
                <w:rFonts w:ascii="Arial" w:hAnsi="Arial" w:cs="Arial"/>
                <w:sz w:val="18"/>
                <w:szCs w:val="18"/>
              </w:rPr>
            </w:pPr>
            <w:r>
              <w:rPr>
                <w:rFonts w:ascii="Arial" w:hAnsi="Arial" w:cs="Arial" w:hint="cs"/>
                <w:sz w:val="18"/>
                <w:szCs w:val="18"/>
                <w:rtl/>
              </w:rPr>
              <w:t>43.0</w:t>
            </w:r>
          </w:p>
        </w:tc>
        <w:tc>
          <w:tcPr>
            <w:tcW w:w="1562" w:type="pct"/>
            <w:tcBorders>
              <w:top w:val="nil"/>
              <w:bottom w:val="nil"/>
              <w:right w:val="single" w:sz="4" w:space="0" w:color="auto"/>
            </w:tcBorders>
            <w:vAlign w:val="center"/>
          </w:tcPr>
          <w:p w:rsidR="00E436EF" w:rsidRDefault="006207DA">
            <w:pPr>
              <w:ind w:left="328"/>
              <w:jc w:val="center"/>
              <w:rPr>
                <w:rFonts w:ascii="Arial" w:hAnsi="Arial" w:cs="Arial"/>
                <w:sz w:val="18"/>
                <w:szCs w:val="18"/>
              </w:rPr>
            </w:pPr>
            <w:r>
              <w:rPr>
                <w:rFonts w:ascii="Arial" w:hAnsi="Arial" w:cs="Arial" w:hint="cs"/>
                <w:sz w:val="18"/>
                <w:szCs w:val="18"/>
                <w:rtl/>
              </w:rPr>
              <w:t>13.0</w:t>
            </w:r>
          </w:p>
        </w:tc>
      </w:tr>
      <w:tr w:rsidR="00E436EF">
        <w:trPr>
          <w:jc w:val="center"/>
        </w:trPr>
        <w:tc>
          <w:tcPr>
            <w:tcW w:w="1798" w:type="pct"/>
            <w:tcBorders>
              <w:left w:val="single" w:sz="4" w:space="0" w:color="auto"/>
              <w:bottom w:val="single" w:sz="4" w:space="0" w:color="auto"/>
              <w:right w:val="single" w:sz="4" w:space="0" w:color="auto"/>
            </w:tcBorders>
            <w:vAlign w:val="center"/>
          </w:tcPr>
          <w:p w:rsidR="00E436EF" w:rsidRDefault="006207DA" w:rsidP="001409FB">
            <w:pPr>
              <w:bidi w:val="0"/>
              <w:rPr>
                <w:rFonts w:ascii="Arial" w:hAnsi="Arial" w:cs="Arial"/>
                <w:b/>
                <w:bCs/>
                <w:sz w:val="18"/>
                <w:szCs w:val="18"/>
              </w:rPr>
            </w:pPr>
            <w:r>
              <w:rPr>
                <w:rFonts w:ascii="Arial" w:hAnsi="Arial" w:cs="Arial"/>
                <w:b/>
                <w:bCs/>
                <w:sz w:val="18"/>
                <w:szCs w:val="18"/>
              </w:rPr>
              <w:t>Total</w:t>
            </w:r>
          </w:p>
        </w:tc>
        <w:tc>
          <w:tcPr>
            <w:tcW w:w="1640" w:type="pct"/>
            <w:tcBorders>
              <w:top w:val="nil"/>
              <w:left w:val="single" w:sz="4" w:space="0" w:color="auto"/>
              <w:bottom w:val="single" w:sz="4" w:space="0" w:color="auto"/>
            </w:tcBorders>
            <w:vAlign w:val="center"/>
          </w:tcPr>
          <w:p w:rsidR="00E436EF" w:rsidRDefault="006207DA">
            <w:pPr>
              <w:ind w:left="328"/>
              <w:jc w:val="center"/>
              <w:rPr>
                <w:rFonts w:ascii="Arial" w:hAnsi="Arial" w:cs="Arial"/>
                <w:b/>
                <w:bCs/>
                <w:sz w:val="18"/>
                <w:szCs w:val="18"/>
                <w:rtl/>
              </w:rPr>
            </w:pPr>
            <w:r>
              <w:rPr>
                <w:rFonts w:ascii="Arial" w:hAnsi="Arial" w:cs="Arial" w:hint="cs"/>
                <w:b/>
                <w:bCs/>
                <w:sz w:val="18"/>
                <w:szCs w:val="18"/>
                <w:rtl/>
              </w:rPr>
              <w:t>21.4</w:t>
            </w:r>
          </w:p>
        </w:tc>
        <w:tc>
          <w:tcPr>
            <w:tcW w:w="1562" w:type="pct"/>
            <w:tcBorders>
              <w:top w:val="nil"/>
              <w:bottom w:val="single" w:sz="4" w:space="0" w:color="auto"/>
              <w:right w:val="single" w:sz="4" w:space="0" w:color="auto"/>
            </w:tcBorders>
            <w:vAlign w:val="center"/>
          </w:tcPr>
          <w:p w:rsidR="00E436EF" w:rsidRDefault="006207DA">
            <w:pPr>
              <w:ind w:left="328"/>
              <w:jc w:val="center"/>
              <w:rPr>
                <w:rFonts w:ascii="Arial" w:hAnsi="Arial" w:cs="Arial"/>
                <w:b/>
                <w:bCs/>
                <w:sz w:val="18"/>
                <w:szCs w:val="18"/>
              </w:rPr>
            </w:pPr>
            <w:r>
              <w:rPr>
                <w:rFonts w:ascii="Arial" w:hAnsi="Arial" w:cs="Arial" w:hint="cs"/>
                <w:b/>
                <w:bCs/>
                <w:sz w:val="18"/>
                <w:szCs w:val="18"/>
                <w:rtl/>
              </w:rPr>
              <w:t>100</w:t>
            </w:r>
          </w:p>
        </w:tc>
      </w:tr>
    </w:tbl>
    <w:p w:rsidR="00E436EF" w:rsidRDefault="006207DA">
      <w:pPr>
        <w:bidi w:val="0"/>
        <w:ind w:right="-2"/>
        <w:jc w:val="lowKashida"/>
        <w:rPr>
          <w:b/>
          <w:bCs/>
          <w:sz w:val="22"/>
          <w:szCs w:val="22"/>
        </w:rPr>
      </w:pPr>
      <w:r>
        <w:rPr>
          <w:b/>
          <w:bCs/>
          <w:sz w:val="18"/>
          <w:szCs w:val="18"/>
        </w:rPr>
        <w:t>Source: Palestinian Central Bureau of Statistics</w:t>
      </w:r>
      <w:r>
        <w:rPr>
          <w:sz w:val="18"/>
          <w:szCs w:val="18"/>
        </w:rPr>
        <w:t xml:space="preserve">, </w:t>
      </w:r>
      <w:r>
        <w:rPr>
          <w:b/>
          <w:bCs/>
          <w:sz w:val="18"/>
          <w:szCs w:val="18"/>
        </w:rPr>
        <w:t>2011</w:t>
      </w:r>
      <w:r>
        <w:rPr>
          <w:sz w:val="18"/>
          <w:szCs w:val="18"/>
        </w:rPr>
        <w:t xml:space="preserve">. </w:t>
      </w:r>
      <w:r>
        <w:rPr>
          <w:i/>
          <w:iCs/>
          <w:sz w:val="18"/>
          <w:szCs w:val="18"/>
        </w:rPr>
        <w:t xml:space="preserve">data base of Palestinian Expenditure and consumption survey, 2010. </w:t>
      </w:r>
      <w:r>
        <w:rPr>
          <w:i/>
          <w:iCs/>
          <w:sz w:val="20"/>
        </w:rPr>
        <w:t xml:space="preserve">.(unpublished data)- </w:t>
      </w:r>
      <w:r w:rsidRPr="00C5641D">
        <w:rPr>
          <w:b/>
          <w:bCs/>
          <w:sz w:val="20"/>
        </w:rPr>
        <w:t>Ramallah- Palestine</w:t>
      </w:r>
      <w:r>
        <w:rPr>
          <w:sz w:val="20"/>
        </w:rPr>
        <w:t>.</w:t>
      </w:r>
    </w:p>
    <w:p w:rsidR="00E436EF" w:rsidRDefault="00E436EF">
      <w:pPr>
        <w:bidi w:val="0"/>
        <w:jc w:val="right"/>
        <w:rPr>
          <w:sz w:val="22"/>
          <w:szCs w:val="22"/>
        </w:rPr>
      </w:pPr>
    </w:p>
    <w:p w:rsidR="00E436EF" w:rsidRDefault="00E436EF">
      <w:pPr>
        <w:tabs>
          <w:tab w:val="right" w:pos="9214"/>
        </w:tabs>
        <w:bidi w:val="0"/>
        <w:ind w:left="990" w:right="1060" w:hanging="990"/>
        <w:rPr>
          <w:b/>
          <w:bCs/>
          <w:sz w:val="18"/>
          <w:szCs w:val="18"/>
        </w:rPr>
      </w:pPr>
    </w:p>
    <w:p w:rsidR="00E436EF" w:rsidRDefault="001F3264">
      <w:pPr>
        <w:tabs>
          <w:tab w:val="right" w:pos="9214"/>
        </w:tabs>
        <w:bidi w:val="0"/>
        <w:ind w:left="990" w:right="1060" w:hanging="990"/>
        <w:rPr>
          <w:b/>
          <w:bCs/>
        </w:rPr>
      </w:pPr>
      <w:r>
        <w:rPr>
          <w:b/>
          <w:bCs/>
        </w:rPr>
        <w:t>5</w:t>
      </w:r>
      <w:r w:rsidR="006207DA">
        <w:rPr>
          <w:b/>
          <w:bCs/>
        </w:rPr>
        <w:t>.3 Child Labor</w:t>
      </w:r>
    </w:p>
    <w:p w:rsidR="005E30A6" w:rsidRDefault="005E30A6" w:rsidP="00EB30B1">
      <w:pPr>
        <w:bidi w:val="0"/>
        <w:jc w:val="both"/>
        <w:rPr>
          <w:szCs w:val="24"/>
        </w:rPr>
      </w:pPr>
      <w:r w:rsidRPr="00B2059F">
        <w:rPr>
          <w:szCs w:val="24"/>
        </w:rPr>
        <w:t>A</w:t>
      </w:r>
      <w:r>
        <w:rPr>
          <w:szCs w:val="24"/>
        </w:rPr>
        <w:t>bout</w:t>
      </w:r>
      <w:r w:rsidRPr="00B2059F">
        <w:rPr>
          <w:szCs w:val="24"/>
        </w:rPr>
        <w:t xml:space="preserve"> 65 thousand child; 6.0 </w:t>
      </w:r>
      <w:r w:rsidR="00EB30B1">
        <w:rPr>
          <w:szCs w:val="24"/>
        </w:rPr>
        <w:t>%</w:t>
      </w:r>
      <w:r w:rsidRPr="00B2059F">
        <w:rPr>
          <w:szCs w:val="24"/>
        </w:rPr>
        <w:t xml:space="preserve"> out of the average number of children aged 5-14 years are working children </w:t>
      </w:r>
      <w:r>
        <w:rPr>
          <w:szCs w:val="24"/>
        </w:rPr>
        <w:t>paid or unpaid in 2010;</w:t>
      </w:r>
      <w:r w:rsidRPr="00B2059F">
        <w:rPr>
          <w:szCs w:val="24"/>
        </w:rPr>
        <w:t xml:space="preserve"> 8.0</w:t>
      </w:r>
      <w:r w:rsidR="00EB30B1">
        <w:rPr>
          <w:szCs w:val="24"/>
        </w:rPr>
        <w:t>%</w:t>
      </w:r>
      <w:r>
        <w:rPr>
          <w:szCs w:val="24"/>
        </w:rPr>
        <w:t xml:space="preserve"> </w:t>
      </w:r>
      <w:r w:rsidRPr="00B2059F">
        <w:rPr>
          <w:szCs w:val="24"/>
        </w:rPr>
        <w:t xml:space="preserve"> in the </w:t>
      </w:r>
      <w:r>
        <w:rPr>
          <w:szCs w:val="24"/>
        </w:rPr>
        <w:t>W</w:t>
      </w:r>
      <w:r w:rsidRPr="00B2059F">
        <w:rPr>
          <w:szCs w:val="24"/>
        </w:rPr>
        <w:t>est Bank and 3.1</w:t>
      </w:r>
      <w:r w:rsidR="00EB30B1">
        <w:rPr>
          <w:szCs w:val="24"/>
        </w:rPr>
        <w:t>%</w:t>
      </w:r>
      <w:r>
        <w:rPr>
          <w:szCs w:val="24"/>
        </w:rPr>
        <w:t xml:space="preserve"> </w:t>
      </w:r>
      <w:r w:rsidR="00EB30B1">
        <w:rPr>
          <w:szCs w:val="24"/>
        </w:rPr>
        <w:t xml:space="preserve"> </w:t>
      </w:r>
      <w:r w:rsidRPr="00B2059F">
        <w:rPr>
          <w:szCs w:val="24"/>
        </w:rPr>
        <w:t xml:space="preserve">in Gaza </w:t>
      </w:r>
      <w:r>
        <w:rPr>
          <w:szCs w:val="24"/>
        </w:rPr>
        <w:t>S</w:t>
      </w:r>
      <w:r w:rsidRPr="00B2059F">
        <w:rPr>
          <w:szCs w:val="24"/>
        </w:rPr>
        <w:t>trip</w:t>
      </w:r>
      <w:r>
        <w:rPr>
          <w:szCs w:val="24"/>
        </w:rPr>
        <w:t>,</w:t>
      </w:r>
      <w:r w:rsidRPr="00B2059F">
        <w:rPr>
          <w:szCs w:val="24"/>
        </w:rPr>
        <w:t xml:space="preserve"> and it is clear that male children who are engaged in working is higher; 7.7</w:t>
      </w:r>
      <w:r w:rsidR="00EB30B1">
        <w:rPr>
          <w:szCs w:val="24"/>
        </w:rPr>
        <w:t>%</w:t>
      </w:r>
      <w:r w:rsidRPr="00B2059F">
        <w:rPr>
          <w:szCs w:val="24"/>
        </w:rPr>
        <w:t xml:space="preserve"> </w:t>
      </w:r>
      <w:r>
        <w:rPr>
          <w:szCs w:val="24"/>
        </w:rPr>
        <w:t>compared to</w:t>
      </w:r>
      <w:r w:rsidRPr="00B2059F">
        <w:rPr>
          <w:szCs w:val="24"/>
        </w:rPr>
        <w:t xml:space="preserve"> 4.2</w:t>
      </w:r>
      <w:r w:rsidR="00EB30B1">
        <w:rPr>
          <w:szCs w:val="24"/>
        </w:rPr>
        <w:t>%</w:t>
      </w:r>
      <w:r>
        <w:rPr>
          <w:szCs w:val="24"/>
        </w:rPr>
        <w:t xml:space="preserve"> </w:t>
      </w:r>
      <w:r w:rsidRPr="00B2059F">
        <w:rPr>
          <w:szCs w:val="24"/>
        </w:rPr>
        <w:t>female children</w:t>
      </w:r>
      <w:r>
        <w:rPr>
          <w:szCs w:val="24"/>
        </w:rPr>
        <w:t>.</w:t>
      </w:r>
      <w:r w:rsidRPr="00B2059F">
        <w:rPr>
          <w:szCs w:val="24"/>
        </w:rPr>
        <w:t xml:space="preserve"> </w:t>
      </w:r>
    </w:p>
    <w:p w:rsidR="00E436EF" w:rsidRDefault="00E436EF">
      <w:pPr>
        <w:pStyle w:val="BodyText2"/>
        <w:rPr>
          <w:rFonts w:cs="Simplified Arabic"/>
        </w:rPr>
      </w:pPr>
    </w:p>
    <w:p w:rsidR="00E436EF" w:rsidRDefault="006207DA">
      <w:pPr>
        <w:pStyle w:val="BodyText2"/>
        <w:rPr>
          <w:rFonts w:cs="Simplified Arabic"/>
          <w:b/>
          <w:bCs/>
        </w:rPr>
      </w:pPr>
      <w:r>
        <w:rPr>
          <w:rFonts w:cs="Simplified Arabic"/>
          <w:b/>
          <w:bCs/>
        </w:rPr>
        <w:t>The Concept of Child Labor</w:t>
      </w:r>
    </w:p>
    <w:p w:rsidR="00E436EF" w:rsidRDefault="006207DA">
      <w:pPr>
        <w:bidi w:val="0"/>
        <w:jc w:val="both"/>
        <w:rPr>
          <w:szCs w:val="24"/>
        </w:rPr>
      </w:pPr>
      <w:r>
        <w:rPr>
          <w:szCs w:val="24"/>
        </w:rPr>
        <w:t>It has recently been acknowledged to differentiate between two kinds of child labor, 'acceptable' and 'unacceptable' kinds because an overall and general look at all child labor distorts the problem. This view leads to extra difficulties concerning ending the violations.  The extent of the impact of child labor on a child’s growth is the main criterion to decide when it becomes a problem. For example, safe work for adults may be harmful for children. The following are the main growth characteristics of children which are affected by child labor: physical growth, including general health, physiological growth, sight and hearing, knowledge development ability, reading, writing, calculating and gaining necessary knowledge for daily life, emotional development; self esteem, family unity, love and accepting others, and social and moral development; being a member of a group, cooperation and distinguishing between wrong and right.</w:t>
      </w:r>
    </w:p>
    <w:p w:rsidR="00E436EF" w:rsidRDefault="00E436EF">
      <w:pPr>
        <w:bidi w:val="0"/>
        <w:jc w:val="both"/>
        <w:rPr>
          <w:szCs w:val="24"/>
        </w:rPr>
      </w:pPr>
    </w:p>
    <w:p w:rsidR="00E436EF" w:rsidRDefault="006207DA">
      <w:pPr>
        <w:bidi w:val="0"/>
        <w:jc w:val="both"/>
      </w:pPr>
      <w:r>
        <w:t>The prevalence of the child labor phenomenon in Palestinian society has become a cause for concern which demands greater interest and effective procedures to stop it from expanding. Many studies in different countries highlighted the negative impact of this phenomenon on the political, social and economical structure of the society and the future of the young. It is also a severe violation of the most basic of children's rights. The argument in this area has two main dimensions: using laws and legislation to overthrow this phenomenon, and an indepth understanding of the social, cultural, economical and political factors causing, reinforcing and controlling it..</w:t>
      </w:r>
    </w:p>
    <w:p w:rsidR="00E436EF" w:rsidRDefault="00E436EF">
      <w:pPr>
        <w:bidi w:val="0"/>
        <w:jc w:val="both"/>
        <w:rPr>
          <w:rFonts w:cs="Simplified Arabic"/>
        </w:rPr>
      </w:pPr>
    </w:p>
    <w:p w:rsidR="00E436EF" w:rsidRDefault="00E436EF">
      <w:pPr>
        <w:bidi w:val="0"/>
        <w:jc w:val="both"/>
        <w:rPr>
          <w:rFonts w:cs="Simplified Arabic"/>
        </w:rPr>
      </w:pPr>
    </w:p>
    <w:p w:rsidR="00E436EF" w:rsidRDefault="00E436EF">
      <w:pPr>
        <w:bidi w:val="0"/>
        <w:jc w:val="both"/>
        <w:rPr>
          <w:rFonts w:cs="Simplified Arabic"/>
        </w:rPr>
      </w:pPr>
    </w:p>
    <w:p w:rsidR="00E436EF" w:rsidRDefault="00E436EF">
      <w:pPr>
        <w:bidi w:val="0"/>
        <w:jc w:val="both"/>
        <w:rPr>
          <w:rFonts w:cs="Simplified Arabic"/>
        </w:rPr>
      </w:pPr>
    </w:p>
    <w:p w:rsidR="00E436EF" w:rsidRDefault="00E436EF">
      <w:pPr>
        <w:bidi w:val="0"/>
        <w:jc w:val="both"/>
        <w:rPr>
          <w:rFonts w:cs="Simplified Arabic"/>
        </w:rPr>
      </w:pPr>
    </w:p>
    <w:p w:rsidR="00E436EF" w:rsidRDefault="00E436EF">
      <w:pPr>
        <w:bidi w:val="0"/>
        <w:jc w:val="both"/>
        <w:rPr>
          <w:rFonts w:cs="Simplified Arabic"/>
        </w:rPr>
      </w:pPr>
    </w:p>
    <w:p w:rsidR="00E436EF" w:rsidRDefault="00E436EF">
      <w:pPr>
        <w:bidi w:val="0"/>
        <w:jc w:val="both"/>
        <w:rPr>
          <w:rFonts w:cs="Simplified Arabic"/>
        </w:rPr>
      </w:pPr>
    </w:p>
    <w:p w:rsidR="00E436EF" w:rsidRDefault="00E436EF">
      <w:pPr>
        <w:bidi w:val="0"/>
        <w:jc w:val="both"/>
        <w:rPr>
          <w:rFonts w:cs="Simplified Arabic"/>
        </w:rPr>
      </w:pPr>
    </w:p>
    <w:p w:rsidR="00E436EF" w:rsidRDefault="00E436EF">
      <w:pPr>
        <w:bidi w:val="0"/>
        <w:jc w:val="both"/>
        <w:rPr>
          <w:rFonts w:cs="Simplified Arabic"/>
        </w:rPr>
      </w:pPr>
    </w:p>
    <w:p w:rsidR="00E436EF" w:rsidRDefault="00E436EF">
      <w:pPr>
        <w:bidi w:val="0"/>
        <w:jc w:val="both"/>
        <w:rPr>
          <w:rFonts w:cs="Simplified Arabic"/>
        </w:rPr>
      </w:pPr>
    </w:p>
    <w:p w:rsidR="00E436EF" w:rsidRDefault="00E436EF">
      <w:pPr>
        <w:bidi w:val="0"/>
        <w:jc w:val="both"/>
        <w:rPr>
          <w:rFonts w:cs="Simplified Arabic"/>
        </w:rPr>
      </w:pPr>
    </w:p>
    <w:p w:rsidR="00E436EF" w:rsidRDefault="006207DA" w:rsidP="002F7301">
      <w:pPr>
        <w:bidi w:val="0"/>
        <w:jc w:val="center"/>
        <w:rPr>
          <w:b/>
          <w:bCs/>
          <w:color w:val="000000"/>
          <w:sz w:val="22"/>
          <w:szCs w:val="22"/>
        </w:rPr>
      </w:pPr>
      <w:r>
        <w:rPr>
          <w:b/>
          <w:bCs/>
          <w:color w:val="000000"/>
          <w:sz w:val="22"/>
          <w:szCs w:val="22"/>
        </w:rPr>
        <w:lastRenderedPageBreak/>
        <w:t>Table (</w:t>
      </w:r>
      <w:r w:rsidR="001F3264">
        <w:rPr>
          <w:b/>
          <w:bCs/>
          <w:color w:val="000000"/>
          <w:sz w:val="22"/>
          <w:szCs w:val="22"/>
        </w:rPr>
        <w:t>5</w:t>
      </w:r>
      <w:r>
        <w:rPr>
          <w:b/>
          <w:bCs/>
          <w:color w:val="000000"/>
          <w:sz w:val="22"/>
          <w:szCs w:val="22"/>
        </w:rPr>
        <w:t xml:space="preserve">-4): Percentage distribution of children </w:t>
      </w:r>
      <w:r w:rsidR="002F7301">
        <w:rPr>
          <w:b/>
          <w:bCs/>
          <w:color w:val="000000"/>
          <w:sz w:val="22"/>
          <w:szCs w:val="22"/>
        </w:rPr>
        <w:t>5</w:t>
      </w:r>
      <w:r>
        <w:rPr>
          <w:b/>
          <w:bCs/>
          <w:color w:val="000000"/>
          <w:sz w:val="22"/>
          <w:szCs w:val="22"/>
        </w:rPr>
        <w:t>-</w:t>
      </w:r>
      <w:r w:rsidR="002F7301">
        <w:rPr>
          <w:b/>
          <w:bCs/>
          <w:color w:val="000000"/>
          <w:sz w:val="22"/>
          <w:szCs w:val="22"/>
        </w:rPr>
        <w:t>14</w:t>
      </w:r>
      <w:r>
        <w:rPr>
          <w:b/>
          <w:bCs/>
          <w:color w:val="000000"/>
          <w:sz w:val="22"/>
          <w:szCs w:val="22"/>
        </w:rPr>
        <w:t xml:space="preserve"> years by employment status and selected characterstics</w:t>
      </w:r>
      <w:r w:rsidR="007013D9">
        <w:rPr>
          <w:b/>
          <w:bCs/>
          <w:color w:val="000000"/>
          <w:sz w:val="22"/>
          <w:szCs w:val="22"/>
        </w:rPr>
        <w:t xml:space="preserve"> in</w:t>
      </w:r>
      <w:r>
        <w:rPr>
          <w:b/>
          <w:bCs/>
          <w:color w:val="000000"/>
          <w:sz w:val="22"/>
          <w:szCs w:val="22"/>
        </w:rPr>
        <w:t xml:space="preserve"> 2010</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9"/>
        <w:gridCol w:w="1889"/>
        <w:gridCol w:w="2518"/>
        <w:gridCol w:w="1466"/>
      </w:tblGrid>
      <w:tr w:rsidR="00E436EF" w:rsidTr="005A2224">
        <w:trPr>
          <w:cantSplit/>
          <w:trHeight w:val="372"/>
        </w:trPr>
        <w:tc>
          <w:tcPr>
            <w:tcW w:w="1763"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rFonts w:ascii="Arial" w:hAnsi="Arial" w:cs="Arial"/>
                <w:b/>
                <w:bCs/>
                <w:color w:val="000000"/>
                <w:sz w:val="18"/>
                <w:szCs w:val="18"/>
              </w:rPr>
            </w:pPr>
            <w:r>
              <w:rPr>
                <w:rFonts w:ascii="Arial" w:hAnsi="Arial" w:cs="Arial"/>
                <w:b/>
                <w:bCs/>
                <w:color w:val="000000"/>
                <w:sz w:val="18"/>
                <w:szCs w:val="18"/>
              </w:rPr>
              <w:t>Background characterstics</w:t>
            </w:r>
          </w:p>
        </w:tc>
        <w:tc>
          <w:tcPr>
            <w:tcW w:w="1041"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rFonts w:ascii="Arial" w:hAnsi="Arial" w:cs="Arial"/>
                <w:b/>
                <w:bCs/>
                <w:color w:val="000000"/>
                <w:sz w:val="18"/>
                <w:szCs w:val="18"/>
              </w:rPr>
            </w:pPr>
            <w:r>
              <w:rPr>
                <w:rFonts w:ascii="Arial" w:hAnsi="Arial" w:cs="Arial"/>
                <w:b/>
                <w:bCs/>
                <w:color w:val="000000"/>
                <w:sz w:val="18"/>
                <w:szCs w:val="18"/>
              </w:rPr>
              <w:t>employed</w:t>
            </w:r>
          </w:p>
        </w:tc>
        <w:tc>
          <w:tcPr>
            <w:tcW w:w="1388"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rFonts w:ascii="Arial" w:hAnsi="Arial" w:cs="Arial"/>
                <w:b/>
                <w:bCs/>
                <w:color w:val="000000"/>
                <w:sz w:val="18"/>
                <w:szCs w:val="18"/>
              </w:rPr>
            </w:pPr>
            <w:r>
              <w:rPr>
                <w:rFonts w:ascii="Arial" w:hAnsi="Arial" w:cs="Arial"/>
                <w:b/>
                <w:bCs/>
                <w:color w:val="000000"/>
                <w:sz w:val="18"/>
                <w:szCs w:val="18"/>
              </w:rPr>
              <w:t>Un-employed</w:t>
            </w:r>
          </w:p>
        </w:tc>
        <w:tc>
          <w:tcPr>
            <w:tcW w:w="808"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rFonts w:ascii="Arial" w:hAnsi="Arial" w:cs="Arial"/>
                <w:b/>
                <w:bCs/>
                <w:color w:val="000000"/>
                <w:sz w:val="18"/>
                <w:szCs w:val="18"/>
              </w:rPr>
            </w:pPr>
            <w:r>
              <w:rPr>
                <w:rFonts w:ascii="Arial" w:hAnsi="Arial" w:cs="Arial"/>
                <w:b/>
                <w:bCs/>
                <w:color w:val="000000"/>
                <w:sz w:val="18"/>
                <w:szCs w:val="18"/>
              </w:rPr>
              <w:t>Total</w:t>
            </w:r>
          </w:p>
        </w:tc>
      </w:tr>
      <w:tr w:rsidR="00E436EF" w:rsidTr="005A2224">
        <w:trPr>
          <w:trHeight w:val="264"/>
        </w:trPr>
        <w:tc>
          <w:tcPr>
            <w:tcW w:w="1763" w:type="pct"/>
            <w:tcBorders>
              <w:top w:val="single" w:sz="4" w:space="0" w:color="auto"/>
              <w:left w:val="single" w:sz="4" w:space="0" w:color="auto"/>
              <w:bottom w:val="nil"/>
              <w:right w:val="single" w:sz="4" w:space="0" w:color="auto"/>
            </w:tcBorders>
          </w:tcPr>
          <w:p w:rsidR="00E436EF" w:rsidRDefault="006207DA">
            <w:pPr>
              <w:bidi w:val="0"/>
              <w:jc w:val="both"/>
              <w:rPr>
                <w:rFonts w:ascii="Arial" w:hAnsi="Arial" w:cs="Arial"/>
                <w:b/>
                <w:bCs/>
                <w:color w:val="000000"/>
                <w:sz w:val="18"/>
                <w:szCs w:val="18"/>
              </w:rPr>
            </w:pPr>
            <w:r>
              <w:rPr>
                <w:rFonts w:ascii="Arial" w:hAnsi="Arial" w:cs="Arial"/>
                <w:b/>
                <w:bCs/>
                <w:color w:val="000000"/>
                <w:sz w:val="18"/>
                <w:szCs w:val="18"/>
              </w:rPr>
              <w:t>Palestinian Territory</w:t>
            </w:r>
          </w:p>
        </w:tc>
        <w:tc>
          <w:tcPr>
            <w:tcW w:w="1041" w:type="pct"/>
            <w:tcBorders>
              <w:top w:val="single" w:sz="4" w:space="0" w:color="auto"/>
              <w:left w:val="single" w:sz="4" w:space="0" w:color="auto"/>
              <w:bottom w:val="nil"/>
              <w:right w:val="single" w:sz="4" w:space="0" w:color="auto"/>
            </w:tcBorders>
            <w:vAlign w:val="center"/>
          </w:tcPr>
          <w:p w:rsidR="00E436EF" w:rsidRDefault="000C1E3B">
            <w:pPr>
              <w:ind w:left="159"/>
              <w:jc w:val="center"/>
              <w:rPr>
                <w:rFonts w:ascii="Arial" w:hAnsi="Arial" w:cs="Arial"/>
                <w:b/>
                <w:bCs/>
                <w:sz w:val="18"/>
                <w:szCs w:val="18"/>
              </w:rPr>
            </w:pPr>
            <w:r>
              <w:rPr>
                <w:rFonts w:ascii="Arial" w:hAnsi="Arial" w:cs="Arial"/>
                <w:b/>
                <w:bCs/>
                <w:sz w:val="18"/>
                <w:szCs w:val="18"/>
              </w:rPr>
              <w:t>6.0</w:t>
            </w:r>
          </w:p>
        </w:tc>
        <w:tc>
          <w:tcPr>
            <w:tcW w:w="1388" w:type="pct"/>
            <w:tcBorders>
              <w:top w:val="single" w:sz="4" w:space="0" w:color="auto"/>
              <w:left w:val="single" w:sz="4" w:space="0" w:color="auto"/>
              <w:bottom w:val="nil"/>
              <w:right w:val="single" w:sz="4" w:space="0" w:color="auto"/>
            </w:tcBorders>
            <w:vAlign w:val="center"/>
          </w:tcPr>
          <w:p w:rsidR="00E436EF" w:rsidRDefault="000C1E3B">
            <w:pPr>
              <w:ind w:left="159"/>
              <w:jc w:val="center"/>
              <w:rPr>
                <w:rFonts w:ascii="Arial" w:hAnsi="Arial" w:cs="Arial"/>
                <w:b/>
                <w:bCs/>
                <w:sz w:val="18"/>
                <w:szCs w:val="18"/>
              </w:rPr>
            </w:pPr>
            <w:r>
              <w:rPr>
                <w:rFonts w:ascii="Arial" w:hAnsi="Arial" w:cs="Arial"/>
                <w:b/>
                <w:bCs/>
                <w:sz w:val="18"/>
                <w:szCs w:val="18"/>
              </w:rPr>
              <w:t>94.0</w:t>
            </w:r>
          </w:p>
        </w:tc>
        <w:tc>
          <w:tcPr>
            <w:tcW w:w="808" w:type="pct"/>
            <w:tcBorders>
              <w:top w:val="single" w:sz="4" w:space="0" w:color="auto"/>
              <w:left w:val="single" w:sz="4" w:space="0" w:color="auto"/>
              <w:bottom w:val="nil"/>
              <w:right w:val="single" w:sz="4" w:space="0" w:color="auto"/>
            </w:tcBorders>
            <w:vAlign w:val="center"/>
          </w:tcPr>
          <w:p w:rsidR="00E436EF" w:rsidRDefault="006207DA">
            <w:pPr>
              <w:ind w:firstLine="92"/>
              <w:jc w:val="center"/>
              <w:rPr>
                <w:rFonts w:ascii="Arial" w:hAnsi="Arial" w:cs="Arial"/>
                <w:b/>
                <w:bCs/>
                <w:sz w:val="18"/>
                <w:szCs w:val="18"/>
                <w:rtl/>
              </w:rPr>
            </w:pPr>
            <w:r>
              <w:rPr>
                <w:rFonts w:ascii="Arial" w:hAnsi="Arial" w:cs="Arial"/>
                <w:b/>
                <w:bCs/>
                <w:sz w:val="18"/>
                <w:szCs w:val="18"/>
                <w:rtl/>
              </w:rPr>
              <w:t>100</w:t>
            </w:r>
          </w:p>
        </w:tc>
      </w:tr>
      <w:tr w:rsidR="00E436EF" w:rsidTr="005A2224">
        <w:tc>
          <w:tcPr>
            <w:tcW w:w="1763" w:type="pct"/>
            <w:tcBorders>
              <w:top w:val="nil"/>
              <w:left w:val="single" w:sz="4" w:space="0" w:color="auto"/>
              <w:bottom w:val="nil"/>
              <w:right w:val="single" w:sz="4" w:space="0" w:color="auto"/>
            </w:tcBorders>
          </w:tcPr>
          <w:p w:rsidR="00E436EF" w:rsidRDefault="006207DA">
            <w:pPr>
              <w:bidi w:val="0"/>
              <w:jc w:val="both"/>
              <w:rPr>
                <w:rFonts w:ascii="Arial" w:hAnsi="Arial" w:cs="Arial"/>
                <w:color w:val="000000"/>
                <w:sz w:val="18"/>
                <w:szCs w:val="18"/>
              </w:rPr>
            </w:pPr>
            <w:r>
              <w:rPr>
                <w:rFonts w:ascii="Arial" w:hAnsi="Arial" w:cs="Arial"/>
                <w:color w:val="000000"/>
                <w:sz w:val="18"/>
                <w:szCs w:val="18"/>
              </w:rPr>
              <w:t>West Bank</w:t>
            </w:r>
          </w:p>
        </w:tc>
        <w:tc>
          <w:tcPr>
            <w:tcW w:w="1041" w:type="pct"/>
            <w:tcBorders>
              <w:top w:val="nil"/>
              <w:left w:val="single" w:sz="4" w:space="0" w:color="auto"/>
              <w:bottom w:val="nil"/>
              <w:right w:val="single" w:sz="4" w:space="0" w:color="auto"/>
            </w:tcBorders>
            <w:vAlign w:val="center"/>
          </w:tcPr>
          <w:p w:rsidR="00E436EF" w:rsidRDefault="000C1E3B">
            <w:pPr>
              <w:ind w:left="159"/>
              <w:jc w:val="center"/>
              <w:rPr>
                <w:rFonts w:ascii="Arial" w:hAnsi="Arial" w:cs="Arial"/>
                <w:sz w:val="18"/>
                <w:szCs w:val="18"/>
              </w:rPr>
            </w:pPr>
            <w:r>
              <w:rPr>
                <w:rFonts w:ascii="Arial" w:hAnsi="Arial" w:cs="Arial"/>
                <w:sz w:val="18"/>
                <w:szCs w:val="18"/>
              </w:rPr>
              <w:t>8.0</w:t>
            </w:r>
          </w:p>
        </w:tc>
        <w:tc>
          <w:tcPr>
            <w:tcW w:w="1388" w:type="pct"/>
            <w:tcBorders>
              <w:top w:val="nil"/>
              <w:left w:val="single" w:sz="4" w:space="0" w:color="auto"/>
              <w:bottom w:val="nil"/>
              <w:right w:val="single" w:sz="4" w:space="0" w:color="auto"/>
            </w:tcBorders>
            <w:vAlign w:val="center"/>
          </w:tcPr>
          <w:p w:rsidR="00E436EF" w:rsidRDefault="000C1E3B">
            <w:pPr>
              <w:ind w:left="159"/>
              <w:jc w:val="center"/>
              <w:rPr>
                <w:rFonts w:ascii="Arial" w:hAnsi="Arial" w:cs="Arial"/>
                <w:sz w:val="18"/>
                <w:szCs w:val="18"/>
              </w:rPr>
            </w:pPr>
            <w:r>
              <w:rPr>
                <w:rFonts w:ascii="Arial" w:hAnsi="Arial" w:cs="Arial"/>
                <w:sz w:val="18"/>
                <w:szCs w:val="18"/>
              </w:rPr>
              <w:t>92.0</w:t>
            </w:r>
          </w:p>
        </w:tc>
        <w:tc>
          <w:tcPr>
            <w:tcW w:w="808" w:type="pct"/>
            <w:tcBorders>
              <w:top w:val="nil"/>
              <w:left w:val="single" w:sz="4" w:space="0" w:color="auto"/>
              <w:bottom w:val="nil"/>
              <w:right w:val="single" w:sz="4" w:space="0" w:color="auto"/>
            </w:tcBorders>
            <w:vAlign w:val="center"/>
          </w:tcPr>
          <w:p w:rsidR="00E436EF" w:rsidRDefault="006207DA">
            <w:pPr>
              <w:ind w:firstLine="92"/>
              <w:jc w:val="center"/>
              <w:rPr>
                <w:rFonts w:ascii="Arial" w:hAnsi="Arial" w:cs="Arial"/>
                <w:sz w:val="18"/>
                <w:szCs w:val="18"/>
                <w:rtl/>
              </w:rPr>
            </w:pPr>
            <w:r>
              <w:rPr>
                <w:rFonts w:ascii="Arial" w:hAnsi="Arial" w:cs="Arial"/>
                <w:sz w:val="18"/>
                <w:szCs w:val="18"/>
                <w:rtl/>
              </w:rPr>
              <w:t>100</w:t>
            </w:r>
          </w:p>
        </w:tc>
      </w:tr>
      <w:tr w:rsidR="00E436EF" w:rsidTr="005A2224">
        <w:tc>
          <w:tcPr>
            <w:tcW w:w="1763" w:type="pct"/>
            <w:tcBorders>
              <w:top w:val="nil"/>
              <w:left w:val="single" w:sz="4" w:space="0" w:color="auto"/>
              <w:bottom w:val="nil"/>
              <w:right w:val="single" w:sz="4" w:space="0" w:color="auto"/>
            </w:tcBorders>
          </w:tcPr>
          <w:p w:rsidR="00E436EF" w:rsidRDefault="006207DA">
            <w:pPr>
              <w:bidi w:val="0"/>
              <w:jc w:val="both"/>
              <w:rPr>
                <w:rFonts w:ascii="Arial" w:hAnsi="Arial" w:cs="Arial"/>
                <w:color w:val="000000"/>
                <w:sz w:val="18"/>
                <w:szCs w:val="18"/>
              </w:rPr>
            </w:pPr>
            <w:r>
              <w:rPr>
                <w:rFonts w:ascii="Arial" w:hAnsi="Arial" w:cs="Arial"/>
                <w:color w:val="000000"/>
                <w:sz w:val="18"/>
                <w:szCs w:val="18"/>
              </w:rPr>
              <w:t>Gaza Strip</w:t>
            </w:r>
          </w:p>
        </w:tc>
        <w:tc>
          <w:tcPr>
            <w:tcW w:w="1041" w:type="pct"/>
            <w:tcBorders>
              <w:top w:val="nil"/>
              <w:left w:val="single" w:sz="4" w:space="0" w:color="auto"/>
              <w:bottom w:val="nil"/>
              <w:right w:val="single" w:sz="4" w:space="0" w:color="auto"/>
            </w:tcBorders>
            <w:vAlign w:val="center"/>
          </w:tcPr>
          <w:p w:rsidR="00E436EF" w:rsidRDefault="000C1E3B">
            <w:pPr>
              <w:ind w:left="159"/>
              <w:jc w:val="center"/>
              <w:rPr>
                <w:rFonts w:ascii="Arial" w:hAnsi="Arial" w:cs="Arial"/>
                <w:sz w:val="18"/>
                <w:szCs w:val="18"/>
              </w:rPr>
            </w:pPr>
            <w:r>
              <w:rPr>
                <w:rFonts w:ascii="Arial" w:hAnsi="Arial" w:cs="Arial"/>
                <w:sz w:val="18"/>
                <w:szCs w:val="18"/>
              </w:rPr>
              <w:t>3.1</w:t>
            </w:r>
          </w:p>
        </w:tc>
        <w:tc>
          <w:tcPr>
            <w:tcW w:w="1388" w:type="pct"/>
            <w:tcBorders>
              <w:top w:val="nil"/>
              <w:left w:val="single" w:sz="4" w:space="0" w:color="auto"/>
              <w:bottom w:val="nil"/>
              <w:right w:val="single" w:sz="4" w:space="0" w:color="auto"/>
            </w:tcBorders>
            <w:vAlign w:val="center"/>
          </w:tcPr>
          <w:p w:rsidR="00E436EF" w:rsidRDefault="000C1E3B">
            <w:pPr>
              <w:ind w:left="159"/>
              <w:jc w:val="center"/>
              <w:rPr>
                <w:rFonts w:ascii="Arial" w:hAnsi="Arial" w:cs="Arial"/>
                <w:sz w:val="18"/>
                <w:szCs w:val="18"/>
              </w:rPr>
            </w:pPr>
            <w:r>
              <w:rPr>
                <w:rFonts w:ascii="Arial" w:hAnsi="Arial" w:cs="Arial"/>
                <w:sz w:val="18"/>
                <w:szCs w:val="18"/>
              </w:rPr>
              <w:t>96.9</w:t>
            </w:r>
          </w:p>
        </w:tc>
        <w:tc>
          <w:tcPr>
            <w:tcW w:w="808" w:type="pct"/>
            <w:tcBorders>
              <w:top w:val="nil"/>
              <w:left w:val="single" w:sz="4" w:space="0" w:color="auto"/>
              <w:bottom w:val="nil"/>
              <w:right w:val="single" w:sz="4" w:space="0" w:color="auto"/>
            </w:tcBorders>
            <w:vAlign w:val="center"/>
          </w:tcPr>
          <w:p w:rsidR="00E436EF" w:rsidRDefault="006207DA">
            <w:pPr>
              <w:ind w:firstLine="92"/>
              <w:jc w:val="center"/>
              <w:rPr>
                <w:rFonts w:ascii="Arial" w:hAnsi="Arial" w:cs="Arial"/>
                <w:sz w:val="18"/>
                <w:szCs w:val="18"/>
                <w:rtl/>
              </w:rPr>
            </w:pPr>
            <w:r>
              <w:rPr>
                <w:rFonts w:ascii="Arial" w:hAnsi="Arial" w:cs="Arial"/>
                <w:sz w:val="18"/>
                <w:szCs w:val="18"/>
                <w:rtl/>
              </w:rPr>
              <w:t>100</w:t>
            </w:r>
          </w:p>
        </w:tc>
      </w:tr>
      <w:tr w:rsidR="00E436EF" w:rsidTr="005A2224">
        <w:trPr>
          <w:trHeight w:val="123"/>
        </w:trPr>
        <w:tc>
          <w:tcPr>
            <w:tcW w:w="1763" w:type="pct"/>
            <w:tcBorders>
              <w:top w:val="nil"/>
              <w:left w:val="single" w:sz="4" w:space="0" w:color="auto"/>
              <w:bottom w:val="nil"/>
              <w:right w:val="single" w:sz="4" w:space="0" w:color="auto"/>
            </w:tcBorders>
          </w:tcPr>
          <w:p w:rsidR="00E436EF" w:rsidRDefault="006207DA">
            <w:pPr>
              <w:bidi w:val="0"/>
              <w:jc w:val="both"/>
              <w:rPr>
                <w:rFonts w:ascii="Arial" w:hAnsi="Arial" w:cs="Arial"/>
                <w:b/>
                <w:bCs/>
                <w:color w:val="000000"/>
                <w:sz w:val="18"/>
                <w:szCs w:val="18"/>
              </w:rPr>
            </w:pPr>
            <w:r>
              <w:rPr>
                <w:rFonts w:ascii="Arial" w:hAnsi="Arial" w:cs="Arial"/>
                <w:b/>
                <w:bCs/>
                <w:color w:val="000000"/>
                <w:sz w:val="18"/>
                <w:szCs w:val="18"/>
              </w:rPr>
              <w:t>Sex</w:t>
            </w:r>
          </w:p>
        </w:tc>
        <w:tc>
          <w:tcPr>
            <w:tcW w:w="1041" w:type="pct"/>
            <w:tcBorders>
              <w:top w:val="nil"/>
              <w:left w:val="single" w:sz="4" w:space="0" w:color="auto"/>
              <w:bottom w:val="nil"/>
              <w:right w:val="single" w:sz="4" w:space="0" w:color="auto"/>
            </w:tcBorders>
            <w:vAlign w:val="center"/>
          </w:tcPr>
          <w:p w:rsidR="00E436EF" w:rsidRDefault="00E436EF">
            <w:pPr>
              <w:ind w:left="159"/>
              <w:jc w:val="center"/>
              <w:rPr>
                <w:rFonts w:ascii="Arial" w:hAnsi="Arial" w:cs="Arial"/>
                <w:color w:val="000000"/>
                <w:sz w:val="18"/>
                <w:szCs w:val="18"/>
              </w:rPr>
            </w:pPr>
          </w:p>
        </w:tc>
        <w:tc>
          <w:tcPr>
            <w:tcW w:w="1388" w:type="pct"/>
            <w:tcBorders>
              <w:top w:val="nil"/>
              <w:left w:val="single" w:sz="4" w:space="0" w:color="auto"/>
              <w:bottom w:val="nil"/>
              <w:right w:val="single" w:sz="4" w:space="0" w:color="auto"/>
            </w:tcBorders>
            <w:vAlign w:val="center"/>
          </w:tcPr>
          <w:p w:rsidR="00E436EF" w:rsidRDefault="00E436EF">
            <w:pPr>
              <w:ind w:left="159"/>
              <w:jc w:val="center"/>
              <w:rPr>
                <w:rFonts w:ascii="Arial" w:hAnsi="Arial" w:cs="Arial"/>
                <w:color w:val="000000"/>
                <w:sz w:val="18"/>
                <w:szCs w:val="18"/>
              </w:rPr>
            </w:pPr>
          </w:p>
        </w:tc>
        <w:tc>
          <w:tcPr>
            <w:tcW w:w="808" w:type="pct"/>
            <w:tcBorders>
              <w:top w:val="nil"/>
              <w:left w:val="single" w:sz="4" w:space="0" w:color="auto"/>
              <w:bottom w:val="nil"/>
              <w:right w:val="single" w:sz="4" w:space="0" w:color="auto"/>
            </w:tcBorders>
            <w:vAlign w:val="center"/>
          </w:tcPr>
          <w:p w:rsidR="00E436EF" w:rsidRDefault="00E436EF">
            <w:pPr>
              <w:ind w:firstLine="92"/>
              <w:jc w:val="center"/>
              <w:rPr>
                <w:rFonts w:ascii="Arial" w:hAnsi="Arial" w:cs="Arial"/>
                <w:color w:val="000000"/>
                <w:sz w:val="18"/>
                <w:szCs w:val="18"/>
              </w:rPr>
            </w:pPr>
          </w:p>
        </w:tc>
      </w:tr>
      <w:tr w:rsidR="00E436EF" w:rsidTr="005A2224">
        <w:tc>
          <w:tcPr>
            <w:tcW w:w="1763" w:type="pct"/>
            <w:tcBorders>
              <w:top w:val="nil"/>
              <w:left w:val="single" w:sz="4" w:space="0" w:color="auto"/>
              <w:bottom w:val="nil"/>
              <w:right w:val="single" w:sz="4" w:space="0" w:color="auto"/>
            </w:tcBorders>
          </w:tcPr>
          <w:p w:rsidR="00E436EF" w:rsidRDefault="006207DA">
            <w:pPr>
              <w:bidi w:val="0"/>
              <w:jc w:val="both"/>
              <w:rPr>
                <w:rFonts w:ascii="Arial" w:hAnsi="Arial" w:cs="Arial"/>
                <w:color w:val="000000"/>
                <w:sz w:val="18"/>
                <w:szCs w:val="18"/>
              </w:rPr>
            </w:pPr>
            <w:r>
              <w:rPr>
                <w:rFonts w:ascii="Arial" w:hAnsi="Arial" w:cs="Arial"/>
                <w:color w:val="000000"/>
                <w:sz w:val="18"/>
                <w:szCs w:val="18"/>
              </w:rPr>
              <w:t>Males</w:t>
            </w:r>
          </w:p>
        </w:tc>
        <w:tc>
          <w:tcPr>
            <w:tcW w:w="1041" w:type="pct"/>
            <w:tcBorders>
              <w:top w:val="nil"/>
              <w:left w:val="single" w:sz="4" w:space="0" w:color="auto"/>
              <w:bottom w:val="nil"/>
              <w:right w:val="single" w:sz="4" w:space="0" w:color="auto"/>
            </w:tcBorders>
            <w:vAlign w:val="center"/>
          </w:tcPr>
          <w:p w:rsidR="00E436EF" w:rsidRDefault="000C1E3B">
            <w:pPr>
              <w:ind w:left="159"/>
              <w:jc w:val="center"/>
              <w:rPr>
                <w:rFonts w:ascii="Arial" w:hAnsi="Arial" w:cs="Arial"/>
                <w:sz w:val="18"/>
                <w:szCs w:val="18"/>
                <w:rtl/>
              </w:rPr>
            </w:pPr>
            <w:r>
              <w:rPr>
                <w:rFonts w:ascii="Arial" w:hAnsi="Arial" w:cs="Arial"/>
                <w:sz w:val="18"/>
                <w:szCs w:val="18"/>
              </w:rPr>
              <w:t>7.7</w:t>
            </w:r>
          </w:p>
        </w:tc>
        <w:tc>
          <w:tcPr>
            <w:tcW w:w="1388" w:type="pct"/>
            <w:tcBorders>
              <w:top w:val="nil"/>
              <w:left w:val="single" w:sz="4" w:space="0" w:color="auto"/>
              <w:bottom w:val="nil"/>
              <w:right w:val="single" w:sz="4" w:space="0" w:color="auto"/>
            </w:tcBorders>
            <w:vAlign w:val="center"/>
          </w:tcPr>
          <w:p w:rsidR="00E436EF" w:rsidRDefault="000C1E3B">
            <w:pPr>
              <w:ind w:left="159"/>
              <w:jc w:val="center"/>
              <w:rPr>
                <w:rFonts w:ascii="Arial" w:hAnsi="Arial" w:cs="Arial"/>
                <w:sz w:val="18"/>
                <w:szCs w:val="18"/>
              </w:rPr>
            </w:pPr>
            <w:r>
              <w:rPr>
                <w:rFonts w:ascii="Arial" w:hAnsi="Arial" w:cs="Arial" w:hint="cs"/>
                <w:sz w:val="18"/>
                <w:szCs w:val="18"/>
                <w:rtl/>
              </w:rPr>
              <w:t>92.3</w:t>
            </w:r>
          </w:p>
        </w:tc>
        <w:tc>
          <w:tcPr>
            <w:tcW w:w="808" w:type="pct"/>
            <w:tcBorders>
              <w:top w:val="nil"/>
              <w:left w:val="single" w:sz="4" w:space="0" w:color="auto"/>
              <w:bottom w:val="nil"/>
              <w:right w:val="single" w:sz="4" w:space="0" w:color="auto"/>
            </w:tcBorders>
            <w:vAlign w:val="center"/>
          </w:tcPr>
          <w:p w:rsidR="00E436EF" w:rsidRDefault="006207DA">
            <w:pPr>
              <w:ind w:firstLine="92"/>
              <w:jc w:val="center"/>
              <w:rPr>
                <w:rFonts w:ascii="Arial" w:hAnsi="Arial" w:cs="Arial"/>
                <w:sz w:val="18"/>
                <w:szCs w:val="18"/>
                <w:rtl/>
              </w:rPr>
            </w:pPr>
            <w:r>
              <w:rPr>
                <w:rFonts w:ascii="Arial" w:hAnsi="Arial" w:cs="Arial"/>
                <w:sz w:val="18"/>
                <w:szCs w:val="18"/>
                <w:rtl/>
              </w:rPr>
              <w:t>100</w:t>
            </w:r>
          </w:p>
        </w:tc>
      </w:tr>
      <w:tr w:rsidR="00E436EF" w:rsidTr="005A2224">
        <w:tc>
          <w:tcPr>
            <w:tcW w:w="1763" w:type="pct"/>
            <w:tcBorders>
              <w:top w:val="nil"/>
              <w:left w:val="single" w:sz="4" w:space="0" w:color="auto"/>
              <w:bottom w:val="nil"/>
              <w:right w:val="single" w:sz="4" w:space="0" w:color="auto"/>
            </w:tcBorders>
          </w:tcPr>
          <w:p w:rsidR="00E436EF" w:rsidRDefault="006207DA">
            <w:pPr>
              <w:bidi w:val="0"/>
              <w:jc w:val="both"/>
              <w:rPr>
                <w:rFonts w:ascii="Arial" w:hAnsi="Arial" w:cs="Arial"/>
                <w:color w:val="000000"/>
                <w:sz w:val="18"/>
                <w:szCs w:val="18"/>
              </w:rPr>
            </w:pPr>
            <w:r>
              <w:rPr>
                <w:rFonts w:ascii="Arial" w:hAnsi="Arial" w:cs="Arial"/>
                <w:color w:val="000000"/>
                <w:sz w:val="18"/>
                <w:szCs w:val="18"/>
              </w:rPr>
              <w:t>Females</w:t>
            </w:r>
          </w:p>
        </w:tc>
        <w:tc>
          <w:tcPr>
            <w:tcW w:w="1041" w:type="pct"/>
            <w:tcBorders>
              <w:top w:val="nil"/>
              <w:left w:val="single" w:sz="4" w:space="0" w:color="auto"/>
              <w:bottom w:val="nil"/>
              <w:right w:val="single" w:sz="4" w:space="0" w:color="auto"/>
            </w:tcBorders>
            <w:vAlign w:val="center"/>
          </w:tcPr>
          <w:p w:rsidR="00E436EF" w:rsidRDefault="000C1E3B">
            <w:pPr>
              <w:ind w:left="159"/>
              <w:jc w:val="center"/>
              <w:rPr>
                <w:rFonts w:ascii="Arial" w:hAnsi="Arial" w:cs="Arial"/>
                <w:sz w:val="18"/>
                <w:szCs w:val="18"/>
              </w:rPr>
            </w:pPr>
            <w:r>
              <w:rPr>
                <w:rFonts w:ascii="Arial" w:hAnsi="Arial" w:cs="Arial"/>
                <w:sz w:val="18"/>
                <w:szCs w:val="18"/>
              </w:rPr>
              <w:t>4.2</w:t>
            </w:r>
          </w:p>
        </w:tc>
        <w:tc>
          <w:tcPr>
            <w:tcW w:w="1388" w:type="pct"/>
            <w:tcBorders>
              <w:top w:val="nil"/>
              <w:left w:val="single" w:sz="4" w:space="0" w:color="auto"/>
              <w:bottom w:val="nil"/>
              <w:right w:val="single" w:sz="4" w:space="0" w:color="auto"/>
            </w:tcBorders>
            <w:vAlign w:val="center"/>
          </w:tcPr>
          <w:p w:rsidR="00E436EF" w:rsidRDefault="000C1E3B">
            <w:pPr>
              <w:ind w:left="159"/>
              <w:jc w:val="center"/>
              <w:rPr>
                <w:rFonts w:ascii="Arial" w:hAnsi="Arial" w:cs="Arial"/>
                <w:sz w:val="18"/>
                <w:szCs w:val="18"/>
              </w:rPr>
            </w:pPr>
            <w:r>
              <w:rPr>
                <w:rFonts w:ascii="Arial" w:hAnsi="Arial" w:cs="Arial" w:hint="cs"/>
                <w:sz w:val="18"/>
                <w:szCs w:val="18"/>
                <w:rtl/>
              </w:rPr>
              <w:t>95.8</w:t>
            </w:r>
          </w:p>
        </w:tc>
        <w:tc>
          <w:tcPr>
            <w:tcW w:w="808" w:type="pct"/>
            <w:tcBorders>
              <w:top w:val="nil"/>
              <w:left w:val="single" w:sz="4" w:space="0" w:color="auto"/>
              <w:bottom w:val="nil"/>
              <w:right w:val="single" w:sz="4" w:space="0" w:color="auto"/>
            </w:tcBorders>
            <w:vAlign w:val="center"/>
          </w:tcPr>
          <w:p w:rsidR="00E436EF" w:rsidRDefault="006207DA">
            <w:pPr>
              <w:ind w:firstLine="92"/>
              <w:jc w:val="center"/>
              <w:rPr>
                <w:rFonts w:ascii="Arial" w:hAnsi="Arial" w:cs="Arial"/>
                <w:sz w:val="18"/>
                <w:szCs w:val="18"/>
                <w:rtl/>
              </w:rPr>
            </w:pPr>
            <w:r>
              <w:rPr>
                <w:rFonts w:ascii="Arial" w:hAnsi="Arial" w:cs="Arial"/>
                <w:sz w:val="18"/>
                <w:szCs w:val="18"/>
                <w:rtl/>
              </w:rPr>
              <w:t>100</w:t>
            </w:r>
          </w:p>
        </w:tc>
      </w:tr>
      <w:tr w:rsidR="00E436EF" w:rsidTr="005A2224">
        <w:tc>
          <w:tcPr>
            <w:tcW w:w="1763" w:type="pct"/>
            <w:tcBorders>
              <w:top w:val="nil"/>
              <w:left w:val="single" w:sz="4" w:space="0" w:color="auto"/>
              <w:bottom w:val="nil"/>
              <w:right w:val="single" w:sz="4" w:space="0" w:color="auto"/>
            </w:tcBorders>
          </w:tcPr>
          <w:p w:rsidR="00E436EF" w:rsidRDefault="006207DA">
            <w:pPr>
              <w:bidi w:val="0"/>
              <w:jc w:val="both"/>
              <w:rPr>
                <w:rFonts w:ascii="Arial" w:hAnsi="Arial" w:cs="Arial"/>
                <w:b/>
                <w:bCs/>
                <w:color w:val="000000"/>
                <w:sz w:val="18"/>
                <w:szCs w:val="18"/>
              </w:rPr>
            </w:pPr>
            <w:r>
              <w:rPr>
                <w:rFonts w:ascii="Arial" w:hAnsi="Arial" w:cs="Arial"/>
                <w:b/>
                <w:bCs/>
                <w:color w:val="000000"/>
                <w:sz w:val="18"/>
                <w:szCs w:val="18"/>
              </w:rPr>
              <w:t>Age</w:t>
            </w:r>
          </w:p>
        </w:tc>
        <w:tc>
          <w:tcPr>
            <w:tcW w:w="1041" w:type="pct"/>
            <w:tcBorders>
              <w:top w:val="nil"/>
              <w:left w:val="single" w:sz="4" w:space="0" w:color="auto"/>
              <w:bottom w:val="nil"/>
              <w:right w:val="single" w:sz="4" w:space="0" w:color="auto"/>
            </w:tcBorders>
            <w:vAlign w:val="center"/>
          </w:tcPr>
          <w:p w:rsidR="00E436EF" w:rsidRDefault="00E436EF">
            <w:pPr>
              <w:ind w:left="159"/>
              <w:jc w:val="center"/>
              <w:rPr>
                <w:rFonts w:ascii="Arial" w:hAnsi="Arial" w:cs="Arial"/>
                <w:sz w:val="18"/>
                <w:szCs w:val="18"/>
              </w:rPr>
            </w:pPr>
          </w:p>
        </w:tc>
        <w:tc>
          <w:tcPr>
            <w:tcW w:w="1388" w:type="pct"/>
            <w:tcBorders>
              <w:top w:val="nil"/>
              <w:left w:val="single" w:sz="4" w:space="0" w:color="auto"/>
              <w:bottom w:val="nil"/>
              <w:right w:val="single" w:sz="4" w:space="0" w:color="auto"/>
            </w:tcBorders>
            <w:vAlign w:val="center"/>
          </w:tcPr>
          <w:p w:rsidR="00E436EF" w:rsidRDefault="00E436EF">
            <w:pPr>
              <w:ind w:left="159"/>
              <w:jc w:val="center"/>
              <w:rPr>
                <w:rFonts w:ascii="Arial" w:hAnsi="Arial" w:cs="Arial"/>
                <w:sz w:val="18"/>
                <w:szCs w:val="18"/>
              </w:rPr>
            </w:pPr>
          </w:p>
        </w:tc>
        <w:tc>
          <w:tcPr>
            <w:tcW w:w="808" w:type="pct"/>
            <w:tcBorders>
              <w:top w:val="nil"/>
              <w:left w:val="single" w:sz="4" w:space="0" w:color="auto"/>
              <w:bottom w:val="nil"/>
              <w:right w:val="single" w:sz="4" w:space="0" w:color="auto"/>
            </w:tcBorders>
            <w:vAlign w:val="center"/>
          </w:tcPr>
          <w:p w:rsidR="00E436EF" w:rsidRDefault="00E436EF">
            <w:pPr>
              <w:ind w:firstLine="92"/>
              <w:jc w:val="center"/>
              <w:rPr>
                <w:rFonts w:ascii="Arial" w:hAnsi="Arial" w:cs="Arial"/>
                <w:sz w:val="18"/>
                <w:szCs w:val="18"/>
                <w:rtl/>
              </w:rPr>
            </w:pPr>
          </w:p>
        </w:tc>
      </w:tr>
      <w:tr w:rsidR="00E436EF" w:rsidTr="005A2224">
        <w:tc>
          <w:tcPr>
            <w:tcW w:w="1763" w:type="pct"/>
            <w:tcBorders>
              <w:top w:val="nil"/>
              <w:left w:val="single" w:sz="4" w:space="0" w:color="auto"/>
              <w:bottom w:val="nil"/>
              <w:right w:val="single" w:sz="4" w:space="0" w:color="auto"/>
            </w:tcBorders>
          </w:tcPr>
          <w:p w:rsidR="00E436EF" w:rsidRDefault="000C1E3B">
            <w:pPr>
              <w:bidi w:val="0"/>
              <w:jc w:val="both"/>
              <w:rPr>
                <w:rFonts w:ascii="Arial" w:hAnsi="Arial" w:cs="Arial"/>
                <w:color w:val="000000"/>
                <w:sz w:val="18"/>
                <w:szCs w:val="18"/>
              </w:rPr>
            </w:pPr>
            <w:r>
              <w:rPr>
                <w:rFonts w:ascii="Arial" w:hAnsi="Arial" w:cs="Arial"/>
                <w:color w:val="000000"/>
                <w:sz w:val="18"/>
                <w:szCs w:val="18"/>
              </w:rPr>
              <w:t>5-11</w:t>
            </w:r>
          </w:p>
        </w:tc>
        <w:tc>
          <w:tcPr>
            <w:tcW w:w="1041" w:type="pct"/>
            <w:tcBorders>
              <w:top w:val="nil"/>
              <w:left w:val="single" w:sz="4" w:space="0" w:color="auto"/>
              <w:bottom w:val="nil"/>
              <w:right w:val="single" w:sz="4" w:space="0" w:color="auto"/>
            </w:tcBorders>
            <w:vAlign w:val="center"/>
          </w:tcPr>
          <w:p w:rsidR="00E436EF" w:rsidRDefault="000C1E3B">
            <w:pPr>
              <w:ind w:left="159"/>
              <w:jc w:val="center"/>
              <w:rPr>
                <w:rFonts w:ascii="Arial" w:hAnsi="Arial" w:cs="Arial"/>
                <w:sz w:val="18"/>
                <w:szCs w:val="18"/>
              </w:rPr>
            </w:pPr>
            <w:r>
              <w:rPr>
                <w:rFonts w:ascii="Arial" w:hAnsi="Arial" w:cs="Arial"/>
                <w:sz w:val="18"/>
                <w:szCs w:val="18"/>
              </w:rPr>
              <w:t>6.5</w:t>
            </w:r>
          </w:p>
        </w:tc>
        <w:tc>
          <w:tcPr>
            <w:tcW w:w="1388" w:type="pct"/>
            <w:tcBorders>
              <w:top w:val="nil"/>
              <w:left w:val="single" w:sz="4" w:space="0" w:color="auto"/>
              <w:bottom w:val="nil"/>
              <w:right w:val="single" w:sz="4" w:space="0" w:color="auto"/>
            </w:tcBorders>
            <w:vAlign w:val="center"/>
          </w:tcPr>
          <w:p w:rsidR="00E436EF" w:rsidRDefault="002F7301">
            <w:pPr>
              <w:ind w:left="159"/>
              <w:jc w:val="center"/>
              <w:rPr>
                <w:rFonts w:ascii="Arial" w:hAnsi="Arial" w:cs="Arial"/>
                <w:sz w:val="18"/>
                <w:szCs w:val="18"/>
              </w:rPr>
            </w:pPr>
            <w:r>
              <w:rPr>
                <w:rFonts w:ascii="Arial" w:hAnsi="Arial" w:cs="Arial" w:hint="cs"/>
                <w:sz w:val="18"/>
                <w:szCs w:val="18"/>
                <w:rtl/>
              </w:rPr>
              <w:t>93.5</w:t>
            </w:r>
          </w:p>
        </w:tc>
        <w:tc>
          <w:tcPr>
            <w:tcW w:w="808" w:type="pct"/>
            <w:tcBorders>
              <w:top w:val="nil"/>
              <w:left w:val="single" w:sz="4" w:space="0" w:color="auto"/>
              <w:bottom w:val="nil"/>
              <w:right w:val="single" w:sz="4" w:space="0" w:color="auto"/>
            </w:tcBorders>
            <w:vAlign w:val="center"/>
          </w:tcPr>
          <w:p w:rsidR="00E436EF" w:rsidRDefault="006207DA">
            <w:pPr>
              <w:ind w:firstLine="92"/>
              <w:jc w:val="center"/>
              <w:rPr>
                <w:rFonts w:ascii="Arial" w:hAnsi="Arial" w:cs="Arial"/>
                <w:sz w:val="18"/>
                <w:szCs w:val="18"/>
                <w:rtl/>
              </w:rPr>
            </w:pPr>
            <w:r>
              <w:rPr>
                <w:rFonts w:ascii="Arial" w:hAnsi="Arial" w:cs="Arial"/>
                <w:sz w:val="18"/>
                <w:szCs w:val="18"/>
                <w:rtl/>
              </w:rPr>
              <w:t>100</w:t>
            </w:r>
          </w:p>
        </w:tc>
      </w:tr>
      <w:tr w:rsidR="00E436EF" w:rsidTr="005A2224">
        <w:tc>
          <w:tcPr>
            <w:tcW w:w="1763" w:type="pct"/>
            <w:tcBorders>
              <w:top w:val="nil"/>
              <w:left w:val="single" w:sz="4" w:space="0" w:color="auto"/>
              <w:bottom w:val="single" w:sz="4" w:space="0" w:color="auto"/>
              <w:right w:val="single" w:sz="4" w:space="0" w:color="auto"/>
            </w:tcBorders>
          </w:tcPr>
          <w:p w:rsidR="00E436EF" w:rsidRDefault="000C1E3B">
            <w:pPr>
              <w:bidi w:val="0"/>
              <w:jc w:val="both"/>
              <w:rPr>
                <w:rFonts w:ascii="Arial" w:hAnsi="Arial" w:cs="Arial"/>
                <w:color w:val="000000"/>
                <w:sz w:val="18"/>
                <w:szCs w:val="18"/>
              </w:rPr>
            </w:pPr>
            <w:r>
              <w:rPr>
                <w:rFonts w:ascii="Arial" w:hAnsi="Arial" w:cs="Arial"/>
                <w:color w:val="000000"/>
                <w:sz w:val="18"/>
                <w:szCs w:val="18"/>
              </w:rPr>
              <w:t>12-14</w:t>
            </w:r>
          </w:p>
        </w:tc>
        <w:tc>
          <w:tcPr>
            <w:tcW w:w="1041" w:type="pct"/>
            <w:tcBorders>
              <w:top w:val="nil"/>
              <w:left w:val="single" w:sz="4" w:space="0" w:color="auto"/>
              <w:bottom w:val="single" w:sz="4" w:space="0" w:color="auto"/>
              <w:right w:val="single" w:sz="4" w:space="0" w:color="auto"/>
            </w:tcBorders>
            <w:vAlign w:val="center"/>
          </w:tcPr>
          <w:p w:rsidR="00E436EF" w:rsidRDefault="000C1E3B">
            <w:pPr>
              <w:ind w:left="159"/>
              <w:jc w:val="center"/>
              <w:rPr>
                <w:rFonts w:ascii="Arial" w:hAnsi="Arial" w:cs="Arial"/>
                <w:sz w:val="18"/>
                <w:szCs w:val="18"/>
              </w:rPr>
            </w:pPr>
            <w:r>
              <w:rPr>
                <w:rFonts w:ascii="Arial" w:hAnsi="Arial" w:cs="Arial"/>
                <w:sz w:val="18"/>
                <w:szCs w:val="18"/>
              </w:rPr>
              <w:t>4.8</w:t>
            </w:r>
          </w:p>
        </w:tc>
        <w:tc>
          <w:tcPr>
            <w:tcW w:w="1388" w:type="pct"/>
            <w:tcBorders>
              <w:top w:val="nil"/>
              <w:left w:val="single" w:sz="4" w:space="0" w:color="auto"/>
              <w:bottom w:val="single" w:sz="4" w:space="0" w:color="auto"/>
              <w:right w:val="single" w:sz="4" w:space="0" w:color="auto"/>
            </w:tcBorders>
            <w:vAlign w:val="center"/>
          </w:tcPr>
          <w:p w:rsidR="00E436EF" w:rsidRDefault="002F7301">
            <w:pPr>
              <w:ind w:left="159"/>
              <w:jc w:val="center"/>
              <w:rPr>
                <w:rFonts w:ascii="Arial" w:hAnsi="Arial" w:cs="Arial"/>
                <w:sz w:val="18"/>
                <w:szCs w:val="18"/>
              </w:rPr>
            </w:pPr>
            <w:r>
              <w:rPr>
                <w:rFonts w:ascii="Arial" w:hAnsi="Arial" w:cs="Arial" w:hint="cs"/>
                <w:sz w:val="18"/>
                <w:szCs w:val="18"/>
                <w:rtl/>
              </w:rPr>
              <w:t>95.2</w:t>
            </w:r>
          </w:p>
        </w:tc>
        <w:tc>
          <w:tcPr>
            <w:tcW w:w="808" w:type="pct"/>
            <w:tcBorders>
              <w:top w:val="nil"/>
              <w:left w:val="single" w:sz="4" w:space="0" w:color="auto"/>
              <w:bottom w:val="single" w:sz="4" w:space="0" w:color="auto"/>
              <w:right w:val="single" w:sz="4" w:space="0" w:color="auto"/>
            </w:tcBorders>
            <w:vAlign w:val="center"/>
          </w:tcPr>
          <w:p w:rsidR="00E436EF" w:rsidRDefault="006207DA">
            <w:pPr>
              <w:ind w:firstLine="92"/>
              <w:jc w:val="center"/>
              <w:rPr>
                <w:rFonts w:ascii="Arial" w:hAnsi="Arial" w:cs="Arial"/>
                <w:sz w:val="18"/>
                <w:szCs w:val="18"/>
                <w:rtl/>
              </w:rPr>
            </w:pPr>
            <w:r>
              <w:rPr>
                <w:rFonts w:ascii="Arial" w:hAnsi="Arial" w:cs="Arial"/>
                <w:sz w:val="18"/>
                <w:szCs w:val="18"/>
                <w:rtl/>
              </w:rPr>
              <w:t>100</w:t>
            </w:r>
          </w:p>
        </w:tc>
      </w:tr>
    </w:tbl>
    <w:p w:rsidR="00E436EF" w:rsidRDefault="002F7301">
      <w:pPr>
        <w:bidi w:val="0"/>
        <w:jc w:val="both"/>
        <w:rPr>
          <w:b/>
          <w:bCs/>
        </w:rPr>
      </w:pPr>
      <w:r>
        <w:rPr>
          <w:b/>
          <w:bCs/>
          <w:sz w:val="18"/>
          <w:szCs w:val="18"/>
        </w:rPr>
        <w:t xml:space="preserve">Source: </w:t>
      </w:r>
      <w:r w:rsidRPr="008A2CCC">
        <w:rPr>
          <w:b/>
          <w:bCs/>
          <w:sz w:val="18"/>
          <w:szCs w:val="18"/>
        </w:rPr>
        <w:t>Palestinian Central Bureau of Statistics, 2011</w:t>
      </w:r>
      <w:r w:rsidRPr="008A2CCC">
        <w:rPr>
          <w:sz w:val="18"/>
          <w:szCs w:val="18"/>
        </w:rPr>
        <w:t>.  Palestinian Family Survey 2010</w:t>
      </w:r>
      <w:r>
        <w:rPr>
          <w:b/>
          <w:bCs/>
          <w:sz w:val="18"/>
          <w:szCs w:val="18"/>
        </w:rPr>
        <w:t>,</w:t>
      </w:r>
      <w:r w:rsidRPr="008A2CCC">
        <w:rPr>
          <w:b/>
          <w:bCs/>
          <w:sz w:val="18"/>
          <w:szCs w:val="18"/>
        </w:rPr>
        <w:t xml:space="preserve">  </w:t>
      </w:r>
      <w:r w:rsidRPr="008A2CCC">
        <w:rPr>
          <w:i/>
          <w:iCs/>
          <w:sz w:val="18"/>
          <w:szCs w:val="18"/>
        </w:rPr>
        <w:t xml:space="preserve">Main Report.   </w:t>
      </w:r>
      <w:r w:rsidRPr="008A2CCC">
        <w:rPr>
          <w:b/>
          <w:bCs/>
          <w:sz w:val="18"/>
          <w:szCs w:val="18"/>
        </w:rPr>
        <w:t>Ramallah</w:t>
      </w:r>
      <w:r w:rsidRPr="008A2CCC">
        <w:rPr>
          <w:rFonts w:hint="cs"/>
          <w:b/>
          <w:bCs/>
          <w:sz w:val="18"/>
          <w:szCs w:val="18"/>
          <w:rtl/>
          <w:lang w:val="en-AU"/>
        </w:rPr>
        <w:t xml:space="preserve">- </w:t>
      </w:r>
      <w:r>
        <w:rPr>
          <w:b/>
          <w:bCs/>
          <w:sz w:val="18"/>
          <w:szCs w:val="18"/>
        </w:rPr>
        <w:t xml:space="preserve">    </w:t>
      </w:r>
      <w:r w:rsidRPr="008A2CCC">
        <w:rPr>
          <w:b/>
          <w:bCs/>
          <w:sz w:val="18"/>
          <w:szCs w:val="18"/>
        </w:rPr>
        <w:t>Palestine</w:t>
      </w:r>
    </w:p>
    <w:p w:rsidR="00E436EF" w:rsidRDefault="00E436EF">
      <w:pPr>
        <w:bidi w:val="0"/>
        <w:jc w:val="both"/>
        <w:rPr>
          <w:b/>
          <w:bCs/>
        </w:rPr>
      </w:pPr>
    </w:p>
    <w:p w:rsidR="00E436EF" w:rsidRDefault="006207DA">
      <w:pPr>
        <w:bidi w:val="0"/>
        <w:jc w:val="both"/>
        <w:rPr>
          <w:b/>
          <w:bCs/>
        </w:rPr>
      </w:pPr>
      <w:r>
        <w:rPr>
          <w:b/>
          <w:bCs/>
        </w:rPr>
        <w:t>The Educational Status of Children in Labor</w:t>
      </w:r>
    </w:p>
    <w:p w:rsidR="00E436EF" w:rsidRDefault="006207DA" w:rsidP="005E30A6">
      <w:pPr>
        <w:bidi w:val="0"/>
        <w:jc w:val="both"/>
      </w:pPr>
      <w:r>
        <w:rPr>
          <w:szCs w:val="24"/>
        </w:rPr>
        <w:t>There is a relationship between employed children and their educational level and attainment, the family economic cond</w:t>
      </w:r>
      <w:r w:rsidR="000153F9">
        <w:rPr>
          <w:szCs w:val="24"/>
        </w:rPr>
        <w:t xml:space="preserve">itions, and the social position </w:t>
      </w:r>
      <w:r>
        <w:rPr>
          <w:szCs w:val="24"/>
        </w:rPr>
        <w:t>concerning education because working entails leaving school. Consequently, their earning continues to be continuously low even in adult age. In some cases, some parents consider education a waste of time. They sometimes 'sacrifice' by having one or two sons leave school and contribute to the family income for educating their brothers. Expenses of education, to some families, are considered a direct loss (fees, stationery and clothes) and indirect loss (losing children's supposed income) all of which makes children’s learning a heavy burden on parents. It sometimes happens that some children do not go to school or drop out for many reasons: failing in the class which is harmful to children's psychology or costly to poor families, physical punishment and continuous beating, u</w:t>
      </w:r>
      <w:r>
        <w:t xml:space="preserve">nsuitable timing of study for children working in agriculture, distant studying place (mainly for girls) and the absence of transportation. </w:t>
      </w:r>
    </w:p>
    <w:p w:rsidR="00E436EF" w:rsidRDefault="00E436EF">
      <w:pPr>
        <w:bidi w:val="0"/>
        <w:jc w:val="both"/>
        <w:rPr>
          <w:sz w:val="16"/>
          <w:szCs w:val="16"/>
        </w:rPr>
      </w:pPr>
    </w:p>
    <w:p w:rsidR="005E30A6" w:rsidRDefault="005E30A6" w:rsidP="00EB30B1">
      <w:pPr>
        <w:bidi w:val="0"/>
        <w:rPr>
          <w:szCs w:val="24"/>
        </w:rPr>
      </w:pPr>
      <w:r w:rsidRPr="00B2059F">
        <w:rPr>
          <w:szCs w:val="24"/>
        </w:rPr>
        <w:t xml:space="preserve">The </w:t>
      </w:r>
      <w:r w:rsidR="00720F8C" w:rsidRPr="00720F8C">
        <w:rPr>
          <w:szCs w:val="24"/>
        </w:rPr>
        <w:t>Percentage</w:t>
      </w:r>
      <w:r>
        <w:rPr>
          <w:szCs w:val="24"/>
        </w:rPr>
        <w:t xml:space="preserve"> </w:t>
      </w:r>
      <w:r w:rsidRPr="00B2059F">
        <w:rPr>
          <w:szCs w:val="24"/>
        </w:rPr>
        <w:t>of children</w:t>
      </w:r>
      <w:r w:rsidR="00EB30B1" w:rsidRPr="00EB30B1">
        <w:rPr>
          <w:szCs w:val="24"/>
        </w:rPr>
        <w:t xml:space="preserve"> </w:t>
      </w:r>
      <w:r w:rsidR="00EB30B1" w:rsidRPr="00B2059F">
        <w:rPr>
          <w:szCs w:val="24"/>
        </w:rPr>
        <w:t>aged 5-14 years</w:t>
      </w:r>
      <w:r w:rsidRPr="00B2059F">
        <w:rPr>
          <w:szCs w:val="24"/>
        </w:rPr>
        <w:t xml:space="preserve"> attending school and also engaged in child labor</w:t>
      </w:r>
      <w:r>
        <w:rPr>
          <w:szCs w:val="24"/>
        </w:rPr>
        <w:t xml:space="preserve"> was</w:t>
      </w:r>
      <w:r w:rsidRPr="00B2059F">
        <w:rPr>
          <w:szCs w:val="24"/>
        </w:rPr>
        <w:t xml:space="preserve"> 5.</w:t>
      </w:r>
      <w:r w:rsidR="00720F8C">
        <w:rPr>
          <w:szCs w:val="24"/>
        </w:rPr>
        <w:t>9</w:t>
      </w:r>
      <w:r w:rsidR="00EB30B1">
        <w:rPr>
          <w:szCs w:val="24"/>
        </w:rPr>
        <w:t>%</w:t>
      </w:r>
      <w:r>
        <w:rPr>
          <w:szCs w:val="24"/>
        </w:rPr>
        <w:t xml:space="preserve"> in 2010</w:t>
      </w:r>
      <w:r w:rsidRPr="00B2059F">
        <w:rPr>
          <w:szCs w:val="24"/>
        </w:rPr>
        <w:t>; 7.</w:t>
      </w:r>
      <w:r w:rsidR="00720F8C">
        <w:rPr>
          <w:szCs w:val="24"/>
        </w:rPr>
        <w:t>8</w:t>
      </w:r>
      <w:r>
        <w:rPr>
          <w:szCs w:val="24"/>
        </w:rPr>
        <w:t xml:space="preserve"> </w:t>
      </w:r>
      <w:r w:rsidR="00EB30B1">
        <w:rPr>
          <w:szCs w:val="24"/>
        </w:rPr>
        <w:t>%</w:t>
      </w:r>
      <w:r w:rsidRPr="00B2059F">
        <w:rPr>
          <w:szCs w:val="24"/>
        </w:rPr>
        <w:t xml:space="preserve"> in</w:t>
      </w:r>
      <w:r>
        <w:rPr>
          <w:szCs w:val="24"/>
        </w:rPr>
        <w:t xml:space="preserve"> the</w:t>
      </w:r>
      <w:r w:rsidRPr="00B2059F">
        <w:rPr>
          <w:szCs w:val="24"/>
        </w:rPr>
        <w:t xml:space="preserve"> West Bank and 3.0</w:t>
      </w:r>
      <w:r>
        <w:rPr>
          <w:szCs w:val="24"/>
        </w:rPr>
        <w:t xml:space="preserve"> </w:t>
      </w:r>
      <w:r w:rsidR="00EB30B1">
        <w:rPr>
          <w:szCs w:val="24"/>
        </w:rPr>
        <w:t>%</w:t>
      </w:r>
      <w:r w:rsidRPr="00B2059F">
        <w:rPr>
          <w:szCs w:val="24"/>
        </w:rPr>
        <w:t xml:space="preserve"> in Gaza</w:t>
      </w:r>
      <w:r>
        <w:rPr>
          <w:szCs w:val="24"/>
        </w:rPr>
        <w:t xml:space="preserve"> Strip</w:t>
      </w:r>
      <w:r w:rsidRPr="00B2059F">
        <w:rPr>
          <w:szCs w:val="24"/>
        </w:rPr>
        <w:t xml:space="preserve">, and it </w:t>
      </w:r>
      <w:r>
        <w:rPr>
          <w:szCs w:val="24"/>
        </w:rPr>
        <w:t xml:space="preserve">was </w:t>
      </w:r>
      <w:r w:rsidRPr="00B2059F">
        <w:rPr>
          <w:szCs w:val="24"/>
        </w:rPr>
        <w:t>7.</w:t>
      </w:r>
      <w:r w:rsidR="00720F8C">
        <w:rPr>
          <w:szCs w:val="24"/>
        </w:rPr>
        <w:t>5</w:t>
      </w:r>
      <w:r>
        <w:rPr>
          <w:szCs w:val="24"/>
        </w:rPr>
        <w:t xml:space="preserve"> </w:t>
      </w:r>
      <w:r w:rsidR="00EB30B1">
        <w:rPr>
          <w:szCs w:val="24"/>
        </w:rPr>
        <w:t>%</w:t>
      </w:r>
      <w:r w:rsidRPr="00B2059F">
        <w:rPr>
          <w:szCs w:val="24"/>
        </w:rPr>
        <w:t xml:space="preserve"> among male children attending school </w:t>
      </w:r>
      <w:r>
        <w:rPr>
          <w:szCs w:val="24"/>
        </w:rPr>
        <w:t>compared to</w:t>
      </w:r>
      <w:r w:rsidRPr="00B2059F">
        <w:rPr>
          <w:szCs w:val="24"/>
        </w:rPr>
        <w:t xml:space="preserve"> 4.</w:t>
      </w:r>
      <w:r w:rsidR="00720F8C">
        <w:rPr>
          <w:szCs w:val="24"/>
        </w:rPr>
        <w:t>1</w:t>
      </w:r>
      <w:r w:rsidR="00EB30B1">
        <w:rPr>
          <w:szCs w:val="24"/>
        </w:rPr>
        <w:t>%</w:t>
      </w:r>
      <w:r>
        <w:rPr>
          <w:szCs w:val="24"/>
        </w:rPr>
        <w:t xml:space="preserve"> </w:t>
      </w:r>
      <w:r w:rsidRPr="00B2059F">
        <w:rPr>
          <w:szCs w:val="24"/>
        </w:rPr>
        <w:t xml:space="preserve"> among females. </w:t>
      </w:r>
    </w:p>
    <w:p w:rsidR="00E436EF" w:rsidRDefault="00E436EF">
      <w:pPr>
        <w:bidi w:val="0"/>
        <w:jc w:val="center"/>
        <w:rPr>
          <w:rFonts w:cs="Simplified Arabic"/>
          <w:szCs w:val="24"/>
        </w:rPr>
      </w:pPr>
    </w:p>
    <w:p w:rsidR="00E436EF" w:rsidRDefault="006207DA" w:rsidP="00FA0732">
      <w:pPr>
        <w:bidi w:val="0"/>
        <w:jc w:val="center"/>
        <w:rPr>
          <w:b/>
          <w:bCs/>
          <w:color w:val="000000"/>
          <w:sz w:val="22"/>
          <w:szCs w:val="22"/>
        </w:rPr>
      </w:pPr>
      <w:r>
        <w:rPr>
          <w:rFonts w:cs="Simplified Arabic"/>
          <w:sz w:val="22"/>
          <w:szCs w:val="22"/>
        </w:rPr>
        <w:t xml:space="preserve"> </w:t>
      </w:r>
      <w:r>
        <w:rPr>
          <w:b/>
          <w:bCs/>
          <w:color w:val="000000"/>
          <w:sz w:val="22"/>
          <w:szCs w:val="22"/>
        </w:rPr>
        <w:t xml:space="preserve">Table </w:t>
      </w:r>
      <w:r>
        <w:rPr>
          <w:rFonts w:hint="cs"/>
          <w:b/>
          <w:bCs/>
          <w:color w:val="000000"/>
          <w:sz w:val="22"/>
          <w:szCs w:val="22"/>
          <w:rtl/>
        </w:rPr>
        <w:t>)</w:t>
      </w:r>
      <w:r w:rsidR="001F3264">
        <w:rPr>
          <w:b/>
          <w:bCs/>
          <w:color w:val="000000"/>
          <w:sz w:val="22"/>
          <w:szCs w:val="22"/>
        </w:rPr>
        <w:t>5</w:t>
      </w:r>
      <w:r>
        <w:rPr>
          <w:b/>
          <w:bCs/>
          <w:color w:val="000000"/>
          <w:sz w:val="22"/>
          <w:szCs w:val="22"/>
        </w:rPr>
        <w:t xml:space="preserve">-5): </w:t>
      </w:r>
      <w:r w:rsidR="00720F8C" w:rsidRPr="00720F8C">
        <w:rPr>
          <w:b/>
          <w:bCs/>
          <w:color w:val="000000"/>
          <w:sz w:val="22"/>
          <w:szCs w:val="22"/>
        </w:rPr>
        <w:t xml:space="preserve">Percentage of </w:t>
      </w:r>
      <w:r w:rsidR="00FA0732">
        <w:rPr>
          <w:b/>
          <w:bCs/>
          <w:color w:val="000000"/>
          <w:sz w:val="22"/>
          <w:szCs w:val="22"/>
        </w:rPr>
        <w:t>c</w:t>
      </w:r>
      <w:r w:rsidR="00720F8C" w:rsidRPr="00720F8C">
        <w:rPr>
          <w:b/>
          <w:bCs/>
          <w:color w:val="000000"/>
          <w:sz w:val="22"/>
          <w:szCs w:val="22"/>
        </w:rPr>
        <w:t xml:space="preserve">hild </w:t>
      </w:r>
      <w:r w:rsidR="00FA0732">
        <w:rPr>
          <w:b/>
          <w:bCs/>
          <w:color w:val="000000"/>
          <w:sz w:val="22"/>
          <w:szCs w:val="22"/>
        </w:rPr>
        <w:t>l</w:t>
      </w:r>
      <w:r w:rsidR="00720F8C" w:rsidRPr="00720F8C">
        <w:rPr>
          <w:b/>
          <w:bCs/>
          <w:color w:val="000000"/>
          <w:sz w:val="22"/>
          <w:szCs w:val="22"/>
        </w:rPr>
        <w:t xml:space="preserve">abor and </w:t>
      </w:r>
      <w:r w:rsidR="00FA0732">
        <w:rPr>
          <w:b/>
          <w:bCs/>
          <w:color w:val="000000"/>
          <w:sz w:val="22"/>
          <w:szCs w:val="22"/>
        </w:rPr>
        <w:t>e</w:t>
      </w:r>
      <w:r w:rsidR="00720F8C" w:rsidRPr="00720F8C">
        <w:rPr>
          <w:b/>
          <w:bCs/>
          <w:color w:val="000000"/>
          <w:sz w:val="22"/>
          <w:szCs w:val="22"/>
        </w:rPr>
        <w:t xml:space="preserve">ducation </w:t>
      </w:r>
      <w:r w:rsidR="00FA0732">
        <w:rPr>
          <w:b/>
          <w:bCs/>
          <w:color w:val="000000"/>
          <w:sz w:val="22"/>
          <w:szCs w:val="22"/>
        </w:rPr>
        <w:t>e</w:t>
      </w:r>
      <w:r w:rsidR="00720F8C" w:rsidRPr="00720F8C">
        <w:rPr>
          <w:b/>
          <w:bCs/>
          <w:color w:val="000000"/>
          <w:sz w:val="22"/>
          <w:szCs w:val="22"/>
        </w:rPr>
        <w:t xml:space="preserve">nrollment of </w:t>
      </w:r>
      <w:r w:rsidR="00FA0732">
        <w:rPr>
          <w:b/>
          <w:bCs/>
          <w:color w:val="000000"/>
          <w:sz w:val="22"/>
          <w:szCs w:val="22"/>
        </w:rPr>
        <w:t>c</w:t>
      </w:r>
      <w:r w:rsidR="00720F8C" w:rsidRPr="00720F8C">
        <w:rPr>
          <w:b/>
          <w:bCs/>
          <w:color w:val="000000"/>
          <w:sz w:val="22"/>
          <w:szCs w:val="22"/>
        </w:rPr>
        <w:t xml:space="preserve">hildren </w:t>
      </w:r>
      <w:r w:rsidR="00FA0732">
        <w:rPr>
          <w:b/>
          <w:bCs/>
          <w:color w:val="000000"/>
          <w:sz w:val="22"/>
          <w:szCs w:val="22"/>
        </w:rPr>
        <w:t>a</w:t>
      </w:r>
      <w:r w:rsidR="00720F8C" w:rsidRPr="00720F8C">
        <w:rPr>
          <w:b/>
          <w:bCs/>
          <w:color w:val="000000"/>
          <w:sz w:val="22"/>
          <w:szCs w:val="22"/>
        </w:rPr>
        <w:t xml:space="preserve">ged 5-14 </w:t>
      </w:r>
      <w:r w:rsidR="00FA0732">
        <w:rPr>
          <w:b/>
          <w:bCs/>
          <w:color w:val="000000"/>
          <w:sz w:val="22"/>
          <w:szCs w:val="22"/>
        </w:rPr>
        <w:t>y</w:t>
      </w:r>
      <w:r w:rsidR="00720F8C" w:rsidRPr="00720F8C">
        <w:rPr>
          <w:b/>
          <w:bCs/>
          <w:color w:val="000000"/>
          <w:sz w:val="22"/>
          <w:szCs w:val="22"/>
        </w:rPr>
        <w:t xml:space="preserve">ears by </w:t>
      </w:r>
      <w:r w:rsidR="00FA0732">
        <w:rPr>
          <w:b/>
          <w:bCs/>
          <w:color w:val="000000"/>
          <w:sz w:val="22"/>
          <w:szCs w:val="22"/>
        </w:rPr>
        <w:t>s</w:t>
      </w:r>
      <w:r w:rsidR="00720F8C" w:rsidRPr="00720F8C">
        <w:rPr>
          <w:b/>
          <w:bCs/>
          <w:color w:val="000000"/>
          <w:sz w:val="22"/>
          <w:szCs w:val="22"/>
        </w:rPr>
        <w:t xml:space="preserve">elected </w:t>
      </w:r>
      <w:r w:rsidR="00FA0732">
        <w:rPr>
          <w:b/>
          <w:bCs/>
          <w:color w:val="000000"/>
          <w:sz w:val="22"/>
          <w:szCs w:val="22"/>
        </w:rPr>
        <w:t>b</w:t>
      </w:r>
      <w:r w:rsidR="00720F8C" w:rsidRPr="00720F8C">
        <w:rPr>
          <w:b/>
          <w:bCs/>
          <w:color w:val="000000"/>
          <w:sz w:val="22"/>
          <w:szCs w:val="22"/>
        </w:rPr>
        <w:t xml:space="preserve">ackground </w:t>
      </w:r>
      <w:r w:rsidR="00FA0732">
        <w:rPr>
          <w:b/>
          <w:bCs/>
          <w:color w:val="000000"/>
          <w:sz w:val="22"/>
          <w:szCs w:val="22"/>
        </w:rPr>
        <w:t>c</w:t>
      </w:r>
      <w:r w:rsidR="00720F8C" w:rsidRPr="00720F8C">
        <w:rPr>
          <w:b/>
          <w:bCs/>
          <w:color w:val="000000"/>
          <w:sz w:val="22"/>
          <w:szCs w:val="22"/>
        </w:rPr>
        <w:t>haracteristics</w:t>
      </w:r>
      <w:r w:rsidR="007013D9">
        <w:rPr>
          <w:b/>
          <w:bCs/>
          <w:color w:val="000000"/>
          <w:sz w:val="22"/>
          <w:szCs w:val="22"/>
        </w:rPr>
        <w:t>in</w:t>
      </w:r>
      <w:r w:rsidR="00720F8C" w:rsidRPr="00720F8C">
        <w:rPr>
          <w:b/>
          <w:bCs/>
          <w:color w:val="000000"/>
          <w:sz w:val="22"/>
          <w:szCs w:val="22"/>
        </w:rPr>
        <w:t xml:space="preserve"> 2010</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71"/>
        <w:gridCol w:w="2654"/>
        <w:gridCol w:w="2547"/>
      </w:tblGrid>
      <w:tr w:rsidR="00671E1A" w:rsidTr="005A2224">
        <w:trPr>
          <w:cantSplit/>
          <w:trHeight w:val="828"/>
        </w:trPr>
        <w:tc>
          <w:tcPr>
            <w:tcW w:w="2133" w:type="pct"/>
            <w:tcBorders>
              <w:top w:val="single" w:sz="4" w:space="0" w:color="auto"/>
              <w:left w:val="single" w:sz="4" w:space="0" w:color="auto"/>
              <w:right w:val="single" w:sz="4" w:space="0" w:color="auto"/>
            </w:tcBorders>
            <w:vAlign w:val="center"/>
          </w:tcPr>
          <w:p w:rsidR="00671E1A" w:rsidRDefault="005A2224" w:rsidP="005A2224">
            <w:pPr>
              <w:bidi w:val="0"/>
              <w:ind w:firstLineChars="100" w:firstLine="181"/>
              <w:jc w:val="center"/>
              <w:rPr>
                <w:rFonts w:ascii="Arial" w:hAnsi="Arial" w:cs="Arial"/>
                <w:b/>
                <w:bCs/>
                <w:color w:val="000000"/>
                <w:sz w:val="18"/>
                <w:szCs w:val="18"/>
              </w:rPr>
            </w:pPr>
            <w:r w:rsidRPr="005A2224">
              <w:rPr>
                <w:rFonts w:ascii="Arial" w:hAnsi="Arial" w:cs="Arial"/>
                <w:b/>
                <w:bCs/>
                <w:color w:val="000000"/>
                <w:sz w:val="18"/>
                <w:szCs w:val="18"/>
              </w:rPr>
              <w:t>Background Characteristics</w:t>
            </w:r>
          </w:p>
        </w:tc>
        <w:tc>
          <w:tcPr>
            <w:tcW w:w="1463" w:type="pct"/>
            <w:tcBorders>
              <w:top w:val="single" w:sz="4" w:space="0" w:color="auto"/>
              <w:left w:val="single" w:sz="4" w:space="0" w:color="auto"/>
              <w:right w:val="single" w:sz="4" w:space="0" w:color="auto"/>
            </w:tcBorders>
            <w:vAlign w:val="center"/>
          </w:tcPr>
          <w:p w:rsidR="00671E1A" w:rsidRDefault="00671E1A" w:rsidP="005A2224">
            <w:pPr>
              <w:bidi w:val="0"/>
              <w:ind w:firstLineChars="100" w:firstLine="181"/>
              <w:jc w:val="center"/>
              <w:rPr>
                <w:rFonts w:ascii="Arial" w:hAnsi="Arial" w:cs="Arial"/>
                <w:b/>
                <w:bCs/>
                <w:color w:val="000000"/>
                <w:sz w:val="18"/>
                <w:szCs w:val="18"/>
              </w:rPr>
            </w:pPr>
            <w:r w:rsidRPr="005A2224">
              <w:rPr>
                <w:rFonts w:ascii="Arial" w:hAnsi="Arial" w:cs="Arial"/>
                <w:b/>
                <w:bCs/>
                <w:color w:val="000000"/>
                <w:sz w:val="18"/>
                <w:szCs w:val="18"/>
              </w:rPr>
              <w:t>Percentage of students who are also involved in child labo</w:t>
            </w:r>
            <w:r>
              <w:rPr>
                <w:rFonts w:ascii="Arial" w:hAnsi="Arial" w:cs="Arial"/>
                <w:b/>
                <w:bCs/>
                <w:color w:val="000000"/>
                <w:sz w:val="18"/>
                <w:szCs w:val="18"/>
              </w:rPr>
              <w:t>r</w:t>
            </w:r>
          </w:p>
        </w:tc>
        <w:tc>
          <w:tcPr>
            <w:tcW w:w="1404" w:type="pct"/>
            <w:tcBorders>
              <w:top w:val="single" w:sz="4" w:space="0" w:color="auto"/>
              <w:left w:val="single" w:sz="4" w:space="0" w:color="auto"/>
              <w:right w:val="single" w:sz="4" w:space="0" w:color="auto"/>
            </w:tcBorders>
            <w:vAlign w:val="center"/>
          </w:tcPr>
          <w:p w:rsidR="00671E1A" w:rsidRDefault="00671E1A" w:rsidP="005A2224">
            <w:pPr>
              <w:bidi w:val="0"/>
              <w:ind w:firstLineChars="100" w:firstLine="181"/>
              <w:jc w:val="center"/>
              <w:rPr>
                <w:rFonts w:ascii="Arial" w:hAnsi="Arial" w:cs="Arial"/>
                <w:b/>
                <w:bCs/>
                <w:color w:val="000000"/>
                <w:sz w:val="18"/>
                <w:szCs w:val="18"/>
              </w:rPr>
            </w:pPr>
            <w:r w:rsidRPr="00671E1A">
              <w:rPr>
                <w:rFonts w:ascii="Arial" w:hAnsi="Arial" w:cs="Arial"/>
                <w:b/>
                <w:bCs/>
                <w:color w:val="000000"/>
                <w:sz w:val="18"/>
                <w:szCs w:val="18"/>
              </w:rPr>
              <w:t>Percentage of children attending school</w:t>
            </w:r>
          </w:p>
        </w:tc>
      </w:tr>
      <w:tr w:rsidR="00671E1A" w:rsidTr="005A2224">
        <w:trPr>
          <w:trHeight w:val="219"/>
        </w:trPr>
        <w:tc>
          <w:tcPr>
            <w:tcW w:w="2133" w:type="pct"/>
            <w:tcBorders>
              <w:top w:val="single" w:sz="4" w:space="0" w:color="auto"/>
              <w:left w:val="single" w:sz="4" w:space="0" w:color="auto"/>
              <w:bottom w:val="nil"/>
              <w:right w:val="single" w:sz="4" w:space="0" w:color="auto"/>
            </w:tcBorders>
          </w:tcPr>
          <w:p w:rsidR="00671E1A" w:rsidRDefault="00671E1A" w:rsidP="005A2224">
            <w:pPr>
              <w:bidi w:val="0"/>
              <w:ind w:firstLineChars="100" w:firstLine="181"/>
              <w:rPr>
                <w:rFonts w:ascii="Arial" w:hAnsi="Arial" w:cs="Arial"/>
                <w:b/>
                <w:bCs/>
                <w:color w:val="000000"/>
                <w:sz w:val="18"/>
                <w:szCs w:val="18"/>
              </w:rPr>
            </w:pPr>
            <w:r>
              <w:rPr>
                <w:rFonts w:ascii="Arial" w:hAnsi="Arial" w:cs="Arial"/>
                <w:b/>
                <w:bCs/>
                <w:color w:val="000000"/>
                <w:sz w:val="18"/>
                <w:szCs w:val="18"/>
              </w:rPr>
              <w:t>Palestinian Territory</w:t>
            </w:r>
          </w:p>
        </w:tc>
        <w:tc>
          <w:tcPr>
            <w:tcW w:w="1463" w:type="pct"/>
            <w:tcBorders>
              <w:top w:val="single" w:sz="4" w:space="0" w:color="auto"/>
              <w:left w:val="single" w:sz="4" w:space="0" w:color="auto"/>
              <w:bottom w:val="nil"/>
              <w:right w:val="nil"/>
            </w:tcBorders>
            <w:vAlign w:val="center"/>
          </w:tcPr>
          <w:p w:rsidR="00671E1A" w:rsidRDefault="005A2224" w:rsidP="005A2224">
            <w:pPr>
              <w:jc w:val="center"/>
              <w:rPr>
                <w:rFonts w:ascii="Arial" w:hAnsi="Arial" w:cs="Arial"/>
                <w:b/>
                <w:bCs/>
                <w:sz w:val="18"/>
                <w:szCs w:val="18"/>
              </w:rPr>
            </w:pPr>
            <w:r>
              <w:rPr>
                <w:rFonts w:ascii="Arial" w:hAnsi="Arial" w:cs="Arial" w:hint="cs"/>
                <w:b/>
                <w:bCs/>
                <w:sz w:val="18"/>
                <w:szCs w:val="18"/>
                <w:rtl/>
              </w:rPr>
              <w:t>5.9</w:t>
            </w:r>
          </w:p>
        </w:tc>
        <w:tc>
          <w:tcPr>
            <w:tcW w:w="1404" w:type="pct"/>
            <w:tcBorders>
              <w:top w:val="single" w:sz="4" w:space="0" w:color="auto"/>
              <w:left w:val="nil"/>
              <w:bottom w:val="nil"/>
              <w:right w:val="single" w:sz="4" w:space="0" w:color="auto"/>
            </w:tcBorders>
            <w:vAlign w:val="center"/>
          </w:tcPr>
          <w:p w:rsidR="00671E1A" w:rsidRDefault="00720F8C">
            <w:pPr>
              <w:jc w:val="center"/>
              <w:rPr>
                <w:rFonts w:ascii="Arial" w:hAnsi="Arial" w:cs="Arial"/>
                <w:b/>
                <w:bCs/>
                <w:sz w:val="18"/>
                <w:szCs w:val="18"/>
              </w:rPr>
            </w:pPr>
            <w:r>
              <w:rPr>
                <w:rFonts w:ascii="Arial" w:hAnsi="Arial" w:cs="Arial" w:hint="cs"/>
                <w:b/>
                <w:bCs/>
                <w:sz w:val="18"/>
                <w:szCs w:val="18"/>
                <w:rtl/>
              </w:rPr>
              <w:t>96.3</w:t>
            </w:r>
          </w:p>
        </w:tc>
      </w:tr>
      <w:tr w:rsidR="00671E1A" w:rsidTr="005A2224">
        <w:tc>
          <w:tcPr>
            <w:tcW w:w="2133" w:type="pct"/>
            <w:tcBorders>
              <w:top w:val="nil"/>
              <w:left w:val="single" w:sz="4" w:space="0" w:color="auto"/>
              <w:bottom w:val="nil"/>
              <w:right w:val="single" w:sz="4" w:space="0" w:color="auto"/>
            </w:tcBorders>
          </w:tcPr>
          <w:p w:rsidR="00671E1A" w:rsidRPr="005A2224" w:rsidRDefault="00671E1A" w:rsidP="005A2224">
            <w:pPr>
              <w:bidi w:val="0"/>
              <w:ind w:firstLineChars="100" w:firstLine="180"/>
              <w:rPr>
                <w:rFonts w:ascii="Arial" w:hAnsi="Arial" w:cs="Arial"/>
                <w:color w:val="000000"/>
                <w:sz w:val="18"/>
                <w:szCs w:val="18"/>
              </w:rPr>
            </w:pPr>
            <w:r w:rsidRPr="005A2224">
              <w:rPr>
                <w:rFonts w:ascii="Arial" w:hAnsi="Arial" w:cs="Arial"/>
                <w:color w:val="000000"/>
                <w:sz w:val="18"/>
                <w:szCs w:val="18"/>
              </w:rPr>
              <w:t>West Bank</w:t>
            </w:r>
          </w:p>
        </w:tc>
        <w:tc>
          <w:tcPr>
            <w:tcW w:w="1463" w:type="pct"/>
            <w:tcBorders>
              <w:top w:val="nil"/>
              <w:left w:val="single" w:sz="4" w:space="0" w:color="auto"/>
              <w:bottom w:val="nil"/>
              <w:right w:val="nil"/>
            </w:tcBorders>
            <w:vAlign w:val="center"/>
          </w:tcPr>
          <w:p w:rsidR="00671E1A" w:rsidRDefault="005A2224" w:rsidP="005A2224">
            <w:pPr>
              <w:jc w:val="center"/>
              <w:rPr>
                <w:rFonts w:ascii="Arial" w:hAnsi="Arial" w:cs="Arial"/>
                <w:sz w:val="18"/>
                <w:szCs w:val="18"/>
              </w:rPr>
            </w:pPr>
            <w:r>
              <w:rPr>
                <w:rFonts w:ascii="Arial" w:hAnsi="Arial" w:cs="Arial" w:hint="cs"/>
                <w:sz w:val="18"/>
                <w:szCs w:val="18"/>
                <w:rtl/>
              </w:rPr>
              <w:t>7.8</w:t>
            </w:r>
          </w:p>
        </w:tc>
        <w:tc>
          <w:tcPr>
            <w:tcW w:w="1404" w:type="pct"/>
            <w:tcBorders>
              <w:top w:val="nil"/>
              <w:left w:val="nil"/>
              <w:bottom w:val="nil"/>
              <w:right w:val="single" w:sz="4" w:space="0" w:color="auto"/>
            </w:tcBorders>
            <w:vAlign w:val="center"/>
          </w:tcPr>
          <w:p w:rsidR="00671E1A" w:rsidRDefault="00720F8C">
            <w:pPr>
              <w:jc w:val="center"/>
              <w:rPr>
                <w:rFonts w:ascii="Arial" w:hAnsi="Arial" w:cs="Arial"/>
                <w:sz w:val="18"/>
                <w:szCs w:val="18"/>
              </w:rPr>
            </w:pPr>
            <w:r>
              <w:rPr>
                <w:rFonts w:ascii="Arial" w:hAnsi="Arial" w:cs="Arial" w:hint="cs"/>
                <w:sz w:val="18"/>
                <w:szCs w:val="18"/>
                <w:rtl/>
              </w:rPr>
              <w:t>95.7</w:t>
            </w:r>
          </w:p>
        </w:tc>
      </w:tr>
      <w:tr w:rsidR="00671E1A" w:rsidTr="005A2224">
        <w:tc>
          <w:tcPr>
            <w:tcW w:w="2133" w:type="pct"/>
            <w:tcBorders>
              <w:top w:val="nil"/>
              <w:left w:val="single" w:sz="4" w:space="0" w:color="auto"/>
              <w:bottom w:val="nil"/>
              <w:right w:val="single" w:sz="4" w:space="0" w:color="auto"/>
            </w:tcBorders>
          </w:tcPr>
          <w:p w:rsidR="00671E1A" w:rsidRPr="005A2224" w:rsidRDefault="00671E1A" w:rsidP="005A2224">
            <w:pPr>
              <w:bidi w:val="0"/>
              <w:ind w:firstLineChars="100" w:firstLine="180"/>
              <w:rPr>
                <w:rFonts w:ascii="Arial" w:hAnsi="Arial" w:cs="Arial"/>
                <w:color w:val="000000"/>
                <w:sz w:val="18"/>
                <w:szCs w:val="18"/>
              </w:rPr>
            </w:pPr>
            <w:r w:rsidRPr="005A2224">
              <w:rPr>
                <w:rFonts w:ascii="Arial" w:hAnsi="Arial" w:cs="Arial"/>
                <w:color w:val="000000"/>
                <w:sz w:val="18"/>
                <w:szCs w:val="18"/>
              </w:rPr>
              <w:t>Gaza Strip</w:t>
            </w:r>
          </w:p>
        </w:tc>
        <w:tc>
          <w:tcPr>
            <w:tcW w:w="1463" w:type="pct"/>
            <w:tcBorders>
              <w:top w:val="nil"/>
              <w:left w:val="single" w:sz="4" w:space="0" w:color="auto"/>
              <w:bottom w:val="nil"/>
              <w:right w:val="nil"/>
            </w:tcBorders>
            <w:vAlign w:val="center"/>
          </w:tcPr>
          <w:p w:rsidR="00671E1A" w:rsidRDefault="005A2224" w:rsidP="005A2224">
            <w:pPr>
              <w:jc w:val="center"/>
              <w:rPr>
                <w:rFonts w:ascii="Arial" w:hAnsi="Arial" w:cs="Arial"/>
                <w:sz w:val="18"/>
                <w:szCs w:val="18"/>
              </w:rPr>
            </w:pPr>
            <w:r>
              <w:rPr>
                <w:rFonts w:ascii="Arial" w:hAnsi="Arial" w:cs="Arial" w:hint="cs"/>
                <w:sz w:val="18"/>
                <w:szCs w:val="18"/>
                <w:rtl/>
              </w:rPr>
              <w:t>3.0</w:t>
            </w:r>
          </w:p>
        </w:tc>
        <w:tc>
          <w:tcPr>
            <w:tcW w:w="1404" w:type="pct"/>
            <w:tcBorders>
              <w:top w:val="nil"/>
              <w:left w:val="nil"/>
              <w:bottom w:val="nil"/>
              <w:right w:val="single" w:sz="4" w:space="0" w:color="auto"/>
            </w:tcBorders>
            <w:vAlign w:val="center"/>
          </w:tcPr>
          <w:p w:rsidR="00671E1A" w:rsidRDefault="00720F8C">
            <w:pPr>
              <w:jc w:val="center"/>
              <w:rPr>
                <w:rFonts w:ascii="Arial" w:hAnsi="Arial" w:cs="Arial"/>
                <w:sz w:val="18"/>
                <w:szCs w:val="18"/>
              </w:rPr>
            </w:pPr>
            <w:r>
              <w:rPr>
                <w:rFonts w:ascii="Arial" w:hAnsi="Arial" w:cs="Arial" w:hint="cs"/>
                <w:sz w:val="18"/>
                <w:szCs w:val="18"/>
                <w:rtl/>
              </w:rPr>
              <w:t>97.2</w:t>
            </w:r>
          </w:p>
        </w:tc>
      </w:tr>
      <w:tr w:rsidR="005A2224" w:rsidTr="00671E1A">
        <w:tc>
          <w:tcPr>
            <w:tcW w:w="2133" w:type="pct"/>
            <w:tcBorders>
              <w:top w:val="nil"/>
              <w:left w:val="single" w:sz="4" w:space="0" w:color="auto"/>
              <w:bottom w:val="nil"/>
              <w:right w:val="single" w:sz="4" w:space="0" w:color="auto"/>
            </w:tcBorders>
          </w:tcPr>
          <w:p w:rsidR="005A2224" w:rsidRDefault="005A2224">
            <w:pPr>
              <w:bidi w:val="0"/>
              <w:ind w:firstLineChars="100" w:firstLine="181"/>
              <w:rPr>
                <w:rFonts w:ascii="Arial" w:hAnsi="Arial" w:cs="Arial"/>
                <w:b/>
                <w:bCs/>
                <w:color w:val="000000"/>
                <w:sz w:val="18"/>
                <w:szCs w:val="18"/>
              </w:rPr>
            </w:pPr>
            <w:r>
              <w:rPr>
                <w:rFonts w:ascii="Arial" w:hAnsi="Arial" w:cs="Arial"/>
                <w:b/>
                <w:bCs/>
                <w:color w:val="000000"/>
                <w:sz w:val="18"/>
                <w:szCs w:val="18"/>
              </w:rPr>
              <w:t>Age in years</w:t>
            </w:r>
          </w:p>
        </w:tc>
        <w:tc>
          <w:tcPr>
            <w:tcW w:w="1463" w:type="pct"/>
            <w:tcBorders>
              <w:top w:val="nil"/>
              <w:left w:val="single" w:sz="4" w:space="0" w:color="auto"/>
              <w:bottom w:val="nil"/>
              <w:right w:val="nil"/>
            </w:tcBorders>
            <w:vAlign w:val="center"/>
          </w:tcPr>
          <w:p w:rsidR="005A2224" w:rsidRDefault="005A2224">
            <w:pPr>
              <w:ind w:left="180"/>
              <w:jc w:val="center"/>
              <w:rPr>
                <w:rFonts w:ascii="Arial" w:hAnsi="Arial" w:cs="Arial"/>
                <w:color w:val="000000"/>
                <w:sz w:val="18"/>
                <w:szCs w:val="18"/>
              </w:rPr>
            </w:pPr>
          </w:p>
        </w:tc>
        <w:tc>
          <w:tcPr>
            <w:tcW w:w="1404" w:type="pct"/>
            <w:tcBorders>
              <w:top w:val="nil"/>
              <w:left w:val="nil"/>
              <w:bottom w:val="nil"/>
              <w:right w:val="single" w:sz="4" w:space="0" w:color="auto"/>
            </w:tcBorders>
            <w:vAlign w:val="center"/>
          </w:tcPr>
          <w:p w:rsidR="005A2224" w:rsidRDefault="005A2224">
            <w:pPr>
              <w:ind w:left="180"/>
              <w:jc w:val="center"/>
              <w:rPr>
                <w:rFonts w:ascii="Arial" w:hAnsi="Arial" w:cs="Arial"/>
                <w:color w:val="000000"/>
                <w:sz w:val="18"/>
                <w:szCs w:val="18"/>
              </w:rPr>
            </w:pPr>
          </w:p>
        </w:tc>
      </w:tr>
      <w:tr w:rsidR="005A2224" w:rsidTr="005A2224">
        <w:tc>
          <w:tcPr>
            <w:tcW w:w="2133" w:type="pct"/>
            <w:tcBorders>
              <w:top w:val="nil"/>
              <w:left w:val="single" w:sz="4" w:space="0" w:color="auto"/>
              <w:bottom w:val="nil"/>
              <w:right w:val="single" w:sz="4" w:space="0" w:color="auto"/>
            </w:tcBorders>
          </w:tcPr>
          <w:p w:rsidR="005A2224" w:rsidRDefault="005A2224">
            <w:pPr>
              <w:bidi w:val="0"/>
              <w:ind w:firstLineChars="100" w:firstLine="180"/>
              <w:rPr>
                <w:rFonts w:ascii="Arial" w:hAnsi="Arial" w:cs="Arial"/>
                <w:color w:val="000000"/>
                <w:sz w:val="18"/>
                <w:szCs w:val="18"/>
              </w:rPr>
            </w:pPr>
            <w:r>
              <w:rPr>
                <w:rFonts w:ascii="Arial" w:hAnsi="Arial" w:cs="Arial"/>
                <w:color w:val="000000"/>
                <w:sz w:val="18"/>
                <w:szCs w:val="18"/>
              </w:rPr>
              <w:t xml:space="preserve">5-11 </w:t>
            </w:r>
          </w:p>
        </w:tc>
        <w:tc>
          <w:tcPr>
            <w:tcW w:w="1463" w:type="pct"/>
            <w:tcBorders>
              <w:top w:val="nil"/>
              <w:left w:val="single" w:sz="4" w:space="0" w:color="auto"/>
              <w:bottom w:val="nil"/>
              <w:right w:val="nil"/>
            </w:tcBorders>
            <w:vAlign w:val="center"/>
          </w:tcPr>
          <w:p w:rsidR="005A2224" w:rsidRPr="005A2224" w:rsidRDefault="005A2224" w:rsidP="005A2224">
            <w:pPr>
              <w:jc w:val="center"/>
              <w:rPr>
                <w:rFonts w:ascii="Arial" w:hAnsi="Arial" w:cs="Arial"/>
                <w:sz w:val="18"/>
                <w:szCs w:val="18"/>
              </w:rPr>
            </w:pPr>
            <w:r w:rsidRPr="005A2224">
              <w:rPr>
                <w:rFonts w:ascii="Arial" w:hAnsi="Arial" w:cs="Arial" w:hint="cs"/>
                <w:sz w:val="18"/>
                <w:szCs w:val="18"/>
                <w:rtl/>
              </w:rPr>
              <w:t>6.5</w:t>
            </w:r>
          </w:p>
        </w:tc>
        <w:tc>
          <w:tcPr>
            <w:tcW w:w="1404" w:type="pct"/>
            <w:tcBorders>
              <w:top w:val="nil"/>
              <w:left w:val="nil"/>
              <w:bottom w:val="nil"/>
              <w:right w:val="single" w:sz="4" w:space="0" w:color="auto"/>
            </w:tcBorders>
            <w:vAlign w:val="center"/>
          </w:tcPr>
          <w:p w:rsidR="005A2224" w:rsidRPr="00720F8C" w:rsidRDefault="00720F8C" w:rsidP="00720F8C">
            <w:pPr>
              <w:jc w:val="center"/>
              <w:rPr>
                <w:rFonts w:ascii="Arial" w:hAnsi="Arial" w:cs="Arial"/>
                <w:sz w:val="18"/>
                <w:szCs w:val="18"/>
              </w:rPr>
            </w:pPr>
            <w:r w:rsidRPr="00720F8C">
              <w:rPr>
                <w:rFonts w:ascii="Arial" w:hAnsi="Arial" w:cs="Arial" w:hint="cs"/>
                <w:sz w:val="18"/>
                <w:szCs w:val="18"/>
                <w:rtl/>
              </w:rPr>
              <w:t>95.9</w:t>
            </w:r>
          </w:p>
        </w:tc>
      </w:tr>
      <w:tr w:rsidR="005A2224" w:rsidTr="005A2224">
        <w:tc>
          <w:tcPr>
            <w:tcW w:w="2133" w:type="pct"/>
            <w:tcBorders>
              <w:top w:val="nil"/>
              <w:left w:val="single" w:sz="4" w:space="0" w:color="auto"/>
              <w:bottom w:val="nil"/>
              <w:right w:val="single" w:sz="4" w:space="0" w:color="auto"/>
            </w:tcBorders>
          </w:tcPr>
          <w:p w:rsidR="005A2224" w:rsidRDefault="005A2224">
            <w:pPr>
              <w:bidi w:val="0"/>
              <w:ind w:firstLineChars="100" w:firstLine="180"/>
              <w:rPr>
                <w:rFonts w:ascii="Arial" w:hAnsi="Arial" w:cs="Arial"/>
                <w:color w:val="000000"/>
                <w:sz w:val="18"/>
                <w:szCs w:val="18"/>
              </w:rPr>
            </w:pPr>
            <w:r>
              <w:rPr>
                <w:rFonts w:ascii="Arial" w:hAnsi="Arial" w:cs="Arial"/>
                <w:color w:val="000000"/>
                <w:sz w:val="18"/>
                <w:szCs w:val="18"/>
              </w:rPr>
              <w:t xml:space="preserve">12-14 </w:t>
            </w:r>
          </w:p>
        </w:tc>
        <w:tc>
          <w:tcPr>
            <w:tcW w:w="1463" w:type="pct"/>
            <w:tcBorders>
              <w:top w:val="nil"/>
              <w:left w:val="single" w:sz="4" w:space="0" w:color="auto"/>
              <w:bottom w:val="nil"/>
              <w:right w:val="nil"/>
            </w:tcBorders>
            <w:vAlign w:val="center"/>
          </w:tcPr>
          <w:p w:rsidR="005A2224" w:rsidRPr="005A2224" w:rsidRDefault="005A2224" w:rsidP="005A2224">
            <w:pPr>
              <w:jc w:val="center"/>
              <w:rPr>
                <w:rFonts w:ascii="Arial" w:hAnsi="Arial" w:cs="Arial"/>
                <w:sz w:val="18"/>
                <w:szCs w:val="18"/>
              </w:rPr>
            </w:pPr>
            <w:r w:rsidRPr="005A2224">
              <w:rPr>
                <w:rFonts w:ascii="Arial" w:hAnsi="Arial" w:cs="Arial" w:hint="cs"/>
                <w:sz w:val="18"/>
                <w:szCs w:val="18"/>
                <w:rtl/>
              </w:rPr>
              <w:t>4.3</w:t>
            </w:r>
          </w:p>
        </w:tc>
        <w:tc>
          <w:tcPr>
            <w:tcW w:w="1404" w:type="pct"/>
            <w:tcBorders>
              <w:top w:val="nil"/>
              <w:left w:val="nil"/>
              <w:bottom w:val="nil"/>
              <w:right w:val="single" w:sz="4" w:space="0" w:color="auto"/>
            </w:tcBorders>
            <w:vAlign w:val="center"/>
          </w:tcPr>
          <w:p w:rsidR="005A2224" w:rsidRPr="00720F8C" w:rsidRDefault="00720F8C" w:rsidP="00720F8C">
            <w:pPr>
              <w:jc w:val="center"/>
              <w:rPr>
                <w:rFonts w:ascii="Arial" w:hAnsi="Arial" w:cs="Arial"/>
                <w:sz w:val="18"/>
                <w:szCs w:val="18"/>
              </w:rPr>
            </w:pPr>
            <w:r w:rsidRPr="00720F8C">
              <w:rPr>
                <w:rFonts w:ascii="Arial" w:hAnsi="Arial" w:cs="Arial" w:hint="cs"/>
                <w:sz w:val="18"/>
                <w:szCs w:val="18"/>
                <w:rtl/>
              </w:rPr>
              <w:t>97.2</w:t>
            </w:r>
          </w:p>
        </w:tc>
      </w:tr>
      <w:tr w:rsidR="00671E1A" w:rsidTr="00671E1A">
        <w:tc>
          <w:tcPr>
            <w:tcW w:w="2133" w:type="pct"/>
            <w:tcBorders>
              <w:top w:val="nil"/>
              <w:left w:val="single" w:sz="4" w:space="0" w:color="auto"/>
              <w:bottom w:val="nil"/>
              <w:right w:val="single" w:sz="4" w:space="0" w:color="auto"/>
            </w:tcBorders>
          </w:tcPr>
          <w:p w:rsidR="00671E1A" w:rsidRDefault="00671E1A" w:rsidP="005A2224">
            <w:pPr>
              <w:bidi w:val="0"/>
              <w:ind w:firstLineChars="100" w:firstLine="181"/>
              <w:rPr>
                <w:rFonts w:ascii="Arial" w:hAnsi="Arial" w:cs="Arial"/>
                <w:b/>
                <w:bCs/>
                <w:color w:val="000000"/>
                <w:sz w:val="18"/>
                <w:szCs w:val="18"/>
              </w:rPr>
            </w:pPr>
            <w:r>
              <w:rPr>
                <w:rFonts w:ascii="Arial" w:hAnsi="Arial" w:cs="Arial"/>
                <w:b/>
                <w:bCs/>
                <w:color w:val="000000"/>
                <w:sz w:val="18"/>
                <w:szCs w:val="18"/>
              </w:rPr>
              <w:t>Sex</w:t>
            </w:r>
          </w:p>
        </w:tc>
        <w:tc>
          <w:tcPr>
            <w:tcW w:w="1463" w:type="pct"/>
            <w:tcBorders>
              <w:top w:val="nil"/>
              <w:left w:val="single" w:sz="4" w:space="0" w:color="auto"/>
              <w:bottom w:val="nil"/>
              <w:right w:val="nil"/>
            </w:tcBorders>
            <w:vAlign w:val="center"/>
          </w:tcPr>
          <w:p w:rsidR="00671E1A" w:rsidRDefault="00671E1A">
            <w:pPr>
              <w:ind w:left="180"/>
              <w:jc w:val="center"/>
              <w:rPr>
                <w:rFonts w:ascii="Arial" w:hAnsi="Arial" w:cs="Arial"/>
                <w:color w:val="000000"/>
                <w:sz w:val="18"/>
                <w:szCs w:val="18"/>
              </w:rPr>
            </w:pPr>
          </w:p>
        </w:tc>
        <w:tc>
          <w:tcPr>
            <w:tcW w:w="1404" w:type="pct"/>
            <w:tcBorders>
              <w:top w:val="nil"/>
              <w:left w:val="nil"/>
              <w:bottom w:val="nil"/>
              <w:right w:val="single" w:sz="4" w:space="0" w:color="auto"/>
            </w:tcBorders>
            <w:vAlign w:val="center"/>
          </w:tcPr>
          <w:p w:rsidR="00671E1A" w:rsidRDefault="00671E1A">
            <w:pPr>
              <w:ind w:left="180"/>
              <w:jc w:val="center"/>
              <w:rPr>
                <w:rFonts w:ascii="Arial" w:hAnsi="Arial" w:cs="Arial"/>
                <w:color w:val="000000"/>
                <w:sz w:val="18"/>
                <w:szCs w:val="18"/>
              </w:rPr>
            </w:pPr>
          </w:p>
        </w:tc>
      </w:tr>
      <w:tr w:rsidR="00671E1A" w:rsidTr="00671E1A">
        <w:tc>
          <w:tcPr>
            <w:tcW w:w="2133" w:type="pct"/>
            <w:tcBorders>
              <w:top w:val="nil"/>
              <w:left w:val="single" w:sz="4" w:space="0" w:color="auto"/>
              <w:bottom w:val="nil"/>
              <w:right w:val="single" w:sz="4" w:space="0" w:color="auto"/>
            </w:tcBorders>
          </w:tcPr>
          <w:p w:rsidR="00671E1A" w:rsidRPr="005A2224" w:rsidRDefault="00671E1A" w:rsidP="005A2224">
            <w:pPr>
              <w:bidi w:val="0"/>
              <w:ind w:firstLineChars="100" w:firstLine="180"/>
              <w:rPr>
                <w:rFonts w:ascii="Arial" w:hAnsi="Arial" w:cs="Arial"/>
                <w:color w:val="000000"/>
                <w:sz w:val="18"/>
                <w:szCs w:val="18"/>
              </w:rPr>
            </w:pPr>
            <w:r w:rsidRPr="005A2224">
              <w:rPr>
                <w:rFonts w:ascii="Arial" w:hAnsi="Arial" w:cs="Arial"/>
                <w:color w:val="000000"/>
                <w:sz w:val="18"/>
                <w:szCs w:val="18"/>
              </w:rPr>
              <w:t>Males</w:t>
            </w:r>
          </w:p>
        </w:tc>
        <w:tc>
          <w:tcPr>
            <w:tcW w:w="1463" w:type="pct"/>
            <w:tcBorders>
              <w:top w:val="nil"/>
              <w:left w:val="single" w:sz="4" w:space="0" w:color="auto"/>
              <w:bottom w:val="nil"/>
              <w:right w:val="nil"/>
            </w:tcBorders>
            <w:vAlign w:val="center"/>
          </w:tcPr>
          <w:p w:rsidR="00671E1A" w:rsidRDefault="005A2224">
            <w:pPr>
              <w:jc w:val="center"/>
              <w:rPr>
                <w:rFonts w:ascii="Arial" w:hAnsi="Arial" w:cs="Arial"/>
                <w:sz w:val="18"/>
                <w:szCs w:val="18"/>
              </w:rPr>
            </w:pPr>
            <w:r>
              <w:rPr>
                <w:rFonts w:ascii="Arial" w:hAnsi="Arial" w:cs="Arial" w:hint="cs"/>
                <w:sz w:val="18"/>
                <w:szCs w:val="18"/>
                <w:rtl/>
              </w:rPr>
              <w:t>7.5</w:t>
            </w:r>
          </w:p>
        </w:tc>
        <w:tc>
          <w:tcPr>
            <w:tcW w:w="1404" w:type="pct"/>
            <w:tcBorders>
              <w:top w:val="nil"/>
              <w:left w:val="nil"/>
              <w:bottom w:val="nil"/>
              <w:right w:val="single" w:sz="4" w:space="0" w:color="auto"/>
            </w:tcBorders>
            <w:vAlign w:val="center"/>
          </w:tcPr>
          <w:p w:rsidR="00671E1A" w:rsidRDefault="00720F8C">
            <w:pPr>
              <w:jc w:val="center"/>
              <w:rPr>
                <w:rFonts w:ascii="Arial" w:hAnsi="Arial" w:cs="Arial"/>
                <w:sz w:val="18"/>
                <w:szCs w:val="18"/>
              </w:rPr>
            </w:pPr>
            <w:r>
              <w:rPr>
                <w:rFonts w:ascii="Arial" w:hAnsi="Arial" w:cs="Arial" w:hint="cs"/>
                <w:sz w:val="18"/>
                <w:szCs w:val="18"/>
                <w:rtl/>
              </w:rPr>
              <w:t>96.1</w:t>
            </w:r>
          </w:p>
        </w:tc>
      </w:tr>
      <w:tr w:rsidR="00671E1A" w:rsidTr="00671E1A">
        <w:tc>
          <w:tcPr>
            <w:tcW w:w="2133" w:type="pct"/>
            <w:tcBorders>
              <w:top w:val="nil"/>
              <w:left w:val="single" w:sz="4" w:space="0" w:color="auto"/>
              <w:bottom w:val="single" w:sz="4" w:space="0" w:color="auto"/>
              <w:right w:val="single" w:sz="4" w:space="0" w:color="auto"/>
            </w:tcBorders>
          </w:tcPr>
          <w:p w:rsidR="00671E1A" w:rsidRPr="005A2224" w:rsidRDefault="00671E1A" w:rsidP="005A2224">
            <w:pPr>
              <w:bidi w:val="0"/>
              <w:ind w:firstLineChars="100" w:firstLine="180"/>
              <w:rPr>
                <w:rFonts w:ascii="Arial" w:hAnsi="Arial" w:cs="Arial"/>
                <w:color w:val="000000"/>
                <w:sz w:val="18"/>
                <w:szCs w:val="18"/>
              </w:rPr>
            </w:pPr>
            <w:r w:rsidRPr="005A2224">
              <w:rPr>
                <w:rFonts w:ascii="Arial" w:hAnsi="Arial" w:cs="Arial"/>
                <w:color w:val="000000"/>
                <w:sz w:val="18"/>
                <w:szCs w:val="18"/>
              </w:rPr>
              <w:t>Females</w:t>
            </w:r>
          </w:p>
        </w:tc>
        <w:tc>
          <w:tcPr>
            <w:tcW w:w="1463" w:type="pct"/>
            <w:tcBorders>
              <w:top w:val="nil"/>
              <w:left w:val="single" w:sz="4" w:space="0" w:color="auto"/>
              <w:bottom w:val="single" w:sz="4" w:space="0" w:color="auto"/>
              <w:right w:val="nil"/>
            </w:tcBorders>
            <w:vAlign w:val="center"/>
          </w:tcPr>
          <w:p w:rsidR="00671E1A" w:rsidRDefault="005A2224">
            <w:pPr>
              <w:jc w:val="center"/>
              <w:rPr>
                <w:rFonts w:ascii="Arial" w:hAnsi="Arial" w:cs="Arial"/>
                <w:sz w:val="18"/>
                <w:szCs w:val="18"/>
              </w:rPr>
            </w:pPr>
            <w:r>
              <w:rPr>
                <w:rFonts w:ascii="Arial" w:hAnsi="Arial" w:cs="Arial" w:hint="cs"/>
                <w:sz w:val="18"/>
                <w:szCs w:val="18"/>
                <w:rtl/>
              </w:rPr>
              <w:t>4.1</w:t>
            </w:r>
          </w:p>
        </w:tc>
        <w:tc>
          <w:tcPr>
            <w:tcW w:w="1404" w:type="pct"/>
            <w:tcBorders>
              <w:top w:val="nil"/>
              <w:left w:val="nil"/>
              <w:bottom w:val="single" w:sz="4" w:space="0" w:color="auto"/>
              <w:right w:val="single" w:sz="4" w:space="0" w:color="auto"/>
            </w:tcBorders>
            <w:vAlign w:val="center"/>
          </w:tcPr>
          <w:p w:rsidR="00671E1A" w:rsidRDefault="00720F8C">
            <w:pPr>
              <w:jc w:val="center"/>
              <w:rPr>
                <w:rFonts w:ascii="Arial" w:hAnsi="Arial" w:cs="Arial"/>
                <w:sz w:val="18"/>
                <w:szCs w:val="18"/>
                <w:rtl/>
              </w:rPr>
            </w:pPr>
            <w:r>
              <w:rPr>
                <w:rFonts w:ascii="Arial" w:hAnsi="Arial" w:cs="Arial" w:hint="cs"/>
                <w:sz w:val="18"/>
                <w:szCs w:val="18"/>
                <w:rtl/>
              </w:rPr>
              <w:t>96.4</w:t>
            </w:r>
          </w:p>
        </w:tc>
      </w:tr>
    </w:tbl>
    <w:p w:rsidR="00720F8C" w:rsidRDefault="00720F8C" w:rsidP="00720F8C">
      <w:pPr>
        <w:bidi w:val="0"/>
        <w:jc w:val="both"/>
        <w:rPr>
          <w:b/>
          <w:bCs/>
        </w:rPr>
      </w:pPr>
      <w:r>
        <w:rPr>
          <w:b/>
          <w:bCs/>
          <w:sz w:val="18"/>
          <w:szCs w:val="18"/>
        </w:rPr>
        <w:t xml:space="preserve">Source: </w:t>
      </w:r>
      <w:r w:rsidRPr="008A2CCC">
        <w:rPr>
          <w:b/>
          <w:bCs/>
          <w:sz w:val="18"/>
          <w:szCs w:val="18"/>
        </w:rPr>
        <w:t>Palestinian Central Bureau of Statistics, 2011</w:t>
      </w:r>
      <w:r w:rsidRPr="008A2CCC">
        <w:rPr>
          <w:sz w:val="18"/>
          <w:szCs w:val="18"/>
        </w:rPr>
        <w:t>.  Palestinian Family Survey 2010</w:t>
      </w:r>
      <w:r>
        <w:rPr>
          <w:b/>
          <w:bCs/>
          <w:sz w:val="18"/>
          <w:szCs w:val="18"/>
        </w:rPr>
        <w:t>,</w:t>
      </w:r>
      <w:r w:rsidRPr="008A2CCC">
        <w:rPr>
          <w:b/>
          <w:bCs/>
          <w:sz w:val="18"/>
          <w:szCs w:val="18"/>
        </w:rPr>
        <w:t xml:space="preserve">  </w:t>
      </w:r>
      <w:r w:rsidRPr="008A2CCC">
        <w:rPr>
          <w:i/>
          <w:iCs/>
          <w:sz w:val="18"/>
          <w:szCs w:val="18"/>
        </w:rPr>
        <w:t xml:space="preserve">Main Report.   </w:t>
      </w:r>
      <w:r w:rsidRPr="008A2CCC">
        <w:rPr>
          <w:b/>
          <w:bCs/>
          <w:sz w:val="18"/>
          <w:szCs w:val="18"/>
        </w:rPr>
        <w:t>Ramallah</w:t>
      </w:r>
      <w:r w:rsidRPr="008A2CCC">
        <w:rPr>
          <w:rFonts w:hint="cs"/>
          <w:b/>
          <w:bCs/>
          <w:sz w:val="18"/>
          <w:szCs w:val="18"/>
          <w:rtl/>
          <w:lang w:val="en-AU"/>
        </w:rPr>
        <w:t xml:space="preserve">- </w:t>
      </w:r>
      <w:r>
        <w:rPr>
          <w:b/>
          <w:bCs/>
          <w:sz w:val="18"/>
          <w:szCs w:val="18"/>
        </w:rPr>
        <w:t xml:space="preserve">    </w:t>
      </w:r>
      <w:r w:rsidRPr="008A2CCC">
        <w:rPr>
          <w:b/>
          <w:bCs/>
          <w:sz w:val="18"/>
          <w:szCs w:val="18"/>
        </w:rPr>
        <w:t>Palestine</w:t>
      </w:r>
    </w:p>
    <w:p w:rsidR="00E436EF" w:rsidRDefault="00E436EF">
      <w:pPr>
        <w:bidi w:val="0"/>
        <w:jc w:val="lowKashida"/>
      </w:pPr>
    </w:p>
    <w:p w:rsidR="00E436EF" w:rsidRDefault="00E436EF">
      <w:pPr>
        <w:bidi w:val="0"/>
        <w:jc w:val="lowKashida"/>
      </w:pPr>
    </w:p>
    <w:p w:rsidR="00E436EF" w:rsidRDefault="006207DA">
      <w:pPr>
        <w:bidi w:val="0"/>
        <w:jc w:val="both"/>
        <w:rPr>
          <w:b/>
          <w:bCs/>
        </w:rPr>
      </w:pPr>
      <w:r>
        <w:rPr>
          <w:b/>
          <w:bCs/>
        </w:rPr>
        <w:t>Children Who are Unpaid Family Workers</w:t>
      </w:r>
    </w:p>
    <w:p w:rsidR="00E436EF" w:rsidRDefault="006207DA">
      <w:pPr>
        <w:bidi w:val="0"/>
        <w:jc w:val="both"/>
      </w:pPr>
      <w:r>
        <w:t xml:space="preserve">Working in agriculture is the most familiar job for such children. They participate in carrying water, grazing animals, picking crops, and eventually even more tiring jobs. Such jobs may be useful if confined to that work or income-generating activities. Such jobs create self- reliance and importance. But children’s participation in family work is of no value. It takes their time </w:t>
      </w:r>
      <w:r>
        <w:lastRenderedPageBreak/>
        <w:t xml:space="preserve">away from their studying and halts the growth of their delicate bodies and deprives them from enjoying their rights and chance for growth. </w:t>
      </w:r>
    </w:p>
    <w:p w:rsidR="00E436EF" w:rsidRDefault="00E436EF">
      <w:pPr>
        <w:bidi w:val="0"/>
        <w:jc w:val="both"/>
        <w:rPr>
          <w:sz w:val="16"/>
          <w:szCs w:val="16"/>
        </w:rPr>
      </w:pPr>
    </w:p>
    <w:p w:rsidR="005E6416" w:rsidRDefault="006D7640" w:rsidP="005E6416">
      <w:pPr>
        <w:bidi w:val="0"/>
        <w:jc w:val="both"/>
        <w:rPr>
          <w:rFonts w:cs="Simplified Arabic"/>
        </w:rPr>
      </w:pPr>
      <w:r w:rsidRPr="00D44F45">
        <w:rPr>
          <w:rFonts w:cs="Simplified Arabic"/>
        </w:rPr>
        <w:t xml:space="preserve">The results </w:t>
      </w:r>
      <w:r>
        <w:rPr>
          <w:rFonts w:cs="Simplified Arabic"/>
        </w:rPr>
        <w:t xml:space="preserve">of </w:t>
      </w:r>
      <w:r w:rsidRPr="00D44F45">
        <w:rPr>
          <w:rFonts w:cs="Simplified Arabic"/>
        </w:rPr>
        <w:t xml:space="preserve">Palestinian </w:t>
      </w:r>
      <w:r>
        <w:rPr>
          <w:rFonts w:cs="Simplified Arabic"/>
        </w:rPr>
        <w:t xml:space="preserve">household survey </w:t>
      </w:r>
      <w:r w:rsidRPr="00D44F45">
        <w:rPr>
          <w:rFonts w:cs="Simplified Arabic"/>
        </w:rPr>
        <w:t>2010 show</w:t>
      </w:r>
      <w:r>
        <w:rPr>
          <w:rFonts w:cs="Simplified Arabic"/>
        </w:rPr>
        <w:t xml:space="preserve">ed that </w:t>
      </w:r>
      <w:r w:rsidRPr="00D44F45">
        <w:rPr>
          <w:rFonts w:cs="Simplified Arabic"/>
        </w:rPr>
        <w:t xml:space="preserve">4.1% of children aged 5-11 years </w:t>
      </w:r>
      <w:r>
        <w:rPr>
          <w:rFonts w:cs="Simplified Arabic"/>
        </w:rPr>
        <w:t>were working for their families;</w:t>
      </w:r>
      <w:r w:rsidRPr="00D44F45">
        <w:rPr>
          <w:rFonts w:cs="Simplified Arabic"/>
        </w:rPr>
        <w:t xml:space="preserve"> 6.0</w:t>
      </w:r>
      <w:r>
        <w:rPr>
          <w:rFonts w:cs="Simplified Arabic"/>
        </w:rPr>
        <w:t xml:space="preserve">% in West Bank and 1.3% in </w:t>
      </w:r>
      <w:r w:rsidRPr="00D44F45">
        <w:rPr>
          <w:rFonts w:cs="Simplified Arabic"/>
        </w:rPr>
        <w:t>Gaza Strip</w:t>
      </w:r>
      <w:r>
        <w:rPr>
          <w:rFonts w:cs="Simplified Arabic"/>
        </w:rPr>
        <w:t>,</w:t>
      </w:r>
      <w:r w:rsidRPr="00D44F45">
        <w:rPr>
          <w:rFonts w:cs="Simplified Arabic"/>
        </w:rPr>
        <w:t xml:space="preserve"> but at the </w:t>
      </w:r>
    </w:p>
    <w:p w:rsidR="005E6416" w:rsidRPr="005E6416" w:rsidRDefault="005E6416" w:rsidP="005E6416">
      <w:pPr>
        <w:bidi w:val="0"/>
        <w:jc w:val="both"/>
        <w:rPr>
          <w:rFonts w:cs="Simplified Arabic"/>
          <w:sz w:val="2"/>
          <w:szCs w:val="2"/>
        </w:rPr>
      </w:pPr>
    </w:p>
    <w:p w:rsidR="005E6416" w:rsidRDefault="006D7640" w:rsidP="00476CB0">
      <w:pPr>
        <w:bidi w:val="0"/>
        <w:rPr>
          <w:rFonts w:cs="Simplified Arabic"/>
        </w:rPr>
      </w:pPr>
      <w:r>
        <w:rPr>
          <w:rFonts w:cs="Simplified Arabic"/>
        </w:rPr>
        <w:t xml:space="preserve"> gender level,  it was  </w:t>
      </w:r>
      <w:r w:rsidRPr="00D44F45">
        <w:rPr>
          <w:rFonts w:cs="Simplified Arabic"/>
        </w:rPr>
        <w:t>5.6% for</w:t>
      </w:r>
      <w:r w:rsidR="00476CB0" w:rsidRPr="00476CB0">
        <w:rPr>
          <w:rFonts w:cs="Simplified Arabic"/>
        </w:rPr>
        <w:t xml:space="preserve"> </w:t>
      </w:r>
      <w:r w:rsidR="00476CB0" w:rsidRPr="00D44F45">
        <w:rPr>
          <w:rFonts w:cs="Simplified Arabic"/>
        </w:rPr>
        <w:t>males</w:t>
      </w:r>
      <w:r w:rsidRPr="00D44F45">
        <w:rPr>
          <w:rFonts w:cs="Simplified Arabic"/>
        </w:rPr>
        <w:t xml:space="preserve"> and 2.6% for</w:t>
      </w:r>
      <w:r w:rsidR="00476CB0">
        <w:rPr>
          <w:rFonts w:cs="Simplified Arabic"/>
        </w:rPr>
        <w:t xml:space="preserve"> </w:t>
      </w:r>
      <w:r w:rsidR="00476CB0" w:rsidRPr="00D44F45">
        <w:rPr>
          <w:rFonts w:cs="Simplified Arabic"/>
        </w:rPr>
        <w:t>females</w:t>
      </w:r>
      <w:r w:rsidRPr="00D44F45">
        <w:rPr>
          <w:rFonts w:cs="Simplified Arabic"/>
        </w:rPr>
        <w:t>.</w:t>
      </w:r>
      <w:r w:rsidRPr="00D44F45">
        <w:rPr>
          <w:rFonts w:cs="Simplified Arabic"/>
        </w:rPr>
        <w:br/>
      </w:r>
    </w:p>
    <w:p w:rsidR="006D7640" w:rsidRPr="00D44F45" w:rsidRDefault="006D7640" w:rsidP="00EB30B1">
      <w:pPr>
        <w:bidi w:val="0"/>
        <w:jc w:val="both"/>
        <w:rPr>
          <w:rFonts w:cs="Simplified Arabic"/>
          <w:b/>
          <w:bCs/>
          <w:sz w:val="28"/>
          <w:szCs w:val="28"/>
        </w:rPr>
      </w:pPr>
      <w:r w:rsidRPr="00D44F45">
        <w:rPr>
          <w:rFonts w:cs="Simplified Arabic"/>
        </w:rPr>
        <w:t xml:space="preserve">And 2.9% of children in the age group </w:t>
      </w:r>
      <w:r>
        <w:rPr>
          <w:rFonts w:cs="Simplified Arabic"/>
        </w:rPr>
        <w:t xml:space="preserve"> of 5-11 years</w:t>
      </w:r>
      <w:r w:rsidRPr="00D44F45">
        <w:rPr>
          <w:rFonts w:cs="Simplified Arabic"/>
        </w:rPr>
        <w:t xml:space="preserve"> work</w:t>
      </w:r>
      <w:r>
        <w:rPr>
          <w:rFonts w:cs="Simplified Arabic"/>
        </w:rPr>
        <w:t>ed</w:t>
      </w:r>
      <w:r w:rsidRPr="00D44F45">
        <w:rPr>
          <w:rFonts w:cs="Simplified Arabic"/>
        </w:rPr>
        <w:t xml:space="preserve"> outside the</w:t>
      </w:r>
      <w:r>
        <w:rPr>
          <w:rFonts w:cs="Simplified Arabic"/>
        </w:rPr>
        <w:t xml:space="preserve">ir household whereas </w:t>
      </w:r>
      <w:r w:rsidRPr="00D44F45">
        <w:rPr>
          <w:rFonts w:cs="Simplified Arabic"/>
        </w:rPr>
        <w:t xml:space="preserve">2.1% </w:t>
      </w:r>
      <w:r>
        <w:rPr>
          <w:rFonts w:cs="Simplified Arabic"/>
        </w:rPr>
        <w:t xml:space="preserve"> of them  worked against a pay </w:t>
      </w:r>
      <w:r w:rsidRPr="00D44F45">
        <w:rPr>
          <w:rFonts w:cs="Simplified Arabic"/>
        </w:rPr>
        <w:t xml:space="preserve">and 0.8% without </w:t>
      </w:r>
      <w:r>
        <w:rPr>
          <w:rFonts w:cs="Simplified Arabic"/>
        </w:rPr>
        <w:t xml:space="preserve">a </w:t>
      </w:r>
      <w:r w:rsidRPr="00D44F45">
        <w:rPr>
          <w:rFonts w:cs="Simplified Arabic"/>
        </w:rPr>
        <w:t xml:space="preserve">pay while </w:t>
      </w:r>
      <w:r>
        <w:rPr>
          <w:rFonts w:cs="Simplified Arabic"/>
        </w:rPr>
        <w:t xml:space="preserve">the percentage of children who worked </w:t>
      </w:r>
      <w:r w:rsidRPr="00D44F45">
        <w:rPr>
          <w:rFonts w:cs="Simplified Arabic"/>
        </w:rPr>
        <w:t>outside the</w:t>
      </w:r>
      <w:r>
        <w:rPr>
          <w:rFonts w:cs="Simplified Arabic"/>
        </w:rPr>
        <w:t>ir</w:t>
      </w:r>
      <w:r w:rsidRPr="00D44F45">
        <w:rPr>
          <w:rFonts w:cs="Simplified Arabic"/>
        </w:rPr>
        <w:t xml:space="preserve"> household, whether paid or unpaid </w:t>
      </w:r>
      <w:r>
        <w:rPr>
          <w:rFonts w:cs="Simplified Arabic"/>
        </w:rPr>
        <w:t xml:space="preserve">, reached 3.5% in  West Bank and 2.0% in </w:t>
      </w:r>
      <w:r w:rsidRPr="00D44F45">
        <w:rPr>
          <w:rFonts w:cs="Simplified Arabic"/>
        </w:rPr>
        <w:t>Gaza Strip, but at the</w:t>
      </w:r>
      <w:r>
        <w:rPr>
          <w:rFonts w:cs="Simplified Arabic"/>
        </w:rPr>
        <w:t xml:space="preserve"> gender  level , it reached </w:t>
      </w:r>
      <w:r w:rsidRPr="00D44F45">
        <w:rPr>
          <w:rFonts w:cs="Simplified Arabic"/>
        </w:rPr>
        <w:t xml:space="preserve"> 3.9% for males and 1.9% for females.</w:t>
      </w:r>
    </w:p>
    <w:p w:rsidR="00E436EF" w:rsidRPr="005E6416" w:rsidRDefault="00E436EF">
      <w:pPr>
        <w:bidi w:val="0"/>
        <w:jc w:val="both"/>
        <w:rPr>
          <w:szCs w:val="24"/>
        </w:rPr>
      </w:pPr>
    </w:p>
    <w:p w:rsidR="00E436EF" w:rsidRDefault="006207DA" w:rsidP="007013D9">
      <w:pPr>
        <w:bidi w:val="0"/>
        <w:jc w:val="center"/>
        <w:rPr>
          <w:b/>
          <w:bCs/>
          <w:color w:val="000000"/>
          <w:sz w:val="22"/>
          <w:szCs w:val="22"/>
        </w:rPr>
      </w:pPr>
      <w:r>
        <w:rPr>
          <w:b/>
          <w:bCs/>
          <w:color w:val="000000"/>
          <w:sz w:val="22"/>
          <w:szCs w:val="22"/>
        </w:rPr>
        <w:t>Table (</w:t>
      </w:r>
      <w:r w:rsidR="001F3264">
        <w:rPr>
          <w:b/>
          <w:bCs/>
          <w:color w:val="000000"/>
          <w:sz w:val="22"/>
          <w:szCs w:val="22"/>
        </w:rPr>
        <w:t>5</w:t>
      </w:r>
      <w:r>
        <w:rPr>
          <w:b/>
          <w:bCs/>
          <w:color w:val="000000"/>
          <w:sz w:val="22"/>
          <w:szCs w:val="22"/>
        </w:rPr>
        <w:t xml:space="preserve">-6): </w:t>
      </w:r>
      <w:r w:rsidR="005A7A12" w:rsidRPr="005A7A12">
        <w:rPr>
          <w:b/>
          <w:bCs/>
          <w:color w:val="000000"/>
          <w:sz w:val="22"/>
          <w:szCs w:val="22"/>
        </w:rPr>
        <w:t xml:space="preserve">Percentage of </w:t>
      </w:r>
      <w:r w:rsidR="005A7A12">
        <w:rPr>
          <w:b/>
          <w:bCs/>
          <w:color w:val="000000"/>
          <w:sz w:val="22"/>
          <w:szCs w:val="22"/>
        </w:rPr>
        <w:t>c</w:t>
      </w:r>
      <w:r w:rsidR="005A7A12" w:rsidRPr="005A7A12">
        <w:rPr>
          <w:b/>
          <w:bCs/>
          <w:color w:val="000000"/>
          <w:sz w:val="22"/>
          <w:szCs w:val="22"/>
        </w:rPr>
        <w:t xml:space="preserve">hildren </w:t>
      </w:r>
      <w:r w:rsidR="005A7A12">
        <w:rPr>
          <w:b/>
          <w:bCs/>
          <w:color w:val="000000"/>
          <w:sz w:val="22"/>
          <w:szCs w:val="22"/>
        </w:rPr>
        <w:t>a</w:t>
      </w:r>
      <w:r w:rsidR="005A7A12" w:rsidRPr="005A7A12">
        <w:rPr>
          <w:b/>
          <w:bCs/>
          <w:color w:val="000000"/>
          <w:sz w:val="22"/>
          <w:szCs w:val="22"/>
        </w:rPr>
        <w:t xml:space="preserve">ged </w:t>
      </w:r>
      <w:r w:rsidR="005A7A12">
        <w:rPr>
          <w:b/>
          <w:bCs/>
          <w:color w:val="000000"/>
          <w:sz w:val="22"/>
          <w:szCs w:val="22"/>
        </w:rPr>
        <w:t>5</w:t>
      </w:r>
      <w:r w:rsidR="005A7A12" w:rsidRPr="005A7A12">
        <w:rPr>
          <w:b/>
          <w:bCs/>
          <w:color w:val="000000"/>
          <w:sz w:val="22"/>
          <w:szCs w:val="22"/>
        </w:rPr>
        <w:t>-1</w:t>
      </w:r>
      <w:r w:rsidR="005A7A12">
        <w:rPr>
          <w:b/>
          <w:bCs/>
          <w:color w:val="000000"/>
          <w:sz w:val="22"/>
          <w:szCs w:val="22"/>
        </w:rPr>
        <w:t>1</w:t>
      </w:r>
      <w:r w:rsidR="005A7A12" w:rsidRPr="005A7A12">
        <w:rPr>
          <w:b/>
          <w:bCs/>
          <w:color w:val="000000"/>
          <w:sz w:val="22"/>
          <w:szCs w:val="22"/>
        </w:rPr>
        <w:t xml:space="preserve"> </w:t>
      </w:r>
      <w:r w:rsidR="005A7A12">
        <w:rPr>
          <w:b/>
          <w:bCs/>
          <w:color w:val="000000"/>
          <w:sz w:val="22"/>
          <w:szCs w:val="22"/>
        </w:rPr>
        <w:t>y</w:t>
      </w:r>
      <w:r w:rsidR="005A7A12" w:rsidRPr="005A7A12">
        <w:rPr>
          <w:b/>
          <w:bCs/>
          <w:color w:val="000000"/>
          <w:sz w:val="22"/>
          <w:szCs w:val="22"/>
        </w:rPr>
        <w:t xml:space="preserve">ears </w:t>
      </w:r>
      <w:r w:rsidR="005A7A12">
        <w:rPr>
          <w:b/>
          <w:bCs/>
          <w:color w:val="000000"/>
          <w:sz w:val="22"/>
          <w:szCs w:val="22"/>
        </w:rPr>
        <w:t>w</w:t>
      </w:r>
      <w:r w:rsidR="005A7A12" w:rsidRPr="005A7A12">
        <w:rPr>
          <w:b/>
          <w:bCs/>
          <w:color w:val="000000"/>
          <w:sz w:val="22"/>
          <w:szCs w:val="22"/>
        </w:rPr>
        <w:t xml:space="preserve">ho are </w:t>
      </w:r>
      <w:r w:rsidR="005A7A12">
        <w:rPr>
          <w:b/>
          <w:bCs/>
          <w:color w:val="000000"/>
          <w:sz w:val="22"/>
          <w:szCs w:val="22"/>
        </w:rPr>
        <w:t>i</w:t>
      </w:r>
      <w:r w:rsidR="005A7A12" w:rsidRPr="005A7A12">
        <w:rPr>
          <w:b/>
          <w:bCs/>
          <w:color w:val="000000"/>
          <w:sz w:val="22"/>
          <w:szCs w:val="22"/>
        </w:rPr>
        <w:t xml:space="preserve">nvolved in </w:t>
      </w:r>
      <w:r w:rsidR="005A7A12">
        <w:rPr>
          <w:b/>
          <w:bCs/>
          <w:color w:val="000000"/>
          <w:sz w:val="22"/>
          <w:szCs w:val="22"/>
        </w:rPr>
        <w:t>c</w:t>
      </w:r>
      <w:r w:rsidR="005A7A12" w:rsidRPr="005A7A12">
        <w:rPr>
          <w:b/>
          <w:bCs/>
          <w:color w:val="000000"/>
          <w:sz w:val="22"/>
          <w:szCs w:val="22"/>
        </w:rPr>
        <w:t xml:space="preserve">hild </w:t>
      </w:r>
      <w:r w:rsidR="005A7A12">
        <w:rPr>
          <w:b/>
          <w:bCs/>
          <w:color w:val="000000"/>
          <w:sz w:val="22"/>
          <w:szCs w:val="22"/>
        </w:rPr>
        <w:t>l</w:t>
      </w:r>
      <w:r w:rsidR="005A7A12" w:rsidRPr="005A7A12">
        <w:rPr>
          <w:b/>
          <w:bCs/>
          <w:color w:val="000000"/>
          <w:sz w:val="22"/>
          <w:szCs w:val="22"/>
        </w:rPr>
        <w:t xml:space="preserve">abor by </w:t>
      </w:r>
      <w:r w:rsidR="005A7A12">
        <w:rPr>
          <w:b/>
          <w:bCs/>
          <w:color w:val="000000"/>
          <w:sz w:val="22"/>
          <w:szCs w:val="22"/>
        </w:rPr>
        <w:t>i</w:t>
      </w:r>
      <w:r w:rsidR="005A7A12" w:rsidRPr="005A7A12">
        <w:rPr>
          <w:b/>
          <w:bCs/>
          <w:color w:val="000000"/>
          <w:sz w:val="22"/>
          <w:szCs w:val="22"/>
        </w:rPr>
        <w:t xml:space="preserve">nvolvement </w:t>
      </w:r>
      <w:r w:rsidR="005A7A12">
        <w:rPr>
          <w:b/>
          <w:bCs/>
          <w:color w:val="000000"/>
          <w:sz w:val="22"/>
          <w:szCs w:val="22"/>
        </w:rPr>
        <w:t>i</w:t>
      </w:r>
      <w:r w:rsidR="005A7A12" w:rsidRPr="005A7A12">
        <w:rPr>
          <w:b/>
          <w:bCs/>
          <w:color w:val="000000"/>
          <w:sz w:val="22"/>
          <w:szCs w:val="22"/>
        </w:rPr>
        <w:t xml:space="preserve">n </w:t>
      </w:r>
      <w:r w:rsidR="005A7A12">
        <w:rPr>
          <w:b/>
          <w:bCs/>
          <w:color w:val="000000"/>
          <w:sz w:val="22"/>
          <w:szCs w:val="22"/>
        </w:rPr>
        <w:t>e</w:t>
      </w:r>
      <w:r w:rsidR="005A7A12" w:rsidRPr="005A7A12">
        <w:rPr>
          <w:b/>
          <w:bCs/>
          <w:color w:val="000000"/>
          <w:sz w:val="22"/>
          <w:szCs w:val="22"/>
        </w:rPr>
        <w:t xml:space="preserve">conomic </w:t>
      </w:r>
      <w:r w:rsidR="005A7A12">
        <w:rPr>
          <w:b/>
          <w:bCs/>
          <w:color w:val="000000"/>
          <w:sz w:val="22"/>
          <w:szCs w:val="22"/>
        </w:rPr>
        <w:t>a</w:t>
      </w:r>
      <w:r w:rsidR="005A7A12" w:rsidRPr="005A7A12">
        <w:rPr>
          <w:b/>
          <w:bCs/>
          <w:color w:val="000000"/>
          <w:sz w:val="22"/>
          <w:szCs w:val="22"/>
        </w:rPr>
        <w:t xml:space="preserve">ctivity </w:t>
      </w:r>
      <w:r w:rsidR="005A7A12">
        <w:rPr>
          <w:b/>
          <w:bCs/>
          <w:color w:val="000000"/>
          <w:sz w:val="22"/>
          <w:szCs w:val="22"/>
        </w:rPr>
        <w:t>d</w:t>
      </w:r>
      <w:r w:rsidR="005A7A12" w:rsidRPr="005A7A12">
        <w:rPr>
          <w:b/>
          <w:bCs/>
          <w:color w:val="000000"/>
          <w:sz w:val="22"/>
          <w:szCs w:val="22"/>
        </w:rPr>
        <w:t xml:space="preserve">uring the </w:t>
      </w:r>
      <w:r w:rsidR="005A7A12">
        <w:rPr>
          <w:b/>
          <w:bCs/>
          <w:color w:val="000000"/>
          <w:sz w:val="22"/>
          <w:szCs w:val="22"/>
        </w:rPr>
        <w:t>p</w:t>
      </w:r>
      <w:r w:rsidR="005A7A12" w:rsidRPr="005A7A12">
        <w:rPr>
          <w:b/>
          <w:bCs/>
          <w:color w:val="000000"/>
          <w:sz w:val="22"/>
          <w:szCs w:val="22"/>
        </w:rPr>
        <w:t xml:space="preserve">ast </w:t>
      </w:r>
      <w:r w:rsidR="005A7A12">
        <w:rPr>
          <w:b/>
          <w:bCs/>
          <w:color w:val="000000"/>
          <w:sz w:val="22"/>
          <w:szCs w:val="22"/>
        </w:rPr>
        <w:t>w</w:t>
      </w:r>
      <w:r w:rsidR="005A7A12" w:rsidRPr="005A7A12">
        <w:rPr>
          <w:b/>
          <w:bCs/>
          <w:color w:val="000000"/>
          <w:sz w:val="22"/>
          <w:szCs w:val="22"/>
        </w:rPr>
        <w:t xml:space="preserve">eek, </w:t>
      </w:r>
      <w:r w:rsidR="005A7A12">
        <w:rPr>
          <w:b/>
          <w:bCs/>
          <w:color w:val="000000"/>
          <w:sz w:val="22"/>
          <w:szCs w:val="22"/>
        </w:rPr>
        <w:t>a</w:t>
      </w:r>
      <w:r w:rsidR="005A7A12" w:rsidRPr="005A7A12">
        <w:rPr>
          <w:b/>
          <w:bCs/>
          <w:color w:val="000000"/>
          <w:sz w:val="22"/>
          <w:szCs w:val="22"/>
        </w:rPr>
        <w:t xml:space="preserve">ccording to </w:t>
      </w:r>
      <w:r w:rsidR="005A7A12">
        <w:rPr>
          <w:b/>
          <w:bCs/>
          <w:color w:val="000000"/>
          <w:sz w:val="22"/>
          <w:szCs w:val="22"/>
        </w:rPr>
        <w:t>s</w:t>
      </w:r>
      <w:r w:rsidR="005A7A12" w:rsidRPr="005A7A12">
        <w:rPr>
          <w:b/>
          <w:bCs/>
          <w:color w:val="000000"/>
          <w:sz w:val="22"/>
          <w:szCs w:val="22"/>
        </w:rPr>
        <w:t xml:space="preserve">elected </w:t>
      </w:r>
      <w:r w:rsidR="005A7A12">
        <w:rPr>
          <w:b/>
          <w:bCs/>
          <w:color w:val="000000"/>
          <w:sz w:val="22"/>
          <w:szCs w:val="22"/>
        </w:rPr>
        <w:t>b</w:t>
      </w:r>
      <w:r w:rsidR="005A7A12" w:rsidRPr="005A7A12">
        <w:rPr>
          <w:b/>
          <w:bCs/>
          <w:color w:val="000000"/>
          <w:sz w:val="22"/>
          <w:szCs w:val="22"/>
        </w:rPr>
        <w:t xml:space="preserve">ackground </w:t>
      </w:r>
      <w:r w:rsidR="005A7A12">
        <w:rPr>
          <w:b/>
          <w:bCs/>
          <w:color w:val="000000"/>
          <w:sz w:val="22"/>
          <w:szCs w:val="22"/>
        </w:rPr>
        <w:t>c</w:t>
      </w:r>
      <w:r w:rsidR="005A7A12" w:rsidRPr="005A7A12">
        <w:rPr>
          <w:b/>
          <w:bCs/>
          <w:color w:val="000000"/>
          <w:sz w:val="22"/>
          <w:szCs w:val="22"/>
        </w:rPr>
        <w:t>haracteristics</w:t>
      </w:r>
      <w:r w:rsidR="007013D9">
        <w:rPr>
          <w:b/>
          <w:bCs/>
          <w:color w:val="000000"/>
          <w:sz w:val="22"/>
          <w:szCs w:val="22"/>
        </w:rPr>
        <w:t xml:space="preserve"> in</w:t>
      </w:r>
      <w:r w:rsidR="007013D9" w:rsidRPr="005A7A12">
        <w:rPr>
          <w:b/>
          <w:bCs/>
          <w:color w:val="000000"/>
          <w:sz w:val="22"/>
          <w:szCs w:val="22"/>
        </w:rPr>
        <w:t xml:space="preserve"> </w:t>
      </w:r>
      <w:r w:rsidR="005A7A12" w:rsidRPr="005A7A12">
        <w:rPr>
          <w:b/>
          <w:bCs/>
          <w:color w:val="000000"/>
          <w:sz w:val="22"/>
          <w:szCs w:val="22"/>
        </w:rPr>
        <w:t>2010</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70"/>
        <w:gridCol w:w="2368"/>
        <w:gridCol w:w="1560"/>
        <w:gridCol w:w="1274"/>
      </w:tblGrid>
      <w:tr w:rsidR="005A7A12" w:rsidTr="005A7A12">
        <w:trPr>
          <w:cantSplit/>
          <w:trHeight w:val="413"/>
        </w:trPr>
        <w:tc>
          <w:tcPr>
            <w:tcW w:w="2133" w:type="pct"/>
            <w:vMerge w:val="restart"/>
            <w:tcBorders>
              <w:top w:val="single" w:sz="4" w:space="0" w:color="auto"/>
              <w:left w:val="single" w:sz="4" w:space="0" w:color="auto"/>
              <w:right w:val="single" w:sz="4" w:space="0" w:color="auto"/>
            </w:tcBorders>
            <w:vAlign w:val="center"/>
          </w:tcPr>
          <w:p w:rsidR="005A7A12" w:rsidRDefault="005A7A12" w:rsidP="006674BF">
            <w:pPr>
              <w:bidi w:val="0"/>
              <w:ind w:firstLineChars="100" w:firstLine="181"/>
              <w:jc w:val="center"/>
              <w:rPr>
                <w:rFonts w:ascii="Arial" w:hAnsi="Arial" w:cs="Arial"/>
                <w:b/>
                <w:bCs/>
                <w:color w:val="000000"/>
                <w:sz w:val="18"/>
                <w:szCs w:val="18"/>
              </w:rPr>
            </w:pPr>
            <w:r w:rsidRPr="005A2224">
              <w:rPr>
                <w:rFonts w:ascii="Arial" w:hAnsi="Arial" w:cs="Arial"/>
                <w:b/>
                <w:bCs/>
                <w:color w:val="000000"/>
                <w:sz w:val="18"/>
                <w:szCs w:val="18"/>
              </w:rPr>
              <w:t>Background Characteristics</w:t>
            </w:r>
          </w:p>
        </w:tc>
        <w:tc>
          <w:tcPr>
            <w:tcW w:w="1305" w:type="pct"/>
            <w:vMerge w:val="restart"/>
            <w:tcBorders>
              <w:top w:val="single" w:sz="4" w:space="0" w:color="auto"/>
              <w:left w:val="single" w:sz="4" w:space="0" w:color="auto"/>
              <w:right w:val="single" w:sz="4" w:space="0" w:color="auto"/>
            </w:tcBorders>
            <w:vAlign w:val="center"/>
          </w:tcPr>
          <w:p w:rsidR="005A7A12" w:rsidRDefault="005A7A12" w:rsidP="005A7A12">
            <w:pPr>
              <w:bidi w:val="0"/>
              <w:ind w:firstLineChars="100" w:firstLine="181"/>
              <w:jc w:val="center"/>
              <w:rPr>
                <w:rFonts w:ascii="Arial" w:hAnsi="Arial" w:cs="Arial"/>
                <w:b/>
                <w:bCs/>
                <w:color w:val="000000"/>
                <w:sz w:val="18"/>
                <w:szCs w:val="18"/>
              </w:rPr>
            </w:pPr>
            <w:r w:rsidRPr="005A7A12">
              <w:rPr>
                <w:rFonts w:ascii="Arial" w:hAnsi="Arial" w:cs="Arial"/>
                <w:b/>
                <w:bCs/>
                <w:color w:val="000000"/>
                <w:sz w:val="18"/>
                <w:szCs w:val="18"/>
              </w:rPr>
              <w:t>Working for family business</w:t>
            </w:r>
          </w:p>
        </w:tc>
        <w:tc>
          <w:tcPr>
            <w:tcW w:w="1563" w:type="pct"/>
            <w:gridSpan w:val="2"/>
            <w:tcBorders>
              <w:top w:val="single" w:sz="4" w:space="0" w:color="auto"/>
              <w:left w:val="single" w:sz="4" w:space="0" w:color="auto"/>
              <w:right w:val="single" w:sz="4" w:space="0" w:color="auto"/>
            </w:tcBorders>
            <w:vAlign w:val="center"/>
          </w:tcPr>
          <w:p w:rsidR="005A7A12" w:rsidRDefault="005A7A12" w:rsidP="005A7A12">
            <w:pPr>
              <w:bidi w:val="0"/>
              <w:ind w:firstLineChars="100" w:firstLine="181"/>
              <w:jc w:val="center"/>
              <w:rPr>
                <w:rFonts w:ascii="Arial" w:hAnsi="Arial" w:cs="Arial"/>
                <w:b/>
                <w:bCs/>
                <w:color w:val="000000"/>
                <w:sz w:val="18"/>
                <w:szCs w:val="18"/>
              </w:rPr>
            </w:pPr>
            <w:r w:rsidRPr="005A7A12">
              <w:rPr>
                <w:rFonts w:ascii="Arial" w:hAnsi="Arial" w:cs="Arial"/>
                <w:b/>
                <w:bCs/>
                <w:color w:val="000000"/>
                <w:sz w:val="18"/>
                <w:szCs w:val="18"/>
              </w:rPr>
              <w:t>Working outside household</w:t>
            </w:r>
          </w:p>
        </w:tc>
      </w:tr>
      <w:tr w:rsidR="005A7A12" w:rsidTr="005A7A12">
        <w:trPr>
          <w:cantSplit/>
          <w:trHeight w:val="412"/>
        </w:trPr>
        <w:tc>
          <w:tcPr>
            <w:tcW w:w="2133" w:type="pct"/>
            <w:vMerge/>
            <w:tcBorders>
              <w:left w:val="single" w:sz="4" w:space="0" w:color="auto"/>
              <w:right w:val="single" w:sz="4" w:space="0" w:color="auto"/>
            </w:tcBorders>
            <w:vAlign w:val="center"/>
          </w:tcPr>
          <w:p w:rsidR="005A7A12" w:rsidRPr="005A2224" w:rsidRDefault="005A7A12" w:rsidP="006674BF">
            <w:pPr>
              <w:bidi w:val="0"/>
              <w:ind w:firstLineChars="100" w:firstLine="181"/>
              <w:jc w:val="center"/>
              <w:rPr>
                <w:rFonts w:ascii="Arial" w:hAnsi="Arial" w:cs="Arial"/>
                <w:b/>
                <w:bCs/>
                <w:color w:val="000000"/>
                <w:sz w:val="18"/>
                <w:szCs w:val="18"/>
              </w:rPr>
            </w:pPr>
          </w:p>
        </w:tc>
        <w:tc>
          <w:tcPr>
            <w:tcW w:w="1305" w:type="pct"/>
            <w:vMerge/>
            <w:tcBorders>
              <w:left w:val="single" w:sz="4" w:space="0" w:color="auto"/>
              <w:right w:val="single" w:sz="4" w:space="0" w:color="auto"/>
            </w:tcBorders>
            <w:vAlign w:val="center"/>
          </w:tcPr>
          <w:p w:rsidR="005A7A12" w:rsidRPr="005A2224" w:rsidRDefault="005A7A12" w:rsidP="006674BF">
            <w:pPr>
              <w:bidi w:val="0"/>
              <w:ind w:firstLineChars="100" w:firstLine="181"/>
              <w:jc w:val="center"/>
              <w:rPr>
                <w:rFonts w:ascii="Arial" w:hAnsi="Arial" w:cs="Arial"/>
                <w:b/>
                <w:bCs/>
                <w:color w:val="000000"/>
                <w:sz w:val="18"/>
                <w:szCs w:val="18"/>
              </w:rPr>
            </w:pPr>
          </w:p>
        </w:tc>
        <w:tc>
          <w:tcPr>
            <w:tcW w:w="860" w:type="pct"/>
            <w:tcBorders>
              <w:top w:val="single" w:sz="4" w:space="0" w:color="auto"/>
              <w:left w:val="single" w:sz="4" w:space="0" w:color="auto"/>
              <w:bottom w:val="single" w:sz="4" w:space="0" w:color="auto"/>
              <w:right w:val="single" w:sz="4" w:space="0" w:color="auto"/>
            </w:tcBorders>
            <w:vAlign w:val="center"/>
          </w:tcPr>
          <w:p w:rsidR="005A7A12" w:rsidRPr="00671E1A" w:rsidRDefault="005A7A12" w:rsidP="005A7A12">
            <w:pPr>
              <w:bidi w:val="0"/>
              <w:ind w:firstLineChars="100" w:firstLine="181"/>
              <w:jc w:val="center"/>
              <w:rPr>
                <w:rFonts w:ascii="Arial" w:hAnsi="Arial" w:cs="Arial"/>
                <w:b/>
                <w:bCs/>
                <w:color w:val="000000"/>
                <w:sz w:val="18"/>
                <w:szCs w:val="18"/>
              </w:rPr>
            </w:pPr>
            <w:r w:rsidRPr="005A7A12">
              <w:rPr>
                <w:rFonts w:ascii="Arial" w:hAnsi="Arial" w:cs="Arial"/>
                <w:b/>
                <w:bCs/>
                <w:color w:val="000000"/>
                <w:sz w:val="18"/>
                <w:szCs w:val="18"/>
              </w:rPr>
              <w:t>Unpaid work</w:t>
            </w:r>
          </w:p>
        </w:tc>
        <w:tc>
          <w:tcPr>
            <w:tcW w:w="702" w:type="pct"/>
            <w:tcBorders>
              <w:top w:val="single" w:sz="4" w:space="0" w:color="auto"/>
              <w:left w:val="single" w:sz="4" w:space="0" w:color="auto"/>
              <w:bottom w:val="single" w:sz="4" w:space="0" w:color="auto"/>
              <w:right w:val="single" w:sz="4" w:space="0" w:color="auto"/>
            </w:tcBorders>
            <w:vAlign w:val="center"/>
          </w:tcPr>
          <w:p w:rsidR="005A7A12" w:rsidRPr="00671E1A" w:rsidRDefault="005A7A12" w:rsidP="005A7A12">
            <w:pPr>
              <w:bidi w:val="0"/>
              <w:ind w:firstLineChars="100" w:firstLine="181"/>
              <w:jc w:val="center"/>
              <w:rPr>
                <w:rFonts w:ascii="Arial" w:hAnsi="Arial" w:cs="Arial"/>
                <w:b/>
                <w:bCs/>
                <w:color w:val="000000"/>
                <w:sz w:val="18"/>
                <w:szCs w:val="18"/>
              </w:rPr>
            </w:pPr>
            <w:r w:rsidRPr="005A7A12">
              <w:rPr>
                <w:rFonts w:ascii="Arial" w:hAnsi="Arial" w:cs="Arial"/>
                <w:b/>
                <w:bCs/>
                <w:color w:val="000000"/>
                <w:sz w:val="18"/>
                <w:szCs w:val="18"/>
              </w:rPr>
              <w:t>Paid work</w:t>
            </w:r>
          </w:p>
        </w:tc>
      </w:tr>
      <w:tr w:rsidR="005A7A12" w:rsidTr="005A7A12">
        <w:trPr>
          <w:trHeight w:val="219"/>
        </w:trPr>
        <w:tc>
          <w:tcPr>
            <w:tcW w:w="2133" w:type="pct"/>
            <w:tcBorders>
              <w:top w:val="single" w:sz="4" w:space="0" w:color="auto"/>
              <w:left w:val="single" w:sz="4" w:space="0" w:color="auto"/>
              <w:bottom w:val="nil"/>
              <w:right w:val="single" w:sz="4" w:space="0" w:color="auto"/>
            </w:tcBorders>
          </w:tcPr>
          <w:p w:rsidR="005A7A12" w:rsidRDefault="005A7A12" w:rsidP="006674BF">
            <w:pPr>
              <w:bidi w:val="0"/>
              <w:ind w:firstLineChars="100" w:firstLine="181"/>
              <w:rPr>
                <w:rFonts w:ascii="Arial" w:hAnsi="Arial" w:cs="Arial"/>
                <w:b/>
                <w:bCs/>
                <w:color w:val="000000"/>
                <w:sz w:val="18"/>
                <w:szCs w:val="18"/>
              </w:rPr>
            </w:pPr>
            <w:r>
              <w:rPr>
                <w:rFonts w:ascii="Arial" w:hAnsi="Arial" w:cs="Arial"/>
                <w:b/>
                <w:bCs/>
                <w:color w:val="000000"/>
                <w:sz w:val="18"/>
                <w:szCs w:val="18"/>
              </w:rPr>
              <w:t>Palestinian Territory</w:t>
            </w:r>
          </w:p>
        </w:tc>
        <w:tc>
          <w:tcPr>
            <w:tcW w:w="1305" w:type="pct"/>
            <w:tcBorders>
              <w:top w:val="single" w:sz="4" w:space="0" w:color="auto"/>
              <w:left w:val="single" w:sz="4" w:space="0" w:color="auto"/>
              <w:bottom w:val="nil"/>
              <w:right w:val="nil"/>
            </w:tcBorders>
            <w:vAlign w:val="center"/>
          </w:tcPr>
          <w:p w:rsidR="005A7A12" w:rsidRDefault="005A7A12" w:rsidP="006674BF">
            <w:pPr>
              <w:jc w:val="center"/>
              <w:rPr>
                <w:rFonts w:ascii="Arial" w:hAnsi="Arial" w:cs="Arial"/>
                <w:b/>
                <w:bCs/>
                <w:sz w:val="18"/>
                <w:szCs w:val="18"/>
              </w:rPr>
            </w:pPr>
            <w:r>
              <w:rPr>
                <w:rFonts w:ascii="Arial" w:hAnsi="Arial" w:cs="Arial" w:hint="cs"/>
                <w:b/>
                <w:bCs/>
                <w:sz w:val="18"/>
                <w:szCs w:val="18"/>
                <w:rtl/>
              </w:rPr>
              <w:t>4.1</w:t>
            </w:r>
          </w:p>
        </w:tc>
        <w:tc>
          <w:tcPr>
            <w:tcW w:w="860" w:type="pct"/>
            <w:tcBorders>
              <w:top w:val="single" w:sz="4" w:space="0" w:color="auto"/>
              <w:left w:val="nil"/>
              <w:bottom w:val="nil"/>
              <w:right w:val="nil"/>
            </w:tcBorders>
            <w:vAlign w:val="center"/>
          </w:tcPr>
          <w:p w:rsidR="005A7A12" w:rsidRDefault="005A7A12" w:rsidP="006674BF">
            <w:pPr>
              <w:jc w:val="center"/>
              <w:rPr>
                <w:rFonts w:ascii="Arial" w:hAnsi="Arial" w:cs="Arial"/>
                <w:b/>
                <w:bCs/>
                <w:sz w:val="18"/>
                <w:szCs w:val="18"/>
              </w:rPr>
            </w:pPr>
            <w:r>
              <w:rPr>
                <w:rFonts w:ascii="Arial" w:hAnsi="Arial" w:cs="Arial" w:hint="cs"/>
                <w:b/>
                <w:bCs/>
                <w:sz w:val="18"/>
                <w:szCs w:val="18"/>
                <w:rtl/>
              </w:rPr>
              <w:t>2.1</w:t>
            </w:r>
          </w:p>
        </w:tc>
        <w:tc>
          <w:tcPr>
            <w:tcW w:w="702" w:type="pct"/>
            <w:tcBorders>
              <w:top w:val="single" w:sz="4" w:space="0" w:color="auto"/>
              <w:left w:val="nil"/>
              <w:bottom w:val="nil"/>
              <w:right w:val="single" w:sz="4" w:space="0" w:color="auto"/>
            </w:tcBorders>
            <w:vAlign w:val="center"/>
          </w:tcPr>
          <w:p w:rsidR="005A7A12" w:rsidRDefault="005A7A12" w:rsidP="006674BF">
            <w:pPr>
              <w:jc w:val="center"/>
              <w:rPr>
                <w:rFonts w:ascii="Arial" w:hAnsi="Arial" w:cs="Arial"/>
                <w:b/>
                <w:bCs/>
                <w:sz w:val="18"/>
                <w:szCs w:val="18"/>
              </w:rPr>
            </w:pPr>
            <w:r>
              <w:rPr>
                <w:rFonts w:ascii="Arial" w:hAnsi="Arial" w:cs="Arial" w:hint="cs"/>
                <w:b/>
                <w:bCs/>
                <w:sz w:val="18"/>
                <w:szCs w:val="18"/>
                <w:rtl/>
              </w:rPr>
              <w:t>0.8</w:t>
            </w:r>
          </w:p>
        </w:tc>
      </w:tr>
      <w:tr w:rsidR="005A7A12" w:rsidTr="005A7A12">
        <w:tc>
          <w:tcPr>
            <w:tcW w:w="2133" w:type="pct"/>
            <w:tcBorders>
              <w:top w:val="nil"/>
              <w:left w:val="single" w:sz="4" w:space="0" w:color="auto"/>
              <w:bottom w:val="nil"/>
              <w:right w:val="single" w:sz="4" w:space="0" w:color="auto"/>
            </w:tcBorders>
          </w:tcPr>
          <w:p w:rsidR="005A7A12" w:rsidRPr="005A2224" w:rsidRDefault="005A7A12" w:rsidP="006674BF">
            <w:pPr>
              <w:bidi w:val="0"/>
              <w:ind w:firstLineChars="100" w:firstLine="180"/>
              <w:rPr>
                <w:rFonts w:ascii="Arial" w:hAnsi="Arial" w:cs="Arial"/>
                <w:color w:val="000000"/>
                <w:sz w:val="18"/>
                <w:szCs w:val="18"/>
              </w:rPr>
            </w:pPr>
            <w:r w:rsidRPr="005A2224">
              <w:rPr>
                <w:rFonts w:ascii="Arial" w:hAnsi="Arial" w:cs="Arial"/>
                <w:color w:val="000000"/>
                <w:sz w:val="18"/>
                <w:szCs w:val="18"/>
              </w:rPr>
              <w:t>West Bank</w:t>
            </w:r>
          </w:p>
        </w:tc>
        <w:tc>
          <w:tcPr>
            <w:tcW w:w="1305" w:type="pct"/>
            <w:tcBorders>
              <w:top w:val="nil"/>
              <w:left w:val="single" w:sz="4" w:space="0" w:color="auto"/>
              <w:bottom w:val="nil"/>
              <w:right w:val="nil"/>
            </w:tcBorders>
            <w:vAlign w:val="center"/>
          </w:tcPr>
          <w:p w:rsidR="005A7A12" w:rsidRDefault="005A7A12" w:rsidP="006674BF">
            <w:pPr>
              <w:jc w:val="center"/>
              <w:rPr>
                <w:rFonts w:ascii="Arial" w:hAnsi="Arial" w:cs="Arial"/>
                <w:sz w:val="18"/>
                <w:szCs w:val="18"/>
              </w:rPr>
            </w:pPr>
            <w:r>
              <w:rPr>
                <w:rFonts w:ascii="Arial" w:hAnsi="Arial" w:cs="Arial" w:hint="cs"/>
                <w:sz w:val="18"/>
                <w:szCs w:val="18"/>
                <w:rtl/>
              </w:rPr>
              <w:t>6.0</w:t>
            </w:r>
          </w:p>
        </w:tc>
        <w:tc>
          <w:tcPr>
            <w:tcW w:w="860" w:type="pct"/>
            <w:tcBorders>
              <w:top w:val="nil"/>
              <w:left w:val="nil"/>
              <w:bottom w:val="nil"/>
              <w:right w:val="nil"/>
            </w:tcBorders>
            <w:vAlign w:val="center"/>
          </w:tcPr>
          <w:p w:rsidR="005A7A12" w:rsidRDefault="005A7A12" w:rsidP="006674BF">
            <w:pPr>
              <w:jc w:val="center"/>
              <w:rPr>
                <w:rFonts w:ascii="Arial" w:hAnsi="Arial" w:cs="Arial"/>
                <w:sz w:val="18"/>
                <w:szCs w:val="18"/>
              </w:rPr>
            </w:pPr>
            <w:r>
              <w:rPr>
                <w:rFonts w:ascii="Arial" w:hAnsi="Arial" w:cs="Arial" w:hint="cs"/>
                <w:sz w:val="18"/>
                <w:szCs w:val="18"/>
                <w:rtl/>
              </w:rPr>
              <w:t>2.3</w:t>
            </w:r>
          </w:p>
        </w:tc>
        <w:tc>
          <w:tcPr>
            <w:tcW w:w="702" w:type="pct"/>
            <w:tcBorders>
              <w:top w:val="nil"/>
              <w:left w:val="nil"/>
              <w:bottom w:val="nil"/>
              <w:right w:val="single" w:sz="4" w:space="0" w:color="auto"/>
            </w:tcBorders>
            <w:vAlign w:val="center"/>
          </w:tcPr>
          <w:p w:rsidR="005A7A12" w:rsidRDefault="005A7A12" w:rsidP="006674BF">
            <w:pPr>
              <w:jc w:val="center"/>
              <w:rPr>
                <w:rFonts w:ascii="Arial" w:hAnsi="Arial" w:cs="Arial"/>
                <w:sz w:val="18"/>
                <w:szCs w:val="18"/>
              </w:rPr>
            </w:pPr>
            <w:r>
              <w:rPr>
                <w:rFonts w:ascii="Arial" w:hAnsi="Arial" w:cs="Arial" w:hint="cs"/>
                <w:sz w:val="18"/>
                <w:szCs w:val="18"/>
                <w:rtl/>
              </w:rPr>
              <w:t>1.2</w:t>
            </w:r>
          </w:p>
        </w:tc>
      </w:tr>
      <w:tr w:rsidR="005A7A12" w:rsidTr="005A7A12">
        <w:tc>
          <w:tcPr>
            <w:tcW w:w="2133" w:type="pct"/>
            <w:tcBorders>
              <w:top w:val="nil"/>
              <w:left w:val="single" w:sz="4" w:space="0" w:color="auto"/>
              <w:bottom w:val="nil"/>
              <w:right w:val="single" w:sz="4" w:space="0" w:color="auto"/>
            </w:tcBorders>
          </w:tcPr>
          <w:p w:rsidR="005A7A12" w:rsidRPr="005A2224" w:rsidRDefault="005A7A12" w:rsidP="006674BF">
            <w:pPr>
              <w:bidi w:val="0"/>
              <w:ind w:firstLineChars="100" w:firstLine="180"/>
              <w:rPr>
                <w:rFonts w:ascii="Arial" w:hAnsi="Arial" w:cs="Arial"/>
                <w:color w:val="000000"/>
                <w:sz w:val="18"/>
                <w:szCs w:val="18"/>
              </w:rPr>
            </w:pPr>
            <w:r w:rsidRPr="005A2224">
              <w:rPr>
                <w:rFonts w:ascii="Arial" w:hAnsi="Arial" w:cs="Arial"/>
                <w:color w:val="000000"/>
                <w:sz w:val="18"/>
                <w:szCs w:val="18"/>
              </w:rPr>
              <w:t>Gaza Strip</w:t>
            </w:r>
          </w:p>
        </w:tc>
        <w:tc>
          <w:tcPr>
            <w:tcW w:w="1305" w:type="pct"/>
            <w:tcBorders>
              <w:top w:val="nil"/>
              <w:left w:val="single" w:sz="4" w:space="0" w:color="auto"/>
              <w:bottom w:val="nil"/>
              <w:right w:val="nil"/>
            </w:tcBorders>
            <w:vAlign w:val="center"/>
          </w:tcPr>
          <w:p w:rsidR="005A7A12" w:rsidRDefault="005A7A12" w:rsidP="006674BF">
            <w:pPr>
              <w:jc w:val="center"/>
              <w:rPr>
                <w:rFonts w:ascii="Arial" w:hAnsi="Arial" w:cs="Arial"/>
                <w:sz w:val="18"/>
                <w:szCs w:val="18"/>
              </w:rPr>
            </w:pPr>
            <w:r>
              <w:rPr>
                <w:rFonts w:ascii="Arial" w:hAnsi="Arial" w:cs="Arial" w:hint="cs"/>
                <w:sz w:val="18"/>
                <w:szCs w:val="18"/>
                <w:rtl/>
              </w:rPr>
              <w:t>1.3</w:t>
            </w:r>
          </w:p>
        </w:tc>
        <w:tc>
          <w:tcPr>
            <w:tcW w:w="860" w:type="pct"/>
            <w:tcBorders>
              <w:top w:val="nil"/>
              <w:left w:val="nil"/>
              <w:bottom w:val="nil"/>
              <w:right w:val="nil"/>
            </w:tcBorders>
            <w:vAlign w:val="center"/>
          </w:tcPr>
          <w:p w:rsidR="005A7A12" w:rsidRDefault="005A7A12" w:rsidP="006674BF">
            <w:pPr>
              <w:jc w:val="center"/>
              <w:rPr>
                <w:rFonts w:ascii="Arial" w:hAnsi="Arial" w:cs="Arial"/>
                <w:sz w:val="18"/>
                <w:szCs w:val="18"/>
              </w:rPr>
            </w:pPr>
            <w:r>
              <w:rPr>
                <w:rFonts w:ascii="Arial" w:hAnsi="Arial" w:cs="Arial" w:hint="cs"/>
                <w:sz w:val="18"/>
                <w:szCs w:val="18"/>
                <w:rtl/>
              </w:rPr>
              <w:t>1.7</w:t>
            </w:r>
          </w:p>
        </w:tc>
        <w:tc>
          <w:tcPr>
            <w:tcW w:w="702" w:type="pct"/>
            <w:tcBorders>
              <w:top w:val="nil"/>
              <w:left w:val="nil"/>
              <w:bottom w:val="nil"/>
              <w:right w:val="single" w:sz="4" w:space="0" w:color="auto"/>
            </w:tcBorders>
            <w:vAlign w:val="center"/>
          </w:tcPr>
          <w:p w:rsidR="005A7A12" w:rsidRDefault="005A7A12" w:rsidP="006674BF">
            <w:pPr>
              <w:jc w:val="center"/>
              <w:rPr>
                <w:rFonts w:ascii="Arial" w:hAnsi="Arial" w:cs="Arial"/>
                <w:sz w:val="18"/>
                <w:szCs w:val="18"/>
              </w:rPr>
            </w:pPr>
            <w:r>
              <w:rPr>
                <w:rFonts w:ascii="Arial" w:hAnsi="Arial" w:cs="Arial" w:hint="cs"/>
                <w:sz w:val="18"/>
                <w:szCs w:val="18"/>
                <w:rtl/>
              </w:rPr>
              <w:t>0.3</w:t>
            </w:r>
          </w:p>
        </w:tc>
      </w:tr>
      <w:tr w:rsidR="005A7A12" w:rsidTr="005A7A12">
        <w:tc>
          <w:tcPr>
            <w:tcW w:w="2133" w:type="pct"/>
            <w:tcBorders>
              <w:top w:val="nil"/>
              <w:left w:val="single" w:sz="4" w:space="0" w:color="auto"/>
              <w:bottom w:val="nil"/>
              <w:right w:val="single" w:sz="4" w:space="0" w:color="auto"/>
            </w:tcBorders>
          </w:tcPr>
          <w:p w:rsidR="005A7A12" w:rsidRDefault="005A7A12" w:rsidP="006674BF">
            <w:pPr>
              <w:bidi w:val="0"/>
              <w:ind w:firstLineChars="100" w:firstLine="181"/>
              <w:rPr>
                <w:rFonts w:ascii="Arial" w:hAnsi="Arial" w:cs="Arial"/>
                <w:b/>
                <w:bCs/>
                <w:color w:val="000000"/>
                <w:sz w:val="18"/>
                <w:szCs w:val="18"/>
              </w:rPr>
            </w:pPr>
            <w:r>
              <w:rPr>
                <w:rFonts w:ascii="Arial" w:hAnsi="Arial" w:cs="Arial"/>
                <w:b/>
                <w:bCs/>
                <w:color w:val="000000"/>
                <w:sz w:val="18"/>
                <w:szCs w:val="18"/>
              </w:rPr>
              <w:t>Sex</w:t>
            </w:r>
          </w:p>
        </w:tc>
        <w:tc>
          <w:tcPr>
            <w:tcW w:w="1305" w:type="pct"/>
            <w:tcBorders>
              <w:top w:val="nil"/>
              <w:left w:val="single" w:sz="4" w:space="0" w:color="auto"/>
              <w:bottom w:val="nil"/>
              <w:right w:val="nil"/>
            </w:tcBorders>
            <w:vAlign w:val="center"/>
          </w:tcPr>
          <w:p w:rsidR="005A7A12" w:rsidRDefault="005A7A12" w:rsidP="006674BF">
            <w:pPr>
              <w:ind w:left="180"/>
              <w:jc w:val="center"/>
              <w:rPr>
                <w:rFonts w:ascii="Arial" w:hAnsi="Arial" w:cs="Arial"/>
                <w:color w:val="000000"/>
                <w:sz w:val="18"/>
                <w:szCs w:val="18"/>
              </w:rPr>
            </w:pPr>
          </w:p>
        </w:tc>
        <w:tc>
          <w:tcPr>
            <w:tcW w:w="860" w:type="pct"/>
            <w:tcBorders>
              <w:top w:val="nil"/>
              <w:left w:val="nil"/>
              <w:bottom w:val="nil"/>
              <w:right w:val="nil"/>
            </w:tcBorders>
            <w:vAlign w:val="center"/>
          </w:tcPr>
          <w:p w:rsidR="005A7A12" w:rsidRPr="005A7A12" w:rsidRDefault="005A7A12" w:rsidP="005A7A12">
            <w:pPr>
              <w:jc w:val="center"/>
              <w:rPr>
                <w:rFonts w:ascii="Arial" w:hAnsi="Arial" w:cs="Arial"/>
                <w:sz w:val="18"/>
                <w:szCs w:val="18"/>
              </w:rPr>
            </w:pPr>
          </w:p>
        </w:tc>
        <w:tc>
          <w:tcPr>
            <w:tcW w:w="702" w:type="pct"/>
            <w:tcBorders>
              <w:top w:val="nil"/>
              <w:left w:val="nil"/>
              <w:bottom w:val="nil"/>
              <w:right w:val="single" w:sz="4" w:space="0" w:color="auto"/>
            </w:tcBorders>
            <w:vAlign w:val="center"/>
          </w:tcPr>
          <w:p w:rsidR="005A7A12" w:rsidRPr="005A7A12" w:rsidRDefault="005A7A12" w:rsidP="005A7A12">
            <w:pPr>
              <w:jc w:val="center"/>
              <w:rPr>
                <w:rFonts w:ascii="Arial" w:hAnsi="Arial" w:cs="Arial"/>
                <w:sz w:val="18"/>
                <w:szCs w:val="18"/>
              </w:rPr>
            </w:pPr>
          </w:p>
        </w:tc>
      </w:tr>
      <w:tr w:rsidR="005A7A12" w:rsidTr="005A7A12">
        <w:tc>
          <w:tcPr>
            <w:tcW w:w="2133" w:type="pct"/>
            <w:tcBorders>
              <w:top w:val="nil"/>
              <w:left w:val="single" w:sz="4" w:space="0" w:color="auto"/>
              <w:bottom w:val="nil"/>
              <w:right w:val="single" w:sz="4" w:space="0" w:color="auto"/>
            </w:tcBorders>
          </w:tcPr>
          <w:p w:rsidR="005A7A12" w:rsidRPr="005A2224" w:rsidRDefault="005A7A12" w:rsidP="006674BF">
            <w:pPr>
              <w:bidi w:val="0"/>
              <w:ind w:firstLineChars="100" w:firstLine="180"/>
              <w:rPr>
                <w:rFonts w:ascii="Arial" w:hAnsi="Arial" w:cs="Arial"/>
                <w:color w:val="000000"/>
                <w:sz w:val="18"/>
                <w:szCs w:val="18"/>
              </w:rPr>
            </w:pPr>
            <w:r w:rsidRPr="005A2224">
              <w:rPr>
                <w:rFonts w:ascii="Arial" w:hAnsi="Arial" w:cs="Arial"/>
                <w:color w:val="000000"/>
                <w:sz w:val="18"/>
                <w:szCs w:val="18"/>
              </w:rPr>
              <w:t>Males</w:t>
            </w:r>
          </w:p>
        </w:tc>
        <w:tc>
          <w:tcPr>
            <w:tcW w:w="1305" w:type="pct"/>
            <w:tcBorders>
              <w:top w:val="nil"/>
              <w:left w:val="single" w:sz="4" w:space="0" w:color="auto"/>
              <w:bottom w:val="nil"/>
              <w:right w:val="nil"/>
            </w:tcBorders>
            <w:vAlign w:val="center"/>
          </w:tcPr>
          <w:p w:rsidR="005A7A12" w:rsidRDefault="005A7A12" w:rsidP="006674BF">
            <w:pPr>
              <w:jc w:val="center"/>
              <w:rPr>
                <w:rFonts w:ascii="Arial" w:hAnsi="Arial" w:cs="Arial"/>
                <w:sz w:val="18"/>
                <w:szCs w:val="18"/>
              </w:rPr>
            </w:pPr>
            <w:r>
              <w:rPr>
                <w:rFonts w:ascii="Arial" w:hAnsi="Arial" w:cs="Arial" w:hint="cs"/>
                <w:sz w:val="18"/>
                <w:szCs w:val="18"/>
                <w:rtl/>
              </w:rPr>
              <w:t>5.6</w:t>
            </w:r>
          </w:p>
        </w:tc>
        <w:tc>
          <w:tcPr>
            <w:tcW w:w="860" w:type="pct"/>
            <w:tcBorders>
              <w:top w:val="nil"/>
              <w:left w:val="nil"/>
              <w:bottom w:val="nil"/>
              <w:right w:val="nil"/>
            </w:tcBorders>
            <w:vAlign w:val="center"/>
          </w:tcPr>
          <w:p w:rsidR="005A7A12" w:rsidRDefault="005A7A12" w:rsidP="006674BF">
            <w:pPr>
              <w:jc w:val="center"/>
              <w:rPr>
                <w:rFonts w:ascii="Arial" w:hAnsi="Arial" w:cs="Arial"/>
                <w:sz w:val="18"/>
                <w:szCs w:val="18"/>
              </w:rPr>
            </w:pPr>
            <w:r>
              <w:rPr>
                <w:rFonts w:ascii="Arial" w:hAnsi="Arial" w:cs="Arial" w:hint="cs"/>
                <w:sz w:val="18"/>
                <w:szCs w:val="18"/>
                <w:rtl/>
              </w:rPr>
              <w:t>2.8</w:t>
            </w:r>
          </w:p>
        </w:tc>
        <w:tc>
          <w:tcPr>
            <w:tcW w:w="702" w:type="pct"/>
            <w:tcBorders>
              <w:top w:val="nil"/>
              <w:left w:val="nil"/>
              <w:bottom w:val="nil"/>
              <w:right w:val="single" w:sz="4" w:space="0" w:color="auto"/>
            </w:tcBorders>
            <w:vAlign w:val="center"/>
          </w:tcPr>
          <w:p w:rsidR="005A7A12" w:rsidRDefault="005A7A12" w:rsidP="006674BF">
            <w:pPr>
              <w:jc w:val="center"/>
              <w:rPr>
                <w:rFonts w:ascii="Arial" w:hAnsi="Arial" w:cs="Arial"/>
                <w:sz w:val="18"/>
                <w:szCs w:val="18"/>
              </w:rPr>
            </w:pPr>
            <w:r>
              <w:rPr>
                <w:rFonts w:ascii="Arial" w:hAnsi="Arial" w:cs="Arial" w:hint="cs"/>
                <w:sz w:val="18"/>
                <w:szCs w:val="18"/>
                <w:rtl/>
              </w:rPr>
              <w:t>1.1</w:t>
            </w:r>
          </w:p>
        </w:tc>
      </w:tr>
      <w:tr w:rsidR="005A7A12" w:rsidTr="005A7A12">
        <w:tc>
          <w:tcPr>
            <w:tcW w:w="2133" w:type="pct"/>
            <w:tcBorders>
              <w:top w:val="nil"/>
              <w:left w:val="single" w:sz="4" w:space="0" w:color="auto"/>
              <w:bottom w:val="single" w:sz="4" w:space="0" w:color="auto"/>
              <w:right w:val="single" w:sz="4" w:space="0" w:color="auto"/>
            </w:tcBorders>
          </w:tcPr>
          <w:p w:rsidR="005A7A12" w:rsidRPr="005A2224" w:rsidRDefault="005A7A12" w:rsidP="006674BF">
            <w:pPr>
              <w:bidi w:val="0"/>
              <w:ind w:firstLineChars="100" w:firstLine="180"/>
              <w:rPr>
                <w:rFonts w:ascii="Arial" w:hAnsi="Arial" w:cs="Arial"/>
                <w:color w:val="000000"/>
                <w:sz w:val="18"/>
                <w:szCs w:val="18"/>
              </w:rPr>
            </w:pPr>
            <w:r w:rsidRPr="005A2224">
              <w:rPr>
                <w:rFonts w:ascii="Arial" w:hAnsi="Arial" w:cs="Arial"/>
                <w:color w:val="000000"/>
                <w:sz w:val="18"/>
                <w:szCs w:val="18"/>
              </w:rPr>
              <w:t>Females</w:t>
            </w:r>
          </w:p>
        </w:tc>
        <w:tc>
          <w:tcPr>
            <w:tcW w:w="1305" w:type="pct"/>
            <w:tcBorders>
              <w:top w:val="nil"/>
              <w:left w:val="single" w:sz="4" w:space="0" w:color="auto"/>
              <w:bottom w:val="single" w:sz="4" w:space="0" w:color="auto"/>
              <w:right w:val="nil"/>
            </w:tcBorders>
            <w:vAlign w:val="center"/>
          </w:tcPr>
          <w:p w:rsidR="005A7A12" w:rsidRDefault="005A7A12" w:rsidP="006674BF">
            <w:pPr>
              <w:jc w:val="center"/>
              <w:rPr>
                <w:rFonts w:ascii="Arial" w:hAnsi="Arial" w:cs="Arial"/>
                <w:sz w:val="18"/>
                <w:szCs w:val="18"/>
              </w:rPr>
            </w:pPr>
            <w:r>
              <w:rPr>
                <w:rFonts w:ascii="Arial" w:hAnsi="Arial" w:cs="Arial" w:hint="cs"/>
                <w:sz w:val="18"/>
                <w:szCs w:val="18"/>
                <w:rtl/>
              </w:rPr>
              <w:t>2.6</w:t>
            </w:r>
          </w:p>
        </w:tc>
        <w:tc>
          <w:tcPr>
            <w:tcW w:w="860" w:type="pct"/>
            <w:tcBorders>
              <w:top w:val="nil"/>
              <w:left w:val="nil"/>
              <w:bottom w:val="single" w:sz="4" w:space="0" w:color="auto"/>
              <w:right w:val="nil"/>
            </w:tcBorders>
            <w:vAlign w:val="center"/>
          </w:tcPr>
          <w:p w:rsidR="005A7A12" w:rsidRDefault="005A7A12" w:rsidP="006674BF">
            <w:pPr>
              <w:jc w:val="center"/>
              <w:rPr>
                <w:rFonts w:ascii="Arial" w:hAnsi="Arial" w:cs="Arial"/>
                <w:sz w:val="18"/>
                <w:szCs w:val="18"/>
                <w:rtl/>
              </w:rPr>
            </w:pPr>
            <w:r>
              <w:rPr>
                <w:rFonts w:ascii="Arial" w:hAnsi="Arial" w:cs="Arial" w:hint="cs"/>
                <w:sz w:val="18"/>
                <w:szCs w:val="18"/>
                <w:rtl/>
              </w:rPr>
              <w:t>1.3</w:t>
            </w:r>
          </w:p>
        </w:tc>
        <w:tc>
          <w:tcPr>
            <w:tcW w:w="702" w:type="pct"/>
            <w:tcBorders>
              <w:top w:val="nil"/>
              <w:left w:val="nil"/>
              <w:bottom w:val="single" w:sz="4" w:space="0" w:color="auto"/>
              <w:right w:val="single" w:sz="4" w:space="0" w:color="auto"/>
            </w:tcBorders>
            <w:vAlign w:val="center"/>
          </w:tcPr>
          <w:p w:rsidR="005A7A12" w:rsidRDefault="005A7A12" w:rsidP="006674BF">
            <w:pPr>
              <w:jc w:val="center"/>
              <w:rPr>
                <w:rFonts w:ascii="Arial" w:hAnsi="Arial" w:cs="Arial"/>
                <w:sz w:val="18"/>
                <w:szCs w:val="18"/>
                <w:rtl/>
              </w:rPr>
            </w:pPr>
            <w:r>
              <w:rPr>
                <w:rFonts w:ascii="Arial" w:hAnsi="Arial" w:cs="Arial" w:hint="cs"/>
                <w:sz w:val="18"/>
                <w:szCs w:val="18"/>
                <w:rtl/>
              </w:rPr>
              <w:t>0.6</w:t>
            </w:r>
          </w:p>
        </w:tc>
      </w:tr>
    </w:tbl>
    <w:p w:rsidR="00D53E6C" w:rsidRDefault="00D53E6C" w:rsidP="00D53E6C">
      <w:pPr>
        <w:bidi w:val="0"/>
        <w:jc w:val="both"/>
        <w:rPr>
          <w:b/>
          <w:bCs/>
        </w:rPr>
      </w:pPr>
      <w:r>
        <w:rPr>
          <w:b/>
          <w:bCs/>
          <w:sz w:val="18"/>
          <w:szCs w:val="18"/>
        </w:rPr>
        <w:t xml:space="preserve">Source: </w:t>
      </w:r>
      <w:r w:rsidRPr="008A2CCC">
        <w:rPr>
          <w:b/>
          <w:bCs/>
          <w:sz w:val="18"/>
          <w:szCs w:val="18"/>
        </w:rPr>
        <w:t>Palestinian Central Bureau of Statistics, 2011</w:t>
      </w:r>
      <w:r w:rsidRPr="008A2CCC">
        <w:rPr>
          <w:sz w:val="18"/>
          <w:szCs w:val="18"/>
        </w:rPr>
        <w:t>.  Palestinian Family Survey 2010</w:t>
      </w:r>
      <w:r>
        <w:rPr>
          <w:b/>
          <w:bCs/>
          <w:sz w:val="18"/>
          <w:szCs w:val="18"/>
        </w:rPr>
        <w:t>,</w:t>
      </w:r>
      <w:r w:rsidRPr="008A2CCC">
        <w:rPr>
          <w:b/>
          <w:bCs/>
          <w:sz w:val="18"/>
          <w:szCs w:val="18"/>
        </w:rPr>
        <w:t xml:space="preserve">  </w:t>
      </w:r>
      <w:r w:rsidRPr="008A2CCC">
        <w:rPr>
          <w:i/>
          <w:iCs/>
          <w:sz w:val="18"/>
          <w:szCs w:val="18"/>
        </w:rPr>
        <w:t xml:space="preserve">Main Report.   </w:t>
      </w:r>
      <w:r w:rsidRPr="008A2CCC">
        <w:rPr>
          <w:b/>
          <w:bCs/>
          <w:sz w:val="18"/>
          <w:szCs w:val="18"/>
        </w:rPr>
        <w:t>Ramallah</w:t>
      </w:r>
      <w:r w:rsidRPr="008A2CCC">
        <w:rPr>
          <w:rFonts w:hint="cs"/>
          <w:b/>
          <w:bCs/>
          <w:sz w:val="18"/>
          <w:szCs w:val="18"/>
          <w:rtl/>
          <w:lang w:val="en-AU"/>
        </w:rPr>
        <w:t xml:space="preserve">- </w:t>
      </w:r>
      <w:r>
        <w:rPr>
          <w:b/>
          <w:bCs/>
          <w:sz w:val="18"/>
          <w:szCs w:val="18"/>
        </w:rPr>
        <w:t xml:space="preserve">    </w:t>
      </w:r>
      <w:r w:rsidRPr="008A2CCC">
        <w:rPr>
          <w:b/>
          <w:bCs/>
          <w:sz w:val="18"/>
          <w:szCs w:val="18"/>
        </w:rPr>
        <w:t>Palestine</w:t>
      </w:r>
    </w:p>
    <w:p w:rsidR="00D53E6C" w:rsidRDefault="00D53E6C" w:rsidP="00D53E6C">
      <w:pPr>
        <w:bidi w:val="0"/>
        <w:jc w:val="center"/>
        <w:rPr>
          <w:b/>
          <w:bCs/>
          <w:color w:val="000000"/>
          <w:sz w:val="22"/>
          <w:szCs w:val="22"/>
        </w:rPr>
      </w:pPr>
    </w:p>
    <w:p w:rsidR="00E436EF" w:rsidRDefault="00E436EF">
      <w:pPr>
        <w:bidi w:val="0"/>
        <w:jc w:val="both"/>
        <w:rPr>
          <w:b/>
          <w:bCs/>
          <w:sz w:val="20"/>
        </w:rPr>
      </w:pPr>
    </w:p>
    <w:p w:rsidR="009B4283" w:rsidRDefault="00E619AE" w:rsidP="005E6416">
      <w:pPr>
        <w:jc w:val="right"/>
        <w:rPr>
          <w:rFonts w:cs="Simplified Arabic"/>
          <w:b/>
          <w:bCs/>
          <w:szCs w:val="24"/>
        </w:rPr>
      </w:pPr>
      <w:r>
        <w:rPr>
          <w:rFonts w:cs="Simplified Arabic"/>
          <w:b/>
          <w:bCs/>
          <w:szCs w:val="24"/>
        </w:rPr>
        <w:t>5</w:t>
      </w:r>
      <w:r w:rsidRPr="00ED67F8">
        <w:rPr>
          <w:rFonts w:cs="Simplified Arabic"/>
          <w:b/>
          <w:bCs/>
          <w:szCs w:val="24"/>
        </w:rPr>
        <w:t>.</w:t>
      </w:r>
      <w:r w:rsidR="005E6416">
        <w:rPr>
          <w:rFonts w:cs="Simplified Arabic"/>
          <w:b/>
          <w:bCs/>
          <w:szCs w:val="24"/>
        </w:rPr>
        <w:t>4</w:t>
      </w:r>
      <w:r w:rsidRPr="00ED67F8">
        <w:rPr>
          <w:rFonts w:cs="Simplified Arabic"/>
          <w:b/>
          <w:bCs/>
          <w:szCs w:val="24"/>
        </w:rPr>
        <w:t xml:space="preserve"> In-adequate </w:t>
      </w:r>
      <w:r w:rsidR="009B4283">
        <w:rPr>
          <w:rFonts w:cs="Simplified Arabic"/>
          <w:b/>
          <w:bCs/>
          <w:szCs w:val="24"/>
        </w:rPr>
        <w:t>C</w:t>
      </w:r>
      <w:r w:rsidRPr="00ED67F8">
        <w:rPr>
          <w:rFonts w:cs="Simplified Arabic"/>
          <w:b/>
          <w:bCs/>
          <w:szCs w:val="24"/>
        </w:rPr>
        <w:t xml:space="preserve">are for </w:t>
      </w:r>
      <w:r w:rsidR="009B4283">
        <w:rPr>
          <w:rFonts w:cs="Simplified Arabic"/>
          <w:b/>
          <w:bCs/>
          <w:szCs w:val="24"/>
        </w:rPr>
        <w:t>C</w:t>
      </w:r>
      <w:r w:rsidRPr="00ED67F8">
        <w:rPr>
          <w:rFonts w:cs="Simplified Arabic"/>
          <w:b/>
          <w:bCs/>
          <w:szCs w:val="24"/>
        </w:rPr>
        <w:t xml:space="preserve">hildren </w:t>
      </w:r>
      <w:r w:rsidR="009B4283">
        <w:rPr>
          <w:rFonts w:cs="Simplified Arabic"/>
          <w:b/>
          <w:bCs/>
          <w:szCs w:val="24"/>
        </w:rPr>
        <w:t>U</w:t>
      </w:r>
      <w:r w:rsidRPr="00ED67F8">
        <w:rPr>
          <w:rFonts w:cs="Simplified Arabic"/>
          <w:b/>
          <w:bCs/>
          <w:szCs w:val="24"/>
        </w:rPr>
        <w:t xml:space="preserve">nder  </w:t>
      </w:r>
      <w:r w:rsidR="009B4283">
        <w:rPr>
          <w:rFonts w:cs="Simplified Arabic"/>
          <w:b/>
          <w:bCs/>
          <w:szCs w:val="24"/>
        </w:rPr>
        <w:t>A</w:t>
      </w:r>
      <w:r w:rsidRPr="00ED67F8">
        <w:rPr>
          <w:rFonts w:cs="Simplified Arabic"/>
          <w:b/>
          <w:bCs/>
          <w:szCs w:val="24"/>
        </w:rPr>
        <w:t>ge of</w:t>
      </w:r>
      <w:r w:rsidR="009B4283">
        <w:rPr>
          <w:rFonts w:cs="Simplified Arabic"/>
          <w:b/>
          <w:bCs/>
          <w:szCs w:val="24"/>
        </w:rPr>
        <w:t xml:space="preserve"> </w:t>
      </w:r>
      <w:r w:rsidRPr="00ED67F8">
        <w:rPr>
          <w:rFonts w:cs="Simplified Arabic"/>
          <w:b/>
          <w:bCs/>
          <w:szCs w:val="24"/>
        </w:rPr>
        <w:t xml:space="preserve"> </w:t>
      </w:r>
      <w:r w:rsidR="009B4283">
        <w:rPr>
          <w:rFonts w:cs="Simplified Arabic"/>
          <w:b/>
          <w:bCs/>
          <w:szCs w:val="24"/>
        </w:rPr>
        <w:t>F</w:t>
      </w:r>
      <w:r w:rsidRPr="00ED67F8">
        <w:rPr>
          <w:rFonts w:cs="Simplified Arabic"/>
          <w:b/>
          <w:bCs/>
          <w:szCs w:val="24"/>
        </w:rPr>
        <w:t xml:space="preserve">ive </w:t>
      </w:r>
      <w:r w:rsidR="009B4283">
        <w:rPr>
          <w:rFonts w:cs="Simplified Arabic"/>
          <w:b/>
          <w:bCs/>
          <w:szCs w:val="24"/>
        </w:rPr>
        <w:t>Y</w:t>
      </w:r>
      <w:r w:rsidRPr="00ED67F8">
        <w:rPr>
          <w:rFonts w:cs="Simplified Arabic"/>
          <w:b/>
          <w:bCs/>
          <w:szCs w:val="24"/>
        </w:rPr>
        <w:t>ears</w:t>
      </w:r>
    </w:p>
    <w:p w:rsidR="006B41D5" w:rsidRDefault="00E619AE" w:rsidP="000B4E6D">
      <w:pPr>
        <w:bidi w:val="0"/>
        <w:jc w:val="both"/>
        <w:rPr>
          <w:rFonts w:cs="Simplified Arabic"/>
        </w:rPr>
      </w:pPr>
      <w:r>
        <w:rPr>
          <w:rFonts w:cs="Simplified Arabic"/>
        </w:rPr>
        <w:t xml:space="preserve">13.4% of children under </w:t>
      </w:r>
      <w:r w:rsidRPr="00D44F45">
        <w:rPr>
          <w:rFonts w:cs="Simplified Arabic"/>
        </w:rPr>
        <w:t xml:space="preserve"> age of five</w:t>
      </w:r>
      <w:r>
        <w:rPr>
          <w:rFonts w:cs="Simplified Arabic"/>
        </w:rPr>
        <w:t xml:space="preserve"> who  received</w:t>
      </w:r>
      <w:r w:rsidRPr="00D44F45">
        <w:rPr>
          <w:rFonts w:cs="Simplified Arabic"/>
        </w:rPr>
        <w:t xml:space="preserve"> </w:t>
      </w:r>
      <w:r>
        <w:rPr>
          <w:rFonts w:cs="Simplified Arabic"/>
        </w:rPr>
        <w:t xml:space="preserve"> inadequate  care </w:t>
      </w:r>
      <w:r w:rsidRPr="00D44F45">
        <w:rPr>
          <w:rFonts w:cs="Simplified Arabic"/>
        </w:rPr>
        <w:t xml:space="preserve"> in the past week </w:t>
      </w:r>
      <w:r>
        <w:rPr>
          <w:rFonts w:cs="Simplified Arabic"/>
        </w:rPr>
        <w:t xml:space="preserve"> that preceded </w:t>
      </w:r>
      <w:r w:rsidRPr="00D44F45">
        <w:rPr>
          <w:rFonts w:cs="Simplified Arabic"/>
        </w:rPr>
        <w:t xml:space="preserve"> the </w:t>
      </w:r>
      <w:r>
        <w:rPr>
          <w:rFonts w:cs="Simplified Arabic"/>
        </w:rPr>
        <w:t xml:space="preserve">conduction of this </w:t>
      </w:r>
      <w:r w:rsidRPr="00D44F45">
        <w:rPr>
          <w:rFonts w:cs="Simplified Arabic"/>
        </w:rPr>
        <w:t>survey (care is insufficient include children who are left alone during the pre</w:t>
      </w:r>
      <w:r>
        <w:rPr>
          <w:rFonts w:cs="Simplified Arabic"/>
        </w:rPr>
        <w:t xml:space="preserve">vious week, or left under the care </w:t>
      </w:r>
      <w:r w:rsidRPr="00D44F45">
        <w:rPr>
          <w:rFonts w:cs="Simplified Arabic"/>
        </w:rPr>
        <w:t xml:space="preserve">of </w:t>
      </w:r>
      <w:r>
        <w:rPr>
          <w:rFonts w:cs="Simplified Arabic"/>
        </w:rPr>
        <w:t xml:space="preserve">other children under </w:t>
      </w:r>
      <w:r w:rsidRPr="00D44F45">
        <w:rPr>
          <w:rFonts w:cs="Simplified Arabic"/>
        </w:rPr>
        <w:t xml:space="preserve"> age of 10 years for </w:t>
      </w:r>
      <w:r>
        <w:rPr>
          <w:rFonts w:cs="Simplified Arabic"/>
        </w:rPr>
        <w:t xml:space="preserve">more than one hour at least) of which </w:t>
      </w:r>
      <w:r w:rsidRPr="00D44F45">
        <w:rPr>
          <w:rFonts w:cs="Simplified Arabic"/>
        </w:rPr>
        <w:t>16.1%</w:t>
      </w:r>
      <w:r>
        <w:rPr>
          <w:rFonts w:cs="Simplified Arabic"/>
        </w:rPr>
        <w:t xml:space="preserve"> was  in</w:t>
      </w:r>
      <w:r w:rsidRPr="00D44F45">
        <w:rPr>
          <w:rFonts w:cs="Simplified Arabic"/>
        </w:rPr>
        <w:t xml:space="preserve"> West Bank and 9.7% in Gaza Strip</w:t>
      </w:r>
      <w:r w:rsidR="000B4E6D">
        <w:rPr>
          <w:rFonts w:cs="Simplified Arabic"/>
        </w:rPr>
        <w:t xml:space="preserve"> in 2010</w:t>
      </w:r>
      <w:r>
        <w:rPr>
          <w:rFonts w:cs="Simplified Arabic"/>
        </w:rPr>
        <w:t>.</w:t>
      </w:r>
      <w:r>
        <w:rPr>
          <w:rFonts w:cs="Simplified Arabic"/>
        </w:rPr>
        <w:br/>
      </w:r>
      <w:r>
        <w:rPr>
          <w:rFonts w:cs="Simplified Arabic"/>
        </w:rPr>
        <w:br/>
        <w:t xml:space="preserve">As for </w:t>
      </w:r>
      <w:r w:rsidRPr="00D44F45">
        <w:rPr>
          <w:rFonts w:cs="Simplified Arabic"/>
        </w:rPr>
        <w:t xml:space="preserve"> type of </w:t>
      </w:r>
      <w:r>
        <w:rPr>
          <w:rFonts w:cs="Simplified Arabic"/>
        </w:rPr>
        <w:t>locality</w:t>
      </w:r>
      <w:r w:rsidRPr="00D44F45">
        <w:rPr>
          <w:rFonts w:cs="Simplified Arabic"/>
        </w:rPr>
        <w:t xml:space="preserve"> </w:t>
      </w:r>
      <w:r>
        <w:rPr>
          <w:rFonts w:cs="Simplified Arabic"/>
        </w:rPr>
        <w:t>, the</w:t>
      </w:r>
      <w:r w:rsidRPr="00D44F45">
        <w:rPr>
          <w:rFonts w:cs="Simplified Arabic"/>
        </w:rPr>
        <w:t xml:space="preserve"> highe</w:t>
      </w:r>
      <w:r>
        <w:rPr>
          <w:rFonts w:cs="Simplified Arabic"/>
        </w:rPr>
        <w:t xml:space="preserve">r percentage of children who  received </w:t>
      </w:r>
      <w:r w:rsidRPr="00D44F45">
        <w:rPr>
          <w:rFonts w:cs="Simplified Arabic"/>
        </w:rPr>
        <w:t xml:space="preserve"> inadequate care during the past week</w:t>
      </w:r>
      <w:r>
        <w:rPr>
          <w:rFonts w:cs="Simplified Arabic"/>
        </w:rPr>
        <w:t xml:space="preserve"> was at rural areas , </w:t>
      </w:r>
      <w:r w:rsidRPr="00D44F45">
        <w:rPr>
          <w:rFonts w:cs="Simplified Arabic"/>
        </w:rPr>
        <w:t xml:space="preserve"> followed by </w:t>
      </w:r>
      <w:r>
        <w:rPr>
          <w:rFonts w:cs="Simplified Arabic"/>
        </w:rPr>
        <w:t xml:space="preserve">refugee camps  and then  at urban </w:t>
      </w:r>
      <w:r w:rsidRPr="00D44F45">
        <w:rPr>
          <w:rFonts w:cs="Simplified Arabic"/>
        </w:rPr>
        <w:t xml:space="preserve"> </w:t>
      </w:r>
      <w:r>
        <w:rPr>
          <w:rFonts w:cs="Simplified Arabic"/>
        </w:rPr>
        <w:t xml:space="preserve">areas  as </w:t>
      </w:r>
      <w:r w:rsidRPr="00D44F45">
        <w:rPr>
          <w:rFonts w:cs="Simplified Arabic"/>
        </w:rPr>
        <w:t>of 15.4%, 14.1%, 12.9%, respectively.</w:t>
      </w:r>
    </w:p>
    <w:p w:rsidR="00E619AE" w:rsidRDefault="00E619AE"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RPr="00E619AE" w:rsidRDefault="005E6416" w:rsidP="00E619AE">
      <w:pPr>
        <w:jc w:val="right"/>
        <w:rPr>
          <w:rFonts w:cs="Simplified Arabic"/>
          <w:szCs w:val="24"/>
          <w:rtl/>
        </w:rPr>
      </w:pPr>
    </w:p>
    <w:p w:rsidR="00F17EF3" w:rsidRPr="006B41D5" w:rsidRDefault="00F17EF3" w:rsidP="00BA65FB">
      <w:pPr>
        <w:bidi w:val="0"/>
        <w:jc w:val="center"/>
        <w:rPr>
          <w:b/>
          <w:bCs/>
          <w:sz w:val="22"/>
          <w:szCs w:val="18"/>
        </w:rPr>
      </w:pPr>
      <w:r w:rsidRPr="006B41D5">
        <w:rPr>
          <w:b/>
          <w:bCs/>
          <w:sz w:val="22"/>
          <w:szCs w:val="18"/>
        </w:rPr>
        <w:lastRenderedPageBreak/>
        <w:t>Figure (</w:t>
      </w:r>
      <w:r w:rsidR="00FB616E" w:rsidRPr="006B41D5">
        <w:rPr>
          <w:rFonts w:hint="cs"/>
          <w:b/>
          <w:bCs/>
          <w:sz w:val="28"/>
          <w:szCs w:val="22"/>
          <w:rtl/>
        </w:rPr>
        <w:t>5</w:t>
      </w:r>
      <w:r w:rsidRPr="006B41D5">
        <w:rPr>
          <w:b/>
          <w:bCs/>
        </w:rPr>
        <w:t>-</w:t>
      </w:r>
      <w:r w:rsidR="00FB616E" w:rsidRPr="006B41D5">
        <w:rPr>
          <w:rFonts w:hint="cs"/>
          <w:b/>
          <w:bCs/>
          <w:sz w:val="28"/>
          <w:szCs w:val="22"/>
          <w:rtl/>
        </w:rPr>
        <w:t>1</w:t>
      </w:r>
      <w:r w:rsidRPr="006B41D5">
        <w:rPr>
          <w:b/>
          <w:bCs/>
          <w:sz w:val="22"/>
          <w:szCs w:val="18"/>
        </w:rPr>
        <w:t>):</w:t>
      </w:r>
      <w:r w:rsidRPr="006B41D5">
        <w:rPr>
          <w:sz w:val="22"/>
          <w:szCs w:val="18"/>
        </w:rPr>
        <w:t xml:space="preserve"> </w:t>
      </w:r>
      <w:r w:rsidRPr="006B41D5">
        <w:rPr>
          <w:b/>
          <w:bCs/>
          <w:sz w:val="22"/>
          <w:szCs w:val="18"/>
        </w:rPr>
        <w:t>Percentage of children aged 0-59 months left in the care of other children under the age of 10 years or left alone by region, type of locality</w:t>
      </w:r>
      <w:r w:rsidR="007013D9" w:rsidRPr="006B41D5">
        <w:rPr>
          <w:b/>
          <w:bCs/>
          <w:sz w:val="22"/>
          <w:szCs w:val="18"/>
        </w:rPr>
        <w:t xml:space="preserve"> </w:t>
      </w:r>
      <w:r w:rsidRPr="006B41D5">
        <w:rPr>
          <w:b/>
          <w:bCs/>
          <w:sz w:val="22"/>
          <w:szCs w:val="18"/>
        </w:rPr>
        <w:t>2010</w:t>
      </w:r>
    </w:p>
    <w:p w:rsidR="00F17EF3" w:rsidRDefault="00F17EF3" w:rsidP="00F17EF3">
      <w:pPr>
        <w:jc w:val="lowKashida"/>
        <w:rPr>
          <w:rFonts w:cs="Simplified Arabic"/>
          <w:rtl/>
        </w:rPr>
      </w:pPr>
      <w:r w:rsidRPr="00C712C1">
        <w:rPr>
          <w:rFonts w:cs="Simplified Arabic"/>
          <w:rtl/>
          <w:lang w:eastAsia="en-US"/>
        </w:rPr>
        <w:drawing>
          <wp:inline distT="0" distB="0" distL="0" distR="0">
            <wp:extent cx="5648325" cy="2743200"/>
            <wp:effectExtent l="57150" t="0" r="66675" b="95250"/>
            <wp:docPr id="2"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17EF3" w:rsidRDefault="00F17EF3" w:rsidP="00F17EF3">
      <w:pPr>
        <w:bidi w:val="0"/>
        <w:ind w:left="142" w:hanging="142"/>
        <w:jc w:val="lowKashida"/>
        <w:rPr>
          <w:sz w:val="20"/>
        </w:rPr>
      </w:pPr>
      <w:r>
        <w:rPr>
          <w:rFonts w:cs="Simplified Arabic" w:hint="cs"/>
          <w:b/>
          <w:bCs/>
          <w:sz w:val="18"/>
          <w:szCs w:val="18"/>
          <w:rtl/>
        </w:rPr>
        <w:t xml:space="preserve">  </w:t>
      </w:r>
      <w:r>
        <w:rPr>
          <w:b/>
          <w:bCs/>
          <w:sz w:val="18"/>
          <w:szCs w:val="18"/>
        </w:rPr>
        <w:t xml:space="preserve">Source: </w:t>
      </w:r>
      <w:r w:rsidRPr="008A2CCC">
        <w:rPr>
          <w:b/>
          <w:bCs/>
          <w:sz w:val="18"/>
          <w:szCs w:val="18"/>
        </w:rPr>
        <w:t>Palestinian Central Bureau of Statistics, 2011</w:t>
      </w:r>
      <w:r w:rsidRPr="008A2CCC">
        <w:rPr>
          <w:sz w:val="18"/>
          <w:szCs w:val="18"/>
        </w:rPr>
        <w:t>.  Palestinian Family Survey 2010</w:t>
      </w:r>
      <w:r>
        <w:rPr>
          <w:b/>
          <w:bCs/>
          <w:sz w:val="18"/>
          <w:szCs w:val="18"/>
        </w:rPr>
        <w:t>,</w:t>
      </w:r>
      <w:r w:rsidRPr="008A2CCC">
        <w:rPr>
          <w:b/>
          <w:bCs/>
          <w:sz w:val="18"/>
          <w:szCs w:val="18"/>
        </w:rPr>
        <w:t xml:space="preserve">  </w:t>
      </w:r>
      <w:r w:rsidRPr="008A2CCC">
        <w:rPr>
          <w:i/>
          <w:iCs/>
          <w:sz w:val="18"/>
          <w:szCs w:val="18"/>
        </w:rPr>
        <w:t xml:space="preserve">Main Report.   </w:t>
      </w:r>
      <w:r w:rsidRPr="008A2CCC">
        <w:rPr>
          <w:b/>
          <w:bCs/>
          <w:sz w:val="18"/>
          <w:szCs w:val="18"/>
        </w:rPr>
        <w:t>Ramallah</w:t>
      </w:r>
      <w:r w:rsidRPr="008A2CCC">
        <w:rPr>
          <w:rFonts w:hint="cs"/>
          <w:b/>
          <w:bCs/>
          <w:sz w:val="18"/>
          <w:szCs w:val="18"/>
          <w:rtl/>
          <w:lang w:val="en-AU"/>
        </w:rPr>
        <w:t xml:space="preserve">- </w:t>
      </w:r>
      <w:r>
        <w:rPr>
          <w:b/>
          <w:bCs/>
          <w:sz w:val="18"/>
          <w:szCs w:val="18"/>
        </w:rPr>
        <w:t xml:space="preserve">    </w:t>
      </w:r>
      <w:r w:rsidRPr="008A2CCC">
        <w:rPr>
          <w:b/>
          <w:bCs/>
          <w:sz w:val="18"/>
          <w:szCs w:val="18"/>
        </w:rPr>
        <w:t>Palestine</w:t>
      </w:r>
    </w:p>
    <w:p w:rsidR="00F17EF3" w:rsidRPr="003853A5" w:rsidRDefault="00F17EF3" w:rsidP="00F17EF3">
      <w:pPr>
        <w:tabs>
          <w:tab w:val="left" w:pos="990"/>
        </w:tabs>
        <w:ind w:left="706" w:hanging="706"/>
        <w:jc w:val="lowKashida"/>
        <w:rPr>
          <w:rFonts w:cs="Simplified Arabic"/>
          <w:sz w:val="16"/>
          <w:szCs w:val="16"/>
          <w:rtl/>
        </w:rPr>
      </w:pPr>
    </w:p>
    <w:p w:rsidR="002C168C" w:rsidRDefault="001F3264" w:rsidP="005E6416">
      <w:pPr>
        <w:bidi w:val="0"/>
        <w:jc w:val="both"/>
        <w:rPr>
          <w:rStyle w:val="hps"/>
          <w:color w:val="333333"/>
          <w:szCs w:val="24"/>
        </w:rPr>
      </w:pPr>
      <w:r>
        <w:rPr>
          <w:b/>
          <w:bCs/>
        </w:rPr>
        <w:t>5</w:t>
      </w:r>
      <w:r w:rsidR="00215F79">
        <w:rPr>
          <w:b/>
          <w:bCs/>
        </w:rPr>
        <w:t>.</w:t>
      </w:r>
      <w:r w:rsidR="005E6416">
        <w:rPr>
          <w:b/>
          <w:bCs/>
        </w:rPr>
        <w:t>5</w:t>
      </w:r>
      <w:r w:rsidR="00215F79">
        <w:rPr>
          <w:b/>
          <w:bCs/>
        </w:rPr>
        <w:t xml:space="preserve">  </w:t>
      </w:r>
      <w:r w:rsidR="009B4283">
        <w:rPr>
          <w:b/>
          <w:bCs/>
        </w:rPr>
        <w:t>V</w:t>
      </w:r>
      <w:r w:rsidR="00215F79" w:rsidRPr="00215F79">
        <w:rPr>
          <w:b/>
          <w:bCs/>
        </w:rPr>
        <w:t>iolence</w:t>
      </w:r>
      <w:r w:rsidR="00215F79">
        <w:rPr>
          <w:b/>
          <w:bCs/>
        </w:rPr>
        <w:t xml:space="preserve"> </w:t>
      </w:r>
      <w:r w:rsidR="009B4283">
        <w:rPr>
          <w:rStyle w:val="hps"/>
          <w:b/>
          <w:bCs/>
          <w:color w:val="333333"/>
        </w:rPr>
        <w:t>A</w:t>
      </w:r>
      <w:r w:rsidR="00215F79">
        <w:rPr>
          <w:rStyle w:val="hps"/>
          <w:b/>
          <w:bCs/>
          <w:color w:val="333333"/>
        </w:rPr>
        <w:t>gainst</w:t>
      </w:r>
      <w:r w:rsidR="00215F79">
        <w:rPr>
          <w:b/>
          <w:bCs/>
        </w:rPr>
        <w:t xml:space="preserve"> </w:t>
      </w:r>
      <w:r w:rsidR="009B4283">
        <w:rPr>
          <w:b/>
          <w:bCs/>
        </w:rPr>
        <w:t>C</w:t>
      </w:r>
      <w:r w:rsidR="00215F79">
        <w:rPr>
          <w:b/>
          <w:bCs/>
        </w:rPr>
        <w:t>hildren</w:t>
      </w:r>
    </w:p>
    <w:p w:rsidR="003853A5" w:rsidRPr="00AA1723" w:rsidRDefault="003853A5" w:rsidP="003853A5">
      <w:pPr>
        <w:bidi w:val="0"/>
        <w:jc w:val="both"/>
        <w:rPr>
          <w:rStyle w:val="hps"/>
          <w:color w:val="333333"/>
          <w:sz w:val="8"/>
          <w:szCs w:val="8"/>
        </w:rPr>
      </w:pPr>
    </w:p>
    <w:p w:rsidR="003853A5" w:rsidRDefault="003853A5" w:rsidP="003853A5">
      <w:pPr>
        <w:bidi w:val="0"/>
        <w:jc w:val="both"/>
      </w:pPr>
      <w:r w:rsidRPr="00F01AFE">
        <w:rPr>
          <w:rStyle w:val="hps"/>
          <w:color w:val="333333"/>
          <w:szCs w:val="24"/>
        </w:rPr>
        <w:t>About 3% of male children</w:t>
      </w:r>
      <w:r w:rsidR="007013D9">
        <w:rPr>
          <w:rStyle w:val="hps"/>
          <w:color w:val="333333"/>
          <w:szCs w:val="24"/>
        </w:rPr>
        <w:t xml:space="preserve"> of</w:t>
      </w:r>
      <w:r w:rsidR="00EB30B1">
        <w:rPr>
          <w:rStyle w:val="hps"/>
          <w:color w:val="333333"/>
          <w:szCs w:val="24"/>
        </w:rPr>
        <w:t xml:space="preserve"> </w:t>
      </w:r>
      <w:r w:rsidR="00EB30B1" w:rsidRPr="00EB30B1">
        <w:rPr>
          <w:rStyle w:val="hps"/>
          <w:color w:val="333333"/>
          <w:sz w:val="22"/>
          <w:szCs w:val="22"/>
        </w:rPr>
        <w:t>12-17 years</w:t>
      </w:r>
      <w:r w:rsidRPr="00F01AFE">
        <w:rPr>
          <w:rStyle w:val="hps"/>
          <w:color w:val="333333"/>
          <w:szCs w:val="24"/>
        </w:rPr>
        <w:t xml:space="preserve"> were exposed to physical violence from the occupation forces during the period of 12 months before July/2011 among them 5% in the West Bank compared to 0.3% in Gaza Strip this percent was 0.4% among females</w:t>
      </w:r>
      <w:r w:rsidR="00EB30B1">
        <w:rPr>
          <w:rStyle w:val="hps"/>
          <w:color w:val="333333"/>
          <w:szCs w:val="24"/>
        </w:rPr>
        <w:t xml:space="preserve"> </w:t>
      </w:r>
      <w:r w:rsidR="00EB30B1" w:rsidRPr="00EB30B1">
        <w:rPr>
          <w:rStyle w:val="hps"/>
          <w:color w:val="333333"/>
          <w:sz w:val="22"/>
          <w:szCs w:val="22"/>
        </w:rPr>
        <w:t>12-17 years</w:t>
      </w:r>
      <w:r w:rsidRPr="00F01AFE">
        <w:rPr>
          <w:rStyle w:val="hps"/>
          <w:color w:val="333333"/>
          <w:szCs w:val="24"/>
        </w:rPr>
        <w:t>, 0.7% in the West Bank while, no case were reported  about females physical violence by the occupation  in Gaza Strip due to</w:t>
      </w:r>
      <w:r w:rsidRPr="009758B0">
        <w:rPr>
          <w:rStyle w:val="hps"/>
          <w:color w:val="333333"/>
          <w:szCs w:val="24"/>
        </w:rPr>
        <w:t xml:space="preserve"> </w:t>
      </w:r>
      <w:r w:rsidRPr="00F01AFE">
        <w:rPr>
          <w:rStyle w:val="hps"/>
          <w:color w:val="333333"/>
          <w:szCs w:val="24"/>
        </w:rPr>
        <w:t>the absence of direct contacts with occupation forces over there .</w:t>
      </w:r>
      <w:r w:rsidRPr="002C168C">
        <w:t xml:space="preserve"> </w:t>
      </w:r>
    </w:p>
    <w:p w:rsidR="003853A5" w:rsidRPr="003853A5" w:rsidRDefault="003853A5" w:rsidP="003853A5">
      <w:pPr>
        <w:bidi w:val="0"/>
        <w:jc w:val="both"/>
        <w:rPr>
          <w:sz w:val="14"/>
          <w:szCs w:val="10"/>
        </w:rPr>
      </w:pPr>
    </w:p>
    <w:p w:rsidR="003853A5" w:rsidRDefault="003853A5" w:rsidP="003853A5">
      <w:pPr>
        <w:pStyle w:val="ListParagraph"/>
        <w:ind w:left="0"/>
        <w:jc w:val="both"/>
        <w:rPr>
          <w:rStyle w:val="hps"/>
          <w:rFonts w:ascii="Times New Roman" w:hAnsi="Times New Roman" w:cs="Times New Roman"/>
          <w:color w:val="333333"/>
          <w:sz w:val="24"/>
          <w:szCs w:val="24"/>
        </w:rPr>
      </w:pPr>
      <w:r w:rsidRPr="00F01AFE">
        <w:rPr>
          <w:rStyle w:val="hps"/>
          <w:rFonts w:ascii="Times New Roman" w:hAnsi="Times New Roman" w:cs="Times New Roman"/>
          <w:color w:val="333333"/>
          <w:sz w:val="24"/>
          <w:szCs w:val="24"/>
        </w:rPr>
        <w:t>About 6% of male children</w:t>
      </w:r>
      <w:r w:rsidR="00EB30B1" w:rsidRPr="00EB30B1">
        <w:rPr>
          <w:rStyle w:val="hps"/>
          <w:rFonts w:ascii="Times New Roman" w:hAnsi="Times New Roman" w:cs="Times New Roman"/>
          <w:color w:val="333333"/>
          <w:sz w:val="24"/>
          <w:szCs w:val="24"/>
        </w:rPr>
        <w:t xml:space="preserve"> </w:t>
      </w:r>
      <w:r w:rsidR="007013D9">
        <w:rPr>
          <w:rStyle w:val="hps"/>
          <w:rFonts w:ascii="Times New Roman" w:hAnsi="Times New Roman" w:cs="Times New Roman"/>
          <w:color w:val="333333"/>
          <w:sz w:val="24"/>
          <w:szCs w:val="24"/>
        </w:rPr>
        <w:t xml:space="preserve">of </w:t>
      </w:r>
      <w:r w:rsidR="00EB30B1" w:rsidRPr="00EB30B1">
        <w:rPr>
          <w:rStyle w:val="hps"/>
          <w:rFonts w:ascii="Times New Roman" w:hAnsi="Times New Roman" w:cs="Times New Roman"/>
          <w:color w:val="333333"/>
          <w:sz w:val="24"/>
          <w:szCs w:val="24"/>
        </w:rPr>
        <w:t>12-17 years</w:t>
      </w:r>
      <w:r w:rsidR="00EB30B1">
        <w:rPr>
          <w:rStyle w:val="hps"/>
          <w:rFonts w:ascii="Times New Roman" w:hAnsi="Times New Roman" w:cs="Times New Roman"/>
          <w:color w:val="333333"/>
          <w:sz w:val="24"/>
          <w:szCs w:val="24"/>
        </w:rPr>
        <w:t xml:space="preserve"> </w:t>
      </w:r>
      <w:r w:rsidR="007013D9">
        <w:rPr>
          <w:rStyle w:val="hps"/>
          <w:rFonts w:ascii="Times New Roman" w:hAnsi="Times New Roman" w:cs="Times New Roman"/>
          <w:color w:val="333333"/>
          <w:sz w:val="24"/>
          <w:szCs w:val="24"/>
        </w:rPr>
        <w:t>were</w:t>
      </w:r>
      <w:r w:rsidRPr="00F01AFE">
        <w:rPr>
          <w:rStyle w:val="hps"/>
          <w:rFonts w:ascii="Times New Roman" w:hAnsi="Times New Roman" w:cs="Times New Roman"/>
          <w:color w:val="333333"/>
          <w:sz w:val="24"/>
          <w:szCs w:val="24"/>
        </w:rPr>
        <w:t xml:space="preserve"> exposed to psychological violence of the occupation forces and settlers during the period of 12</w:t>
      </w:r>
      <w:r w:rsidRPr="00F01AFE">
        <w:rPr>
          <w:rStyle w:val="hps"/>
          <w:sz w:val="24"/>
          <w:szCs w:val="24"/>
        </w:rPr>
        <w:t xml:space="preserve"> </w:t>
      </w:r>
      <w:r w:rsidRPr="00F01AFE">
        <w:rPr>
          <w:rStyle w:val="hps"/>
          <w:rFonts w:ascii="Times New Roman" w:hAnsi="Times New Roman" w:cs="Times New Roman"/>
          <w:color w:val="333333"/>
          <w:sz w:val="24"/>
          <w:szCs w:val="24"/>
        </w:rPr>
        <w:t>months</w:t>
      </w:r>
      <w:r w:rsidRPr="00F01AFE">
        <w:rPr>
          <w:rStyle w:val="hps"/>
          <w:sz w:val="24"/>
          <w:szCs w:val="24"/>
        </w:rPr>
        <w:t xml:space="preserve"> </w:t>
      </w:r>
      <w:r w:rsidRPr="00F01AFE">
        <w:rPr>
          <w:rStyle w:val="hps"/>
          <w:rFonts w:ascii="Times New Roman" w:hAnsi="Times New Roman" w:cs="Times New Roman"/>
          <w:color w:val="333333"/>
          <w:sz w:val="24"/>
          <w:szCs w:val="24"/>
        </w:rPr>
        <w:t>before</w:t>
      </w:r>
      <w:r w:rsidRPr="00F01AFE">
        <w:rPr>
          <w:rStyle w:val="hps"/>
          <w:sz w:val="24"/>
          <w:szCs w:val="24"/>
        </w:rPr>
        <w:t xml:space="preserve"> </w:t>
      </w:r>
      <w:r w:rsidRPr="00F01AFE">
        <w:rPr>
          <w:rStyle w:val="hps"/>
          <w:rFonts w:ascii="Times New Roman" w:hAnsi="Times New Roman" w:cs="Times New Roman"/>
          <w:color w:val="333333"/>
          <w:sz w:val="24"/>
          <w:szCs w:val="24"/>
        </w:rPr>
        <w:t>July/2011.  8.7% were in the West Bank compared to 0.8% in Gaza Strip, this percent was 1.2%</w:t>
      </w:r>
      <w:r>
        <w:rPr>
          <w:rStyle w:val="hps"/>
          <w:rFonts w:ascii="Times New Roman" w:hAnsi="Times New Roman" w:cs="Times New Roman"/>
          <w:color w:val="333333"/>
          <w:sz w:val="24"/>
          <w:szCs w:val="24"/>
        </w:rPr>
        <w:t>.  1.7%</w:t>
      </w:r>
      <w:r w:rsidRPr="00F01AFE">
        <w:rPr>
          <w:rStyle w:val="hps"/>
          <w:rFonts w:ascii="Times New Roman" w:hAnsi="Times New Roman" w:cs="Times New Roman"/>
          <w:color w:val="333333"/>
          <w:sz w:val="24"/>
          <w:szCs w:val="24"/>
        </w:rPr>
        <w:t xml:space="preserve"> among females in the West Bank compared to 0.4% in Gaza Strip. </w:t>
      </w:r>
    </w:p>
    <w:p w:rsidR="003853A5" w:rsidRPr="004C727A" w:rsidRDefault="003853A5" w:rsidP="003853A5">
      <w:pPr>
        <w:pStyle w:val="ListParagraph"/>
        <w:ind w:left="0"/>
        <w:jc w:val="both"/>
        <w:rPr>
          <w:rStyle w:val="hps"/>
          <w:rFonts w:ascii="Times New Roman" w:hAnsi="Times New Roman" w:cs="Times New Roman"/>
          <w:color w:val="333333"/>
          <w:sz w:val="2"/>
          <w:szCs w:val="2"/>
        </w:rPr>
      </w:pPr>
    </w:p>
    <w:p w:rsidR="003F3652" w:rsidRDefault="003F3652" w:rsidP="00BA65FB">
      <w:pPr>
        <w:bidi w:val="0"/>
        <w:jc w:val="center"/>
        <w:rPr>
          <w:rStyle w:val="hps"/>
          <w:b/>
          <w:bCs/>
          <w:color w:val="333333"/>
          <w:szCs w:val="24"/>
        </w:rPr>
      </w:pPr>
      <w:r w:rsidRPr="006B41D5">
        <w:rPr>
          <w:b/>
          <w:bCs/>
          <w:sz w:val="22"/>
          <w:szCs w:val="18"/>
        </w:rPr>
        <w:t>Figure (</w:t>
      </w:r>
      <w:r w:rsidRPr="006B41D5">
        <w:rPr>
          <w:rFonts w:hint="cs"/>
          <w:b/>
          <w:bCs/>
          <w:sz w:val="28"/>
          <w:szCs w:val="22"/>
          <w:rtl/>
        </w:rPr>
        <w:t>5</w:t>
      </w:r>
      <w:r w:rsidRPr="006B41D5">
        <w:rPr>
          <w:b/>
          <w:bCs/>
        </w:rPr>
        <w:t>-</w:t>
      </w:r>
      <w:r w:rsidRPr="006B41D5">
        <w:rPr>
          <w:b/>
          <w:bCs/>
          <w:sz w:val="22"/>
          <w:szCs w:val="18"/>
        </w:rPr>
        <w:t>2):</w:t>
      </w:r>
      <w:r w:rsidRPr="006B41D5">
        <w:rPr>
          <w:sz w:val="22"/>
          <w:szCs w:val="18"/>
        </w:rPr>
        <w:t xml:space="preserve"> </w:t>
      </w:r>
      <w:r w:rsidR="0044493D" w:rsidRPr="006B41D5">
        <w:rPr>
          <w:rStyle w:val="hps"/>
          <w:b/>
          <w:bCs/>
          <w:color w:val="333333"/>
          <w:sz w:val="22"/>
          <w:szCs w:val="22"/>
        </w:rPr>
        <w:t xml:space="preserve">Percentage of Children </w:t>
      </w:r>
      <w:r w:rsidR="007013D9">
        <w:rPr>
          <w:rStyle w:val="hps"/>
          <w:b/>
          <w:bCs/>
          <w:color w:val="333333"/>
          <w:sz w:val="22"/>
          <w:szCs w:val="22"/>
        </w:rPr>
        <w:t xml:space="preserve">of </w:t>
      </w:r>
      <w:r w:rsidR="0044493D" w:rsidRPr="006B41D5">
        <w:rPr>
          <w:rStyle w:val="hps"/>
          <w:b/>
          <w:bCs/>
          <w:color w:val="333333"/>
          <w:sz w:val="22"/>
          <w:szCs w:val="22"/>
        </w:rPr>
        <w:t xml:space="preserve">(12-17 years) who exposed to physical violence from the occupation forces </w:t>
      </w:r>
      <w:r w:rsidR="004C727A" w:rsidRPr="004C727A">
        <w:rPr>
          <w:rStyle w:val="hps"/>
          <w:b/>
          <w:bCs/>
          <w:color w:val="333333"/>
          <w:sz w:val="22"/>
          <w:szCs w:val="22"/>
        </w:rPr>
        <w:t>during the period of 12</w:t>
      </w:r>
      <w:r w:rsidR="004C727A" w:rsidRPr="004C727A">
        <w:rPr>
          <w:rStyle w:val="hps"/>
          <w:b/>
          <w:bCs/>
          <w:sz w:val="22"/>
          <w:szCs w:val="22"/>
        </w:rPr>
        <w:t xml:space="preserve"> </w:t>
      </w:r>
      <w:r w:rsidR="004C727A" w:rsidRPr="004C727A">
        <w:rPr>
          <w:rStyle w:val="hps"/>
          <w:b/>
          <w:bCs/>
          <w:color w:val="333333"/>
          <w:sz w:val="22"/>
          <w:szCs w:val="22"/>
        </w:rPr>
        <w:t>months</w:t>
      </w:r>
      <w:r w:rsidR="004C727A" w:rsidRPr="004C727A">
        <w:rPr>
          <w:rStyle w:val="hps"/>
          <w:b/>
          <w:bCs/>
          <w:sz w:val="22"/>
          <w:szCs w:val="22"/>
        </w:rPr>
        <w:t xml:space="preserve"> </w:t>
      </w:r>
      <w:r w:rsidR="004C727A" w:rsidRPr="004C727A">
        <w:rPr>
          <w:rStyle w:val="hps"/>
          <w:b/>
          <w:bCs/>
          <w:color w:val="333333"/>
          <w:sz w:val="22"/>
          <w:szCs w:val="22"/>
        </w:rPr>
        <w:t>that preceded July</w:t>
      </w:r>
      <w:r w:rsidR="004C727A" w:rsidRPr="004C727A">
        <w:rPr>
          <w:rStyle w:val="hps"/>
          <w:b/>
          <w:bCs/>
          <w:sz w:val="22"/>
          <w:szCs w:val="22"/>
        </w:rPr>
        <w:t xml:space="preserve"> </w:t>
      </w:r>
      <w:r w:rsidR="004C727A" w:rsidRPr="004C727A">
        <w:rPr>
          <w:rStyle w:val="hps"/>
          <w:b/>
          <w:bCs/>
          <w:color w:val="333333"/>
          <w:sz w:val="22"/>
          <w:szCs w:val="22"/>
        </w:rPr>
        <w:t xml:space="preserve">/ 2011 </w:t>
      </w:r>
      <w:r w:rsidR="0044493D" w:rsidRPr="006B41D5">
        <w:rPr>
          <w:rStyle w:val="hps"/>
          <w:b/>
          <w:bCs/>
          <w:color w:val="333333"/>
          <w:sz w:val="22"/>
          <w:szCs w:val="22"/>
        </w:rPr>
        <w:t xml:space="preserve">by sex and </w:t>
      </w:r>
      <w:r w:rsidRPr="006B41D5">
        <w:rPr>
          <w:rStyle w:val="hps"/>
          <w:b/>
          <w:bCs/>
          <w:color w:val="333333"/>
          <w:sz w:val="22"/>
          <w:szCs w:val="22"/>
        </w:rPr>
        <w:t>region</w:t>
      </w:r>
    </w:p>
    <w:p w:rsidR="0044493D" w:rsidRPr="0044493D" w:rsidRDefault="003F3652" w:rsidP="003F3652">
      <w:pPr>
        <w:bidi w:val="0"/>
        <w:rPr>
          <w:rStyle w:val="hps"/>
          <w:b/>
          <w:bCs/>
          <w:color w:val="333333"/>
          <w:szCs w:val="24"/>
        </w:rPr>
      </w:pPr>
      <w:r w:rsidRPr="003F3652">
        <w:rPr>
          <w:rStyle w:val="hps"/>
          <w:b/>
          <w:bCs/>
          <w:color w:val="333333"/>
          <w:lang w:eastAsia="en-US"/>
        </w:rPr>
        <w:drawing>
          <wp:inline distT="0" distB="0" distL="0" distR="0">
            <wp:extent cx="5648325" cy="2047875"/>
            <wp:effectExtent l="57150" t="0" r="66675" b="85725"/>
            <wp:docPr id="1"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83621" w:rsidRPr="00391141" w:rsidRDefault="00883621" w:rsidP="00883621">
      <w:pPr>
        <w:bidi w:val="0"/>
        <w:jc w:val="both"/>
        <w:rPr>
          <w:b/>
          <w:bCs/>
          <w:sz w:val="2"/>
          <w:szCs w:val="2"/>
          <w:lang w:eastAsia="en-US"/>
        </w:rPr>
      </w:pPr>
    </w:p>
    <w:p w:rsidR="009758B0" w:rsidRDefault="002C168C" w:rsidP="00883621">
      <w:pPr>
        <w:bidi w:val="0"/>
        <w:jc w:val="both"/>
        <w:rPr>
          <w:i/>
          <w:iCs/>
          <w:sz w:val="16"/>
          <w:szCs w:val="12"/>
        </w:rPr>
      </w:pPr>
      <w:r w:rsidRPr="002C168C">
        <w:rPr>
          <w:b/>
          <w:bCs/>
          <w:sz w:val="16"/>
          <w:szCs w:val="12"/>
          <w:lang w:eastAsia="en-US"/>
        </w:rPr>
        <w:t>Source:</w:t>
      </w:r>
      <w:r w:rsidR="009758B0" w:rsidRPr="002C168C">
        <w:rPr>
          <w:b/>
          <w:bCs/>
          <w:sz w:val="16"/>
          <w:szCs w:val="12"/>
          <w:lang w:eastAsia="en-US"/>
        </w:rPr>
        <w:t xml:space="preserve">Palestinian Central Bureau of Statistics, 2011. </w:t>
      </w:r>
      <w:r w:rsidR="009758B0" w:rsidRPr="002C168C">
        <w:rPr>
          <w:i/>
          <w:iCs/>
          <w:sz w:val="16"/>
          <w:szCs w:val="12"/>
        </w:rPr>
        <w:t>Press Release Main Findings of Violence survey in  the Palestinian Society,</w:t>
      </w:r>
      <w:r w:rsidR="009758B0" w:rsidRPr="002C168C">
        <w:rPr>
          <w:i/>
          <w:iCs/>
          <w:sz w:val="16"/>
          <w:szCs w:val="12"/>
          <w:lang w:eastAsia="en-US"/>
        </w:rPr>
        <w:t xml:space="preserve"> 2011</w:t>
      </w:r>
      <w:r w:rsidR="009758B0" w:rsidRPr="002C168C">
        <w:rPr>
          <w:sz w:val="16"/>
          <w:szCs w:val="12"/>
          <w:lang w:eastAsia="en-US"/>
        </w:rPr>
        <w:t xml:space="preserve">.  </w:t>
      </w:r>
      <w:r w:rsidR="009758B0" w:rsidRPr="00C5641D">
        <w:rPr>
          <w:b/>
          <w:bCs/>
          <w:sz w:val="16"/>
          <w:szCs w:val="12"/>
          <w:lang w:eastAsia="en-US"/>
        </w:rPr>
        <w:t>Ramallah - Palestine</w:t>
      </w:r>
      <w:r w:rsidR="009758B0" w:rsidRPr="002C168C">
        <w:rPr>
          <w:sz w:val="16"/>
          <w:szCs w:val="12"/>
          <w:lang w:eastAsia="en-US"/>
        </w:rPr>
        <w:t>.</w:t>
      </w:r>
    </w:p>
    <w:p w:rsidR="00BA65FB" w:rsidRDefault="00BA65FB" w:rsidP="00BA65FB">
      <w:pPr>
        <w:bidi w:val="0"/>
        <w:jc w:val="both"/>
        <w:rPr>
          <w:i/>
          <w:iCs/>
          <w:sz w:val="16"/>
          <w:szCs w:val="12"/>
        </w:rPr>
      </w:pPr>
    </w:p>
    <w:p w:rsidR="003853A5" w:rsidRPr="005E7873" w:rsidRDefault="003853A5" w:rsidP="003853A5">
      <w:pPr>
        <w:pStyle w:val="ListParagraph"/>
        <w:tabs>
          <w:tab w:val="right" w:pos="142"/>
        </w:tabs>
        <w:ind w:left="0"/>
        <w:jc w:val="both"/>
        <w:rPr>
          <w:rStyle w:val="hps"/>
          <w:rFonts w:ascii="Times New Roman" w:hAnsi="Times New Roman" w:cs="Times New Roman"/>
          <w:b/>
          <w:bCs/>
          <w:color w:val="333333"/>
          <w:sz w:val="24"/>
          <w:szCs w:val="24"/>
        </w:rPr>
      </w:pPr>
      <w:r w:rsidRPr="005E7873">
        <w:rPr>
          <w:rStyle w:val="hps"/>
          <w:rFonts w:ascii="Times New Roman" w:hAnsi="Times New Roman" w:cs="Times New Roman"/>
          <w:b/>
          <w:bCs/>
          <w:sz w:val="24"/>
          <w:szCs w:val="24"/>
        </w:rPr>
        <w:lastRenderedPageBreak/>
        <w:t xml:space="preserve">Educational </w:t>
      </w:r>
      <w:r>
        <w:rPr>
          <w:rStyle w:val="hps"/>
          <w:rFonts w:ascii="Times New Roman" w:hAnsi="Times New Roman" w:cs="Times New Roman"/>
          <w:b/>
          <w:bCs/>
          <w:sz w:val="24"/>
          <w:szCs w:val="24"/>
        </w:rPr>
        <w:t>I</w:t>
      </w:r>
      <w:r w:rsidRPr="005E7873">
        <w:rPr>
          <w:rStyle w:val="hps"/>
          <w:rFonts w:ascii="Times New Roman" w:hAnsi="Times New Roman" w:cs="Times New Roman"/>
          <w:b/>
          <w:bCs/>
          <w:sz w:val="24"/>
          <w:szCs w:val="24"/>
        </w:rPr>
        <w:t xml:space="preserve">nstitutions </w:t>
      </w:r>
      <w:r>
        <w:rPr>
          <w:rStyle w:val="hps"/>
          <w:rFonts w:ascii="Times New Roman" w:hAnsi="Times New Roman" w:cs="Times New Roman"/>
          <w:b/>
          <w:bCs/>
          <w:sz w:val="24"/>
          <w:szCs w:val="24"/>
        </w:rPr>
        <w:t>O</w:t>
      </w:r>
      <w:r w:rsidRPr="005E7873">
        <w:rPr>
          <w:rStyle w:val="hps"/>
          <w:rFonts w:ascii="Times New Roman" w:hAnsi="Times New Roman" w:cs="Times New Roman"/>
          <w:b/>
          <w:bCs/>
          <w:sz w:val="24"/>
          <w:szCs w:val="24"/>
        </w:rPr>
        <w:t xml:space="preserve">ne of the </w:t>
      </w:r>
      <w:r>
        <w:rPr>
          <w:rStyle w:val="hps"/>
          <w:rFonts w:ascii="Times New Roman" w:hAnsi="Times New Roman" w:cs="Times New Roman"/>
          <w:b/>
          <w:bCs/>
          <w:sz w:val="24"/>
          <w:szCs w:val="24"/>
        </w:rPr>
        <w:t>P</w:t>
      </w:r>
      <w:r w:rsidRPr="005E7873">
        <w:rPr>
          <w:rStyle w:val="hps"/>
          <w:rFonts w:ascii="Times New Roman" w:hAnsi="Times New Roman" w:cs="Times New Roman"/>
          <w:b/>
          <w:bCs/>
          <w:sz w:val="24"/>
          <w:szCs w:val="24"/>
        </w:rPr>
        <w:t xml:space="preserve">laces </w:t>
      </w:r>
      <w:r>
        <w:rPr>
          <w:rStyle w:val="hps"/>
          <w:rFonts w:ascii="Times New Roman" w:hAnsi="Times New Roman" w:cs="Times New Roman"/>
          <w:b/>
          <w:bCs/>
          <w:sz w:val="24"/>
          <w:szCs w:val="24"/>
        </w:rPr>
        <w:t>W</w:t>
      </w:r>
      <w:r w:rsidRPr="005E7873">
        <w:rPr>
          <w:rStyle w:val="hps"/>
          <w:rFonts w:ascii="Times New Roman" w:hAnsi="Times New Roman" w:cs="Times New Roman"/>
          <w:b/>
          <w:bCs/>
          <w:sz w:val="24"/>
          <w:szCs w:val="24"/>
        </w:rPr>
        <w:t xml:space="preserve">here </w:t>
      </w:r>
      <w:r>
        <w:rPr>
          <w:rStyle w:val="hps"/>
          <w:rFonts w:ascii="Times New Roman" w:hAnsi="Times New Roman" w:cs="Times New Roman"/>
          <w:b/>
          <w:bCs/>
          <w:sz w:val="24"/>
          <w:szCs w:val="24"/>
        </w:rPr>
        <w:t>C</w:t>
      </w:r>
      <w:r w:rsidRPr="005E7873">
        <w:rPr>
          <w:rStyle w:val="hps"/>
          <w:rFonts w:ascii="Times New Roman" w:hAnsi="Times New Roman" w:cs="Times New Roman"/>
          <w:b/>
          <w:bCs/>
          <w:sz w:val="24"/>
          <w:szCs w:val="24"/>
        </w:rPr>
        <w:t xml:space="preserve">hildren </w:t>
      </w:r>
      <w:r>
        <w:rPr>
          <w:rStyle w:val="hps"/>
          <w:rFonts w:ascii="Times New Roman" w:hAnsi="Times New Roman" w:cs="Times New Roman"/>
          <w:b/>
          <w:bCs/>
          <w:sz w:val="24"/>
          <w:szCs w:val="24"/>
        </w:rPr>
        <w:t>Were</w:t>
      </w:r>
      <w:r w:rsidRPr="005E7873">
        <w:rPr>
          <w:rStyle w:val="hps"/>
          <w:rFonts w:ascii="Times New Roman" w:hAnsi="Times New Roman" w:cs="Times New Roman"/>
          <w:b/>
          <w:bCs/>
          <w:sz w:val="24"/>
          <w:szCs w:val="24"/>
        </w:rPr>
        <w:t xml:space="preserve"> </w:t>
      </w:r>
      <w:r>
        <w:rPr>
          <w:rStyle w:val="hps"/>
          <w:rFonts w:ascii="Times New Roman" w:hAnsi="Times New Roman" w:cs="Times New Roman"/>
          <w:b/>
          <w:bCs/>
          <w:sz w:val="24"/>
          <w:szCs w:val="24"/>
        </w:rPr>
        <w:t>E</w:t>
      </w:r>
      <w:r w:rsidRPr="005E7873">
        <w:rPr>
          <w:rStyle w:val="hps"/>
          <w:rFonts w:ascii="Times New Roman" w:hAnsi="Times New Roman" w:cs="Times New Roman"/>
          <w:b/>
          <w:bCs/>
          <w:sz w:val="24"/>
          <w:szCs w:val="24"/>
        </w:rPr>
        <w:t xml:space="preserve">xposed to </w:t>
      </w:r>
      <w:r>
        <w:rPr>
          <w:rStyle w:val="hps"/>
          <w:rFonts w:ascii="Times New Roman" w:hAnsi="Times New Roman" w:cs="Times New Roman"/>
          <w:b/>
          <w:bCs/>
          <w:sz w:val="24"/>
          <w:szCs w:val="24"/>
        </w:rPr>
        <w:t>V</w:t>
      </w:r>
      <w:r w:rsidRPr="005E7873">
        <w:rPr>
          <w:rStyle w:val="hps"/>
          <w:rFonts w:ascii="Times New Roman" w:hAnsi="Times New Roman" w:cs="Times New Roman"/>
          <w:b/>
          <w:bCs/>
          <w:sz w:val="24"/>
          <w:szCs w:val="24"/>
        </w:rPr>
        <w:t>iolence</w:t>
      </w:r>
    </w:p>
    <w:p w:rsidR="003853A5" w:rsidRDefault="003853A5" w:rsidP="003853A5">
      <w:pPr>
        <w:pStyle w:val="ListParagraph"/>
        <w:ind w:left="0"/>
        <w:jc w:val="both"/>
        <w:rPr>
          <w:rStyle w:val="hps"/>
          <w:rFonts w:ascii="Times New Roman" w:hAnsi="Times New Roman" w:cs="Times New Roman"/>
          <w:sz w:val="24"/>
          <w:szCs w:val="24"/>
        </w:rPr>
      </w:pPr>
      <w:r w:rsidRPr="00F01AFE">
        <w:rPr>
          <w:rStyle w:val="hps"/>
          <w:rFonts w:ascii="Times New Roman" w:hAnsi="Times New Roman" w:cs="Times New Roman"/>
          <w:color w:val="333333"/>
          <w:sz w:val="24"/>
          <w:szCs w:val="24"/>
        </w:rPr>
        <w:t xml:space="preserve">More than one fifth of the student’s age </w:t>
      </w:r>
      <w:r w:rsidR="007013D9">
        <w:rPr>
          <w:rStyle w:val="hps"/>
          <w:rFonts w:ascii="Times New Roman" w:hAnsi="Times New Roman" w:cs="Times New Roman"/>
          <w:color w:val="333333"/>
          <w:sz w:val="24"/>
          <w:szCs w:val="24"/>
        </w:rPr>
        <w:t xml:space="preserve">at </w:t>
      </w:r>
      <w:r w:rsidRPr="00F01AFE">
        <w:rPr>
          <w:rStyle w:val="hps"/>
          <w:rFonts w:ascii="Times New Roman" w:hAnsi="Times New Roman" w:cs="Times New Roman"/>
          <w:color w:val="333333"/>
          <w:sz w:val="24"/>
          <w:szCs w:val="24"/>
        </w:rPr>
        <w:t>12-17 years were exposed to</w:t>
      </w:r>
      <w:r w:rsidRPr="00F01AFE">
        <w:rPr>
          <w:rStyle w:val="hps"/>
          <w:rFonts w:ascii="Times New Roman" w:hAnsi="Times New Roman" w:cs="Times New Roman"/>
          <w:sz w:val="24"/>
          <w:szCs w:val="24"/>
        </w:rPr>
        <w:t> </w:t>
      </w:r>
      <w:r w:rsidRPr="00F01AFE">
        <w:rPr>
          <w:rStyle w:val="hps"/>
          <w:rFonts w:ascii="Times New Roman" w:hAnsi="Times New Roman" w:cs="Times New Roman"/>
          <w:color w:val="333333"/>
          <w:sz w:val="24"/>
          <w:szCs w:val="24"/>
        </w:rPr>
        <w:t>psychological violence at</w:t>
      </w:r>
      <w:r w:rsidRPr="00F01AFE">
        <w:rPr>
          <w:rStyle w:val="hps"/>
          <w:rFonts w:ascii="Times New Roman" w:hAnsi="Times New Roman" w:cs="Times New Roman"/>
          <w:sz w:val="24"/>
          <w:szCs w:val="24"/>
        </w:rPr>
        <w:t> </w:t>
      </w:r>
      <w:r w:rsidR="00B96652">
        <w:rPr>
          <w:rStyle w:val="hps"/>
          <w:rFonts w:ascii="Times New Roman" w:hAnsi="Times New Roman" w:cs="Times New Roman"/>
          <w:color w:val="333333"/>
          <w:sz w:val="24"/>
          <w:szCs w:val="24"/>
        </w:rPr>
        <w:t>schools</w:t>
      </w:r>
      <w:r w:rsidRPr="00F01AFE">
        <w:rPr>
          <w:rStyle w:val="hps"/>
          <w:rFonts w:ascii="Times New Roman" w:hAnsi="Times New Roman" w:cs="Times New Roman"/>
          <w:color w:val="333333"/>
          <w:sz w:val="24"/>
          <w:szCs w:val="24"/>
        </w:rPr>
        <w:t>, out of the students who attended schools during the period of 12</w:t>
      </w:r>
      <w:r w:rsidRPr="00F01AFE">
        <w:rPr>
          <w:rFonts w:ascii="Times New Roman" w:hAnsi="Times New Roman" w:cs="Times New Roman"/>
          <w:color w:val="333333"/>
          <w:sz w:val="24"/>
          <w:szCs w:val="24"/>
        </w:rPr>
        <w:t xml:space="preserve"> </w:t>
      </w:r>
      <w:r w:rsidRPr="00F01AFE">
        <w:rPr>
          <w:rStyle w:val="hps"/>
          <w:rFonts w:ascii="Times New Roman" w:hAnsi="Times New Roman" w:cs="Times New Roman"/>
          <w:color w:val="333333"/>
          <w:sz w:val="24"/>
          <w:szCs w:val="24"/>
        </w:rPr>
        <w:t>months</w:t>
      </w:r>
      <w:r w:rsidRPr="00F01AFE">
        <w:rPr>
          <w:rFonts w:ascii="Times New Roman" w:hAnsi="Times New Roman" w:cs="Times New Roman"/>
          <w:color w:val="333333"/>
          <w:sz w:val="24"/>
          <w:szCs w:val="24"/>
        </w:rPr>
        <w:t xml:space="preserve"> </w:t>
      </w:r>
      <w:r w:rsidRPr="00F01AFE">
        <w:rPr>
          <w:rStyle w:val="hps"/>
          <w:rFonts w:ascii="Times New Roman" w:hAnsi="Times New Roman" w:cs="Times New Roman"/>
          <w:color w:val="333333"/>
          <w:sz w:val="24"/>
          <w:szCs w:val="24"/>
        </w:rPr>
        <w:t>that preceded the</w:t>
      </w:r>
      <w:r w:rsidRPr="00F01AFE">
        <w:rPr>
          <w:rFonts w:ascii="Times New Roman" w:hAnsi="Times New Roman" w:cs="Times New Roman"/>
          <w:color w:val="333333"/>
          <w:sz w:val="24"/>
          <w:szCs w:val="24"/>
        </w:rPr>
        <w:t xml:space="preserve"> </w:t>
      </w:r>
      <w:r w:rsidRPr="00F01AFE">
        <w:rPr>
          <w:rStyle w:val="hps"/>
          <w:rFonts w:ascii="Times New Roman" w:hAnsi="Times New Roman" w:cs="Times New Roman"/>
          <w:color w:val="333333"/>
          <w:sz w:val="24"/>
          <w:szCs w:val="24"/>
        </w:rPr>
        <w:t>July</w:t>
      </w:r>
      <w:r w:rsidRPr="00F01AFE">
        <w:rPr>
          <w:rFonts w:ascii="Times New Roman" w:hAnsi="Times New Roman" w:cs="Times New Roman"/>
          <w:color w:val="333333"/>
          <w:sz w:val="24"/>
          <w:szCs w:val="24"/>
        </w:rPr>
        <w:t xml:space="preserve"> </w:t>
      </w:r>
      <w:r w:rsidRPr="00F01AFE">
        <w:rPr>
          <w:rStyle w:val="hps"/>
          <w:rFonts w:ascii="Times New Roman" w:hAnsi="Times New Roman" w:cs="Times New Roman"/>
          <w:color w:val="333333"/>
          <w:sz w:val="24"/>
          <w:szCs w:val="24"/>
        </w:rPr>
        <w:t xml:space="preserve">/ 2011; 21.6% in West Bank compared to 22.7% in Gaza Strip.  The results indicated that, psychological violence was the most practiced violence against these students by their colleagues or teachers, 25.0% and 27.6% respectively. On the other hand the rate of those who were exposed to </w:t>
      </w:r>
      <w:r w:rsidRPr="00F01AFE">
        <w:rPr>
          <w:rStyle w:val="hps"/>
          <w:rFonts w:ascii="Times New Roman" w:hAnsi="Times New Roman" w:cs="Times New Roman"/>
          <w:sz w:val="24"/>
          <w:szCs w:val="24"/>
        </w:rPr>
        <w:t>physical violence by their teachers was 21.4% compared to 14.2% by their fellow students.</w:t>
      </w:r>
    </w:p>
    <w:p w:rsidR="003853A5" w:rsidRDefault="003853A5" w:rsidP="003853A5">
      <w:pPr>
        <w:pStyle w:val="ListParagraph"/>
        <w:ind w:left="0"/>
        <w:jc w:val="both"/>
        <w:rPr>
          <w:rStyle w:val="hps"/>
          <w:rFonts w:ascii="Times New Roman" w:hAnsi="Times New Roman" w:cs="Times New Roman"/>
          <w:sz w:val="24"/>
          <w:szCs w:val="24"/>
        </w:rPr>
      </w:pPr>
    </w:p>
    <w:p w:rsidR="00C43F9F" w:rsidRPr="00650072" w:rsidRDefault="00CC39E1" w:rsidP="00BA65FB">
      <w:pPr>
        <w:pStyle w:val="ListParagraph"/>
        <w:ind w:left="0"/>
        <w:jc w:val="center"/>
        <w:rPr>
          <w:rStyle w:val="hps"/>
          <w:rFonts w:ascii="Times New Roman" w:hAnsi="Times New Roman" w:cs="Times New Roman"/>
          <w:b/>
          <w:bCs/>
          <w:color w:val="333333"/>
        </w:rPr>
      </w:pPr>
      <w:r w:rsidRPr="00CC39E1">
        <w:rPr>
          <w:rStyle w:val="hps"/>
          <w:rFonts w:ascii="Times New Roman" w:hAnsi="Times New Roman" w:cs="Times New Roman"/>
          <w:b/>
          <w:bCs/>
          <w:color w:val="333333"/>
        </w:rPr>
        <w:t>Table (5-</w:t>
      </w:r>
      <w:r>
        <w:rPr>
          <w:rStyle w:val="hps"/>
          <w:rFonts w:ascii="Times New Roman" w:hAnsi="Times New Roman" w:cs="Times New Roman"/>
          <w:b/>
          <w:bCs/>
          <w:color w:val="333333"/>
        </w:rPr>
        <w:t>7</w:t>
      </w:r>
      <w:r w:rsidRPr="00CC39E1">
        <w:rPr>
          <w:rStyle w:val="hps"/>
          <w:rFonts w:ascii="Times New Roman" w:hAnsi="Times New Roman" w:cs="Times New Roman"/>
          <w:b/>
          <w:bCs/>
          <w:color w:val="333333"/>
        </w:rPr>
        <w:t>):</w:t>
      </w:r>
      <w:r>
        <w:rPr>
          <w:rStyle w:val="hps"/>
          <w:rFonts w:ascii="Times New Roman" w:hAnsi="Times New Roman" w:cs="Times New Roman"/>
          <w:b/>
          <w:bCs/>
          <w:color w:val="333333"/>
        </w:rPr>
        <w:t xml:space="preserve"> </w:t>
      </w:r>
      <w:r w:rsidR="00C43F9F" w:rsidRPr="00CC39E1">
        <w:rPr>
          <w:rStyle w:val="hps"/>
          <w:rFonts w:ascii="Times New Roman" w:hAnsi="Times New Roman" w:cs="Times New Roman"/>
          <w:b/>
          <w:bCs/>
          <w:color w:val="333333"/>
        </w:rPr>
        <w:t xml:space="preserve">Percentage of children </w:t>
      </w:r>
      <w:r w:rsidR="007013D9">
        <w:rPr>
          <w:rStyle w:val="hps"/>
          <w:rFonts w:ascii="Times New Roman" w:hAnsi="Times New Roman" w:cs="Times New Roman"/>
          <w:b/>
          <w:bCs/>
          <w:color w:val="333333"/>
        </w:rPr>
        <w:t xml:space="preserve"> of </w:t>
      </w:r>
      <w:r w:rsidR="00C43F9F" w:rsidRPr="00CC39E1">
        <w:rPr>
          <w:rStyle w:val="hps"/>
          <w:rFonts w:ascii="Times New Roman" w:hAnsi="Times New Roman" w:cs="Times New Roman"/>
          <w:b/>
          <w:bCs/>
          <w:color w:val="333333"/>
        </w:rPr>
        <w:t>12-17 years who were exposed to physical or Psychological</w:t>
      </w:r>
      <w:r w:rsidR="00C43F9F" w:rsidRPr="00650072">
        <w:rPr>
          <w:rStyle w:val="hps"/>
          <w:rFonts w:ascii="Times New Roman" w:hAnsi="Times New Roman" w:cs="Times New Roman"/>
          <w:b/>
          <w:bCs/>
          <w:color w:val="333333"/>
        </w:rPr>
        <w:t xml:space="preserve"> violence from students or teachers </w:t>
      </w:r>
      <w:r w:rsidR="004C727A" w:rsidRPr="004C727A">
        <w:rPr>
          <w:rStyle w:val="hps"/>
          <w:rFonts w:ascii="Times New Roman" w:hAnsi="Times New Roman" w:cs="Times New Roman"/>
          <w:b/>
          <w:bCs/>
          <w:color w:val="333333"/>
        </w:rPr>
        <w:t>during the period of 12</w:t>
      </w:r>
      <w:r w:rsidR="004C727A" w:rsidRPr="004C727A">
        <w:rPr>
          <w:rStyle w:val="hps"/>
          <w:b/>
          <w:bCs/>
        </w:rPr>
        <w:t xml:space="preserve"> </w:t>
      </w:r>
      <w:r w:rsidR="004C727A" w:rsidRPr="004C727A">
        <w:rPr>
          <w:rStyle w:val="hps"/>
          <w:rFonts w:ascii="Times New Roman" w:hAnsi="Times New Roman" w:cs="Times New Roman"/>
          <w:b/>
          <w:bCs/>
          <w:color w:val="333333"/>
        </w:rPr>
        <w:t>months</w:t>
      </w:r>
      <w:r w:rsidR="004C727A" w:rsidRPr="004C727A">
        <w:rPr>
          <w:rStyle w:val="hps"/>
          <w:b/>
          <w:bCs/>
        </w:rPr>
        <w:t xml:space="preserve"> </w:t>
      </w:r>
      <w:r w:rsidR="004C727A" w:rsidRPr="004C727A">
        <w:rPr>
          <w:rStyle w:val="hps"/>
          <w:rFonts w:ascii="Times New Roman" w:hAnsi="Times New Roman" w:cs="Times New Roman"/>
          <w:b/>
          <w:bCs/>
          <w:color w:val="333333"/>
        </w:rPr>
        <w:t>that preceded July</w:t>
      </w:r>
      <w:r w:rsidR="004C727A" w:rsidRPr="004C727A">
        <w:rPr>
          <w:rStyle w:val="hps"/>
          <w:b/>
          <w:bCs/>
        </w:rPr>
        <w:t xml:space="preserve"> </w:t>
      </w:r>
      <w:r w:rsidR="004C727A" w:rsidRPr="004C727A">
        <w:rPr>
          <w:rStyle w:val="hps"/>
          <w:rFonts w:ascii="Times New Roman" w:hAnsi="Times New Roman" w:cs="Times New Roman"/>
          <w:b/>
          <w:bCs/>
          <w:color w:val="333333"/>
        </w:rPr>
        <w:t xml:space="preserve">/ 2011 </w:t>
      </w:r>
      <w:r w:rsidR="00C43F9F" w:rsidRPr="00650072">
        <w:rPr>
          <w:rStyle w:val="hps"/>
          <w:rFonts w:ascii="Times New Roman" w:hAnsi="Times New Roman" w:cs="Times New Roman"/>
          <w:b/>
          <w:bCs/>
          <w:color w:val="333333"/>
        </w:rPr>
        <w:t>on the school by sex and region</w:t>
      </w:r>
    </w:p>
    <w:tbl>
      <w:tblPr>
        <w:bidiVisual/>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60"/>
      </w:tblPr>
      <w:tblGrid>
        <w:gridCol w:w="1525"/>
        <w:gridCol w:w="1559"/>
        <w:gridCol w:w="2551"/>
        <w:gridCol w:w="3676"/>
      </w:tblGrid>
      <w:tr w:rsidR="00C43F9F" w:rsidRPr="00376DFF" w:rsidTr="00C43F9F">
        <w:trPr>
          <w:trHeight w:val="340"/>
          <w:jc w:val="center"/>
        </w:trPr>
        <w:tc>
          <w:tcPr>
            <w:tcW w:w="3026" w:type="pct"/>
            <w:gridSpan w:val="3"/>
            <w:vAlign w:val="center"/>
          </w:tcPr>
          <w:p w:rsidR="00C43F9F" w:rsidRPr="00F706B1" w:rsidRDefault="00C43F9F" w:rsidP="00C43F9F">
            <w:pPr>
              <w:jc w:val="center"/>
              <w:rPr>
                <w:rStyle w:val="hps"/>
                <w:rFonts w:ascii="Arial" w:hAnsi="Arial"/>
                <w:b/>
                <w:bCs/>
                <w:color w:val="333333"/>
                <w:sz w:val="18"/>
                <w:szCs w:val="18"/>
              </w:rPr>
            </w:pPr>
            <w:r>
              <w:rPr>
                <w:rStyle w:val="hps"/>
                <w:rFonts w:ascii="Arial" w:hAnsi="Arial"/>
                <w:b/>
                <w:bCs/>
                <w:color w:val="333333"/>
                <w:sz w:val="18"/>
                <w:szCs w:val="18"/>
              </w:rPr>
              <w:t>Region</w:t>
            </w:r>
          </w:p>
        </w:tc>
        <w:tc>
          <w:tcPr>
            <w:tcW w:w="1974" w:type="pct"/>
            <w:vMerge w:val="restart"/>
            <w:vAlign w:val="center"/>
          </w:tcPr>
          <w:p w:rsidR="00C43F9F" w:rsidRDefault="00C43F9F" w:rsidP="00C43F9F">
            <w:pPr>
              <w:jc w:val="center"/>
              <w:rPr>
                <w:rStyle w:val="hps"/>
                <w:rFonts w:ascii="Arial" w:hAnsi="Arial"/>
                <w:b/>
                <w:bCs/>
                <w:color w:val="333333"/>
                <w:sz w:val="18"/>
                <w:szCs w:val="18"/>
              </w:rPr>
            </w:pPr>
            <w:r>
              <w:rPr>
                <w:rStyle w:val="hps"/>
                <w:rFonts w:ascii="Arial" w:hAnsi="Arial"/>
                <w:b/>
                <w:bCs/>
                <w:color w:val="333333"/>
                <w:sz w:val="18"/>
                <w:szCs w:val="18"/>
              </w:rPr>
              <w:t>Sex</w:t>
            </w:r>
          </w:p>
        </w:tc>
      </w:tr>
      <w:tr w:rsidR="00C43F9F" w:rsidRPr="00376DFF" w:rsidTr="00391141">
        <w:trPr>
          <w:trHeight w:val="340"/>
          <w:jc w:val="center"/>
        </w:trPr>
        <w:tc>
          <w:tcPr>
            <w:tcW w:w="819" w:type="pct"/>
            <w:tcBorders>
              <w:bottom w:val="single" w:sz="4" w:space="0" w:color="auto"/>
            </w:tcBorders>
            <w:vAlign w:val="center"/>
          </w:tcPr>
          <w:p w:rsidR="00C43F9F" w:rsidRPr="00376DFF" w:rsidRDefault="00C43F9F" w:rsidP="00C43F9F">
            <w:pPr>
              <w:jc w:val="center"/>
              <w:rPr>
                <w:rFonts w:ascii="Calibri" w:hAnsi="Calibri" w:cs="Arial"/>
                <w:sz w:val="18"/>
                <w:szCs w:val="18"/>
              </w:rPr>
            </w:pPr>
            <w:r w:rsidRPr="00F706B1">
              <w:rPr>
                <w:rStyle w:val="hps"/>
                <w:rFonts w:ascii="Arial" w:hAnsi="Arial"/>
                <w:b/>
                <w:bCs/>
                <w:color w:val="333333"/>
                <w:sz w:val="18"/>
                <w:szCs w:val="18"/>
              </w:rPr>
              <w:t>Gaza Strip</w:t>
            </w:r>
          </w:p>
        </w:tc>
        <w:tc>
          <w:tcPr>
            <w:tcW w:w="837" w:type="pct"/>
            <w:tcBorders>
              <w:bottom w:val="single" w:sz="4" w:space="0" w:color="auto"/>
            </w:tcBorders>
            <w:vAlign w:val="center"/>
          </w:tcPr>
          <w:p w:rsidR="00C43F9F" w:rsidRPr="00376DFF" w:rsidRDefault="00C43F9F" w:rsidP="00C43F9F">
            <w:pPr>
              <w:jc w:val="center"/>
              <w:rPr>
                <w:rFonts w:ascii="Calibri" w:hAnsi="Calibri" w:cs="Arial"/>
                <w:sz w:val="18"/>
                <w:szCs w:val="18"/>
              </w:rPr>
            </w:pPr>
            <w:r w:rsidRPr="00F706B1">
              <w:rPr>
                <w:rStyle w:val="hps"/>
                <w:rFonts w:ascii="Arial" w:hAnsi="Arial"/>
                <w:b/>
                <w:bCs/>
                <w:color w:val="333333"/>
                <w:sz w:val="18"/>
                <w:szCs w:val="18"/>
              </w:rPr>
              <w:t>West Bank</w:t>
            </w:r>
          </w:p>
        </w:tc>
        <w:tc>
          <w:tcPr>
            <w:tcW w:w="1370" w:type="pct"/>
            <w:tcBorders>
              <w:bottom w:val="single" w:sz="4" w:space="0" w:color="auto"/>
            </w:tcBorders>
            <w:vAlign w:val="center"/>
          </w:tcPr>
          <w:p w:rsidR="00C43F9F" w:rsidRPr="00376DFF" w:rsidRDefault="00C43F9F" w:rsidP="00C43F9F">
            <w:pPr>
              <w:jc w:val="center"/>
              <w:rPr>
                <w:rFonts w:ascii="Calibri" w:hAnsi="Calibri" w:cs="Arial"/>
                <w:sz w:val="18"/>
                <w:szCs w:val="18"/>
              </w:rPr>
            </w:pPr>
            <w:r w:rsidRPr="00F706B1">
              <w:rPr>
                <w:rStyle w:val="hps"/>
                <w:rFonts w:ascii="Arial" w:hAnsi="Arial"/>
                <w:b/>
                <w:bCs/>
                <w:color w:val="333333"/>
                <w:sz w:val="18"/>
                <w:szCs w:val="18"/>
              </w:rPr>
              <w:t>Palestinian territory</w:t>
            </w:r>
          </w:p>
        </w:tc>
        <w:tc>
          <w:tcPr>
            <w:tcW w:w="1974" w:type="pct"/>
            <w:vMerge/>
            <w:tcBorders>
              <w:bottom w:val="single" w:sz="4" w:space="0" w:color="auto"/>
            </w:tcBorders>
            <w:vAlign w:val="center"/>
          </w:tcPr>
          <w:p w:rsidR="00C43F9F" w:rsidRPr="00376DFF" w:rsidRDefault="00C43F9F" w:rsidP="00C43F9F">
            <w:pPr>
              <w:jc w:val="center"/>
              <w:rPr>
                <w:rFonts w:ascii="Calibri" w:hAnsi="Calibri" w:cs="Arial"/>
                <w:sz w:val="18"/>
                <w:szCs w:val="18"/>
              </w:rPr>
            </w:pPr>
          </w:p>
        </w:tc>
      </w:tr>
      <w:tr w:rsidR="00C43F9F" w:rsidRPr="00376DFF" w:rsidTr="00391141">
        <w:trPr>
          <w:jc w:val="center"/>
        </w:trPr>
        <w:tc>
          <w:tcPr>
            <w:tcW w:w="819" w:type="pct"/>
            <w:tcBorders>
              <w:bottom w:val="nil"/>
              <w:right w:val="nil"/>
            </w:tcBorders>
            <w:vAlign w:val="center"/>
          </w:tcPr>
          <w:p w:rsidR="00C43F9F" w:rsidRPr="00740454" w:rsidRDefault="00C43F9F" w:rsidP="00391141">
            <w:pPr>
              <w:pStyle w:val="ListParagraph"/>
              <w:ind w:left="317"/>
              <w:rPr>
                <w:rStyle w:val="hps"/>
                <w:rFonts w:ascii="Arial" w:hAnsi="Arial"/>
                <w:b/>
                <w:bCs/>
                <w:color w:val="333333"/>
                <w:sz w:val="18"/>
                <w:szCs w:val="18"/>
              </w:rPr>
            </w:pPr>
            <w:r>
              <w:rPr>
                <w:rStyle w:val="hps"/>
                <w:rFonts w:ascii="Arial" w:hAnsi="Arial"/>
                <w:b/>
                <w:bCs/>
                <w:color w:val="333333"/>
                <w:sz w:val="18"/>
                <w:szCs w:val="18"/>
              </w:rPr>
              <w:t>22.7</w:t>
            </w:r>
          </w:p>
        </w:tc>
        <w:tc>
          <w:tcPr>
            <w:tcW w:w="837" w:type="pct"/>
            <w:tcBorders>
              <w:left w:val="nil"/>
              <w:bottom w:val="nil"/>
              <w:right w:val="nil"/>
            </w:tcBorders>
            <w:vAlign w:val="center"/>
          </w:tcPr>
          <w:p w:rsidR="00C43F9F" w:rsidRPr="00740454" w:rsidRDefault="00C43F9F" w:rsidP="00391141">
            <w:pPr>
              <w:pStyle w:val="ListParagraph"/>
              <w:ind w:left="458"/>
              <w:rPr>
                <w:rStyle w:val="hps"/>
                <w:rFonts w:ascii="Arial" w:hAnsi="Arial"/>
                <w:b/>
                <w:bCs/>
                <w:color w:val="333333"/>
                <w:sz w:val="18"/>
                <w:szCs w:val="18"/>
              </w:rPr>
            </w:pPr>
            <w:r>
              <w:rPr>
                <w:rStyle w:val="hps"/>
                <w:rFonts w:ascii="Arial" w:hAnsi="Arial"/>
                <w:b/>
                <w:bCs/>
                <w:color w:val="333333"/>
                <w:sz w:val="18"/>
                <w:szCs w:val="18"/>
              </w:rPr>
              <w:t>21.6</w:t>
            </w:r>
          </w:p>
        </w:tc>
        <w:tc>
          <w:tcPr>
            <w:tcW w:w="1370" w:type="pct"/>
            <w:tcBorders>
              <w:left w:val="nil"/>
              <w:bottom w:val="nil"/>
            </w:tcBorders>
            <w:vAlign w:val="center"/>
          </w:tcPr>
          <w:p w:rsidR="00C43F9F" w:rsidRPr="00740454" w:rsidRDefault="00C43F9F" w:rsidP="00391141">
            <w:pPr>
              <w:pStyle w:val="ListParagraph"/>
              <w:ind w:left="883"/>
              <w:rPr>
                <w:rStyle w:val="hps"/>
                <w:rFonts w:ascii="Arial" w:hAnsi="Arial"/>
                <w:b/>
                <w:bCs/>
                <w:color w:val="333333"/>
                <w:sz w:val="18"/>
                <w:szCs w:val="18"/>
              </w:rPr>
            </w:pPr>
            <w:r>
              <w:rPr>
                <w:rStyle w:val="hps"/>
                <w:rFonts w:ascii="Arial" w:hAnsi="Arial"/>
                <w:b/>
                <w:bCs/>
                <w:color w:val="333333"/>
                <w:sz w:val="18"/>
                <w:szCs w:val="18"/>
              </w:rPr>
              <w:t>22.0</w:t>
            </w:r>
          </w:p>
        </w:tc>
        <w:tc>
          <w:tcPr>
            <w:tcW w:w="1974" w:type="pct"/>
            <w:tcBorders>
              <w:bottom w:val="nil"/>
            </w:tcBorders>
            <w:vAlign w:val="center"/>
          </w:tcPr>
          <w:p w:rsidR="00C43F9F" w:rsidRPr="00C43F9F" w:rsidRDefault="00C43F9F" w:rsidP="00C43F9F">
            <w:pPr>
              <w:bidi w:val="0"/>
              <w:rPr>
                <w:rStyle w:val="hps"/>
                <w:rFonts w:ascii="Arial" w:hAnsi="Arial" w:cs="Arial"/>
                <w:b/>
                <w:bCs/>
                <w:color w:val="333333"/>
                <w:sz w:val="18"/>
                <w:szCs w:val="18"/>
              </w:rPr>
            </w:pPr>
            <w:r w:rsidRPr="00C43F9F">
              <w:rPr>
                <w:rStyle w:val="hps"/>
                <w:rFonts w:ascii="Arial" w:hAnsi="Arial" w:cs="Arial"/>
                <w:b/>
                <w:bCs/>
                <w:color w:val="333333"/>
                <w:sz w:val="18"/>
                <w:szCs w:val="18"/>
              </w:rPr>
              <w:t>Both Sexes</w:t>
            </w:r>
          </w:p>
        </w:tc>
      </w:tr>
      <w:tr w:rsidR="00C43F9F" w:rsidRPr="00376DFF" w:rsidTr="00391141">
        <w:trPr>
          <w:jc w:val="center"/>
        </w:trPr>
        <w:tc>
          <w:tcPr>
            <w:tcW w:w="819" w:type="pct"/>
            <w:tcBorders>
              <w:top w:val="nil"/>
              <w:bottom w:val="nil"/>
              <w:right w:val="nil"/>
            </w:tcBorders>
            <w:vAlign w:val="center"/>
          </w:tcPr>
          <w:p w:rsidR="00C43F9F" w:rsidRPr="00054E35" w:rsidRDefault="00C43F9F" w:rsidP="00391141">
            <w:pPr>
              <w:pStyle w:val="ListParagraph"/>
              <w:ind w:left="317"/>
              <w:rPr>
                <w:rStyle w:val="hps"/>
                <w:rFonts w:ascii="Arial" w:hAnsi="Arial"/>
                <w:color w:val="333333"/>
                <w:sz w:val="18"/>
                <w:szCs w:val="18"/>
              </w:rPr>
            </w:pPr>
            <w:r>
              <w:rPr>
                <w:rStyle w:val="hps"/>
                <w:rFonts w:ascii="Arial" w:hAnsi="Arial"/>
                <w:color w:val="333333"/>
                <w:sz w:val="18"/>
                <w:szCs w:val="18"/>
              </w:rPr>
              <w:t>28.6</w:t>
            </w:r>
          </w:p>
        </w:tc>
        <w:tc>
          <w:tcPr>
            <w:tcW w:w="837" w:type="pct"/>
            <w:tcBorders>
              <w:top w:val="nil"/>
              <w:left w:val="nil"/>
              <w:bottom w:val="nil"/>
              <w:right w:val="nil"/>
            </w:tcBorders>
            <w:vAlign w:val="center"/>
          </w:tcPr>
          <w:p w:rsidR="00C43F9F" w:rsidRPr="00054E35" w:rsidRDefault="00C43F9F" w:rsidP="00391141">
            <w:pPr>
              <w:pStyle w:val="ListParagraph"/>
              <w:ind w:left="458"/>
              <w:rPr>
                <w:rStyle w:val="hps"/>
                <w:rFonts w:ascii="Arial" w:hAnsi="Arial"/>
                <w:color w:val="333333"/>
                <w:sz w:val="18"/>
                <w:szCs w:val="18"/>
              </w:rPr>
            </w:pPr>
            <w:r>
              <w:rPr>
                <w:rStyle w:val="hps"/>
                <w:rFonts w:ascii="Arial" w:hAnsi="Arial"/>
                <w:color w:val="333333"/>
                <w:sz w:val="18"/>
                <w:szCs w:val="18"/>
              </w:rPr>
              <w:t>28.7</w:t>
            </w:r>
          </w:p>
        </w:tc>
        <w:tc>
          <w:tcPr>
            <w:tcW w:w="1370" w:type="pct"/>
            <w:tcBorders>
              <w:top w:val="nil"/>
              <w:left w:val="nil"/>
              <w:bottom w:val="nil"/>
            </w:tcBorders>
            <w:vAlign w:val="center"/>
          </w:tcPr>
          <w:p w:rsidR="00C43F9F" w:rsidRPr="00ED2B0B" w:rsidRDefault="00C43F9F" w:rsidP="00391141">
            <w:pPr>
              <w:pStyle w:val="ListParagraph"/>
              <w:ind w:left="883"/>
              <w:rPr>
                <w:rStyle w:val="hps"/>
                <w:rFonts w:ascii="Arial" w:hAnsi="Arial"/>
                <w:color w:val="333333"/>
                <w:sz w:val="18"/>
                <w:szCs w:val="18"/>
              </w:rPr>
            </w:pPr>
            <w:r w:rsidRPr="00ED2B0B">
              <w:rPr>
                <w:rStyle w:val="hps"/>
                <w:rFonts w:ascii="Arial" w:hAnsi="Arial"/>
                <w:color w:val="333333"/>
                <w:sz w:val="18"/>
                <w:szCs w:val="18"/>
              </w:rPr>
              <w:t>28.7</w:t>
            </w:r>
          </w:p>
        </w:tc>
        <w:tc>
          <w:tcPr>
            <w:tcW w:w="1974" w:type="pct"/>
            <w:tcBorders>
              <w:top w:val="nil"/>
              <w:bottom w:val="nil"/>
            </w:tcBorders>
            <w:vAlign w:val="center"/>
          </w:tcPr>
          <w:p w:rsidR="00C43F9F" w:rsidRPr="00392137" w:rsidRDefault="00C43F9F" w:rsidP="00C43F9F">
            <w:pPr>
              <w:bidi w:val="0"/>
              <w:rPr>
                <w:rStyle w:val="hps"/>
                <w:rFonts w:ascii="Arial" w:hAnsi="Arial" w:cs="Arial"/>
                <w:b/>
                <w:bCs/>
                <w:color w:val="333333"/>
                <w:sz w:val="18"/>
                <w:szCs w:val="18"/>
              </w:rPr>
            </w:pPr>
            <w:r w:rsidRPr="00392137">
              <w:rPr>
                <w:rStyle w:val="hps"/>
                <w:rFonts w:ascii="Arial" w:hAnsi="Arial" w:cs="Arial"/>
                <w:color w:val="333333"/>
                <w:sz w:val="18"/>
                <w:szCs w:val="18"/>
              </w:rPr>
              <w:t>males</w:t>
            </w:r>
          </w:p>
        </w:tc>
      </w:tr>
      <w:tr w:rsidR="00C43F9F" w:rsidRPr="00376DFF" w:rsidTr="00391141">
        <w:trPr>
          <w:jc w:val="center"/>
        </w:trPr>
        <w:tc>
          <w:tcPr>
            <w:tcW w:w="819" w:type="pct"/>
            <w:tcBorders>
              <w:top w:val="nil"/>
              <w:right w:val="nil"/>
            </w:tcBorders>
            <w:vAlign w:val="center"/>
          </w:tcPr>
          <w:p w:rsidR="00C43F9F" w:rsidRPr="00054E35" w:rsidRDefault="00C43F9F" w:rsidP="00391141">
            <w:pPr>
              <w:pStyle w:val="ListParagraph"/>
              <w:ind w:left="317"/>
              <w:rPr>
                <w:rStyle w:val="hps"/>
                <w:rFonts w:ascii="Arial" w:hAnsi="Arial"/>
                <w:color w:val="333333"/>
                <w:sz w:val="18"/>
                <w:szCs w:val="18"/>
              </w:rPr>
            </w:pPr>
            <w:r>
              <w:rPr>
                <w:rStyle w:val="hps"/>
                <w:rFonts w:ascii="Arial" w:hAnsi="Arial"/>
                <w:color w:val="333333"/>
                <w:sz w:val="18"/>
                <w:szCs w:val="18"/>
              </w:rPr>
              <w:t>16.7</w:t>
            </w:r>
          </w:p>
        </w:tc>
        <w:tc>
          <w:tcPr>
            <w:tcW w:w="837" w:type="pct"/>
            <w:tcBorders>
              <w:top w:val="nil"/>
              <w:left w:val="nil"/>
              <w:right w:val="nil"/>
            </w:tcBorders>
            <w:vAlign w:val="center"/>
          </w:tcPr>
          <w:p w:rsidR="00C43F9F" w:rsidRPr="00054E35" w:rsidRDefault="00C43F9F" w:rsidP="00391141">
            <w:pPr>
              <w:pStyle w:val="ListParagraph"/>
              <w:ind w:left="458"/>
              <w:rPr>
                <w:rStyle w:val="hps"/>
                <w:rFonts w:ascii="Arial" w:hAnsi="Arial"/>
                <w:color w:val="333333"/>
                <w:sz w:val="18"/>
                <w:szCs w:val="18"/>
              </w:rPr>
            </w:pPr>
            <w:r>
              <w:rPr>
                <w:rStyle w:val="hps"/>
                <w:rFonts w:ascii="Arial" w:hAnsi="Arial"/>
                <w:color w:val="333333"/>
                <w:sz w:val="18"/>
                <w:szCs w:val="18"/>
              </w:rPr>
              <w:t>15.1</w:t>
            </w:r>
          </w:p>
        </w:tc>
        <w:tc>
          <w:tcPr>
            <w:tcW w:w="1370" w:type="pct"/>
            <w:tcBorders>
              <w:top w:val="nil"/>
              <w:left w:val="nil"/>
            </w:tcBorders>
            <w:vAlign w:val="center"/>
          </w:tcPr>
          <w:p w:rsidR="00C43F9F" w:rsidRPr="00ED2B0B" w:rsidRDefault="00C43F9F" w:rsidP="00391141">
            <w:pPr>
              <w:pStyle w:val="ListParagraph"/>
              <w:ind w:left="883"/>
              <w:rPr>
                <w:rStyle w:val="hps"/>
                <w:rFonts w:ascii="Arial" w:hAnsi="Arial"/>
                <w:color w:val="333333"/>
                <w:sz w:val="18"/>
                <w:szCs w:val="18"/>
              </w:rPr>
            </w:pPr>
            <w:r w:rsidRPr="00ED2B0B">
              <w:rPr>
                <w:rStyle w:val="hps"/>
                <w:rFonts w:ascii="Arial" w:hAnsi="Arial"/>
                <w:color w:val="333333"/>
                <w:sz w:val="18"/>
                <w:szCs w:val="18"/>
              </w:rPr>
              <w:t>15.1</w:t>
            </w:r>
          </w:p>
        </w:tc>
        <w:tc>
          <w:tcPr>
            <w:tcW w:w="1974" w:type="pct"/>
            <w:tcBorders>
              <w:top w:val="nil"/>
            </w:tcBorders>
            <w:vAlign w:val="center"/>
          </w:tcPr>
          <w:p w:rsidR="00C43F9F" w:rsidRPr="00392137" w:rsidRDefault="00C43F9F" w:rsidP="00C43F9F">
            <w:pPr>
              <w:bidi w:val="0"/>
              <w:rPr>
                <w:rStyle w:val="hps"/>
                <w:rFonts w:ascii="Arial" w:hAnsi="Arial" w:cs="Arial"/>
                <w:b/>
                <w:bCs/>
                <w:color w:val="333333"/>
                <w:sz w:val="18"/>
                <w:szCs w:val="18"/>
              </w:rPr>
            </w:pPr>
            <w:r w:rsidRPr="00392137">
              <w:rPr>
                <w:rStyle w:val="hps"/>
                <w:rFonts w:ascii="Arial" w:hAnsi="Arial" w:cs="Arial"/>
                <w:color w:val="333333"/>
                <w:sz w:val="18"/>
                <w:szCs w:val="18"/>
              </w:rPr>
              <w:t xml:space="preserve">Females </w:t>
            </w:r>
          </w:p>
        </w:tc>
      </w:tr>
    </w:tbl>
    <w:p w:rsidR="00C43F9F" w:rsidRDefault="00391141" w:rsidP="00215F79">
      <w:pPr>
        <w:pStyle w:val="ListParagraph"/>
        <w:tabs>
          <w:tab w:val="right" w:pos="142"/>
        </w:tabs>
        <w:ind w:left="0"/>
        <w:jc w:val="both"/>
        <w:rPr>
          <w:rStyle w:val="hps"/>
          <w:rFonts w:ascii="Times New Roman" w:hAnsi="Times New Roman" w:cs="Times New Roman"/>
          <w:b/>
          <w:bCs/>
          <w:sz w:val="24"/>
          <w:szCs w:val="24"/>
        </w:rPr>
      </w:pPr>
      <w:r w:rsidRPr="00391141">
        <w:rPr>
          <w:rFonts w:ascii="Times New Roman" w:hAnsi="Times New Roman" w:cs="Times New Roman"/>
          <w:b/>
          <w:bCs/>
          <w:sz w:val="16"/>
          <w:szCs w:val="12"/>
        </w:rPr>
        <w:t>Source: Palestinian Central Bureau of Statistics, 2011.</w:t>
      </w:r>
      <w:r>
        <w:rPr>
          <w:rFonts w:ascii="Times New Roman" w:hAnsi="Times New Roman" w:cs="Times New Roman"/>
          <w:b/>
          <w:bCs/>
          <w:sz w:val="16"/>
          <w:szCs w:val="12"/>
        </w:rPr>
        <w:t xml:space="preserve"> </w:t>
      </w:r>
      <w:r w:rsidRPr="00391141">
        <w:rPr>
          <w:rFonts w:ascii="Times New Roman" w:hAnsi="Times New Roman" w:cs="Times New Roman"/>
          <w:b/>
          <w:bCs/>
          <w:sz w:val="16"/>
          <w:szCs w:val="12"/>
        </w:rPr>
        <w:t xml:space="preserve"> </w:t>
      </w:r>
      <w:r w:rsidRPr="00391141">
        <w:rPr>
          <w:rFonts w:ascii="Times New Roman" w:hAnsi="Times New Roman" w:cs="Times New Roman"/>
          <w:i/>
          <w:iCs/>
          <w:sz w:val="16"/>
          <w:szCs w:val="12"/>
        </w:rPr>
        <w:t>Press Release Main Findings of Violence survey in  the Palestinian Society, 2011</w:t>
      </w:r>
      <w:r w:rsidRPr="00391141">
        <w:rPr>
          <w:rFonts w:ascii="Times New Roman" w:hAnsi="Times New Roman" w:cs="Times New Roman"/>
          <w:sz w:val="16"/>
          <w:szCs w:val="12"/>
        </w:rPr>
        <w:t xml:space="preserve">.  </w:t>
      </w:r>
      <w:r w:rsidRPr="00C5641D">
        <w:rPr>
          <w:rFonts w:ascii="Times New Roman" w:hAnsi="Times New Roman" w:cs="Times New Roman"/>
          <w:b/>
          <w:bCs/>
          <w:sz w:val="16"/>
          <w:szCs w:val="12"/>
        </w:rPr>
        <w:t>Ramallah – Palestine</w:t>
      </w:r>
    </w:p>
    <w:p w:rsidR="00391141" w:rsidRPr="00391141" w:rsidRDefault="00391141" w:rsidP="00215F79">
      <w:pPr>
        <w:pStyle w:val="ListParagraph"/>
        <w:tabs>
          <w:tab w:val="right" w:pos="142"/>
        </w:tabs>
        <w:ind w:left="0"/>
        <w:jc w:val="both"/>
        <w:rPr>
          <w:rStyle w:val="hps"/>
          <w:rFonts w:ascii="Times New Roman" w:hAnsi="Times New Roman" w:cs="Times New Roman"/>
          <w:b/>
          <w:bCs/>
          <w:sz w:val="24"/>
          <w:szCs w:val="24"/>
        </w:rPr>
      </w:pPr>
    </w:p>
    <w:p w:rsidR="00C57BE9" w:rsidRPr="00392137" w:rsidRDefault="00CC39E1" w:rsidP="00BA65FB">
      <w:pPr>
        <w:ind w:left="585" w:right="567"/>
        <w:jc w:val="center"/>
        <w:rPr>
          <w:rStyle w:val="hps"/>
          <w:b/>
          <w:bCs/>
          <w:color w:val="333333"/>
          <w:sz w:val="22"/>
          <w:szCs w:val="22"/>
          <w:rtl/>
        </w:rPr>
      </w:pPr>
      <w:r>
        <w:rPr>
          <w:b/>
          <w:bCs/>
          <w:color w:val="000000"/>
          <w:sz w:val="22"/>
          <w:szCs w:val="22"/>
        </w:rPr>
        <w:t>Table (5-8)</w:t>
      </w:r>
      <w:r>
        <w:rPr>
          <w:rStyle w:val="hps"/>
          <w:b/>
          <w:bCs/>
          <w:color w:val="333333"/>
          <w:sz w:val="22"/>
          <w:szCs w:val="22"/>
        </w:rPr>
        <w:t xml:space="preserve">: </w:t>
      </w:r>
      <w:r w:rsidR="00C57BE9" w:rsidRPr="006377BD">
        <w:rPr>
          <w:rStyle w:val="hps"/>
          <w:b/>
          <w:bCs/>
          <w:color w:val="333333"/>
          <w:sz w:val="22"/>
          <w:szCs w:val="22"/>
        </w:rPr>
        <w:t xml:space="preserve">Percentage </w:t>
      </w:r>
      <w:r w:rsidR="00C57BE9" w:rsidRPr="00392137">
        <w:rPr>
          <w:rStyle w:val="hps"/>
          <w:b/>
          <w:bCs/>
          <w:color w:val="333333"/>
          <w:sz w:val="22"/>
          <w:szCs w:val="22"/>
        </w:rPr>
        <w:t>of children</w:t>
      </w:r>
      <w:r w:rsidR="007013D9">
        <w:rPr>
          <w:rStyle w:val="hps"/>
          <w:b/>
          <w:bCs/>
          <w:color w:val="333333"/>
          <w:sz w:val="22"/>
          <w:szCs w:val="22"/>
        </w:rPr>
        <w:t xml:space="preserve"> of</w:t>
      </w:r>
      <w:r w:rsidR="00C57BE9" w:rsidRPr="00392137">
        <w:rPr>
          <w:rStyle w:val="hps"/>
          <w:b/>
          <w:bCs/>
          <w:color w:val="333333"/>
          <w:sz w:val="22"/>
          <w:szCs w:val="22"/>
        </w:rPr>
        <w:t xml:space="preserve"> 12-17 years who were exposed to a form of violence at least for one time by one of the parents </w:t>
      </w:r>
      <w:r w:rsidR="004C727A" w:rsidRPr="004C727A">
        <w:rPr>
          <w:rStyle w:val="hps"/>
          <w:b/>
          <w:bCs/>
          <w:color w:val="333333"/>
          <w:sz w:val="22"/>
          <w:szCs w:val="22"/>
        </w:rPr>
        <w:t>during the period of 12</w:t>
      </w:r>
      <w:r w:rsidR="004C727A" w:rsidRPr="004C727A">
        <w:rPr>
          <w:rStyle w:val="hps"/>
          <w:b/>
          <w:bCs/>
          <w:sz w:val="22"/>
          <w:szCs w:val="22"/>
        </w:rPr>
        <w:t xml:space="preserve"> </w:t>
      </w:r>
      <w:r w:rsidR="004C727A" w:rsidRPr="004C727A">
        <w:rPr>
          <w:rStyle w:val="hps"/>
          <w:b/>
          <w:bCs/>
          <w:color w:val="333333"/>
          <w:sz w:val="22"/>
          <w:szCs w:val="22"/>
        </w:rPr>
        <w:t>months</w:t>
      </w:r>
      <w:r w:rsidR="004C727A" w:rsidRPr="004C727A">
        <w:rPr>
          <w:rStyle w:val="hps"/>
          <w:b/>
          <w:bCs/>
          <w:sz w:val="22"/>
          <w:szCs w:val="22"/>
        </w:rPr>
        <w:t xml:space="preserve"> </w:t>
      </w:r>
      <w:r w:rsidR="004C727A" w:rsidRPr="004C727A">
        <w:rPr>
          <w:rStyle w:val="hps"/>
          <w:b/>
          <w:bCs/>
          <w:color w:val="333333"/>
          <w:sz w:val="22"/>
          <w:szCs w:val="22"/>
        </w:rPr>
        <w:t>that preceded July</w:t>
      </w:r>
      <w:r w:rsidR="004C727A" w:rsidRPr="004C727A">
        <w:rPr>
          <w:rStyle w:val="hps"/>
          <w:b/>
          <w:bCs/>
          <w:sz w:val="22"/>
          <w:szCs w:val="22"/>
        </w:rPr>
        <w:t xml:space="preserve"> </w:t>
      </w:r>
      <w:r w:rsidR="004C727A" w:rsidRPr="004C727A">
        <w:rPr>
          <w:rStyle w:val="hps"/>
          <w:b/>
          <w:bCs/>
          <w:color w:val="333333"/>
          <w:sz w:val="22"/>
          <w:szCs w:val="22"/>
        </w:rPr>
        <w:t xml:space="preserve">/ 2011 </w:t>
      </w:r>
      <w:r w:rsidR="00C57BE9" w:rsidRPr="00E6217F">
        <w:rPr>
          <w:rStyle w:val="hps"/>
          <w:b/>
          <w:bCs/>
          <w:color w:val="333333"/>
          <w:sz w:val="22"/>
        </w:rPr>
        <w:t xml:space="preserve"> </w:t>
      </w:r>
      <w:r w:rsidR="00C57BE9" w:rsidRPr="00392137">
        <w:rPr>
          <w:rStyle w:val="hps"/>
          <w:b/>
          <w:bCs/>
          <w:color w:val="333333"/>
          <w:sz w:val="22"/>
          <w:szCs w:val="22"/>
        </w:rPr>
        <w:t>by region</w:t>
      </w:r>
    </w:p>
    <w:p w:rsidR="00C57BE9" w:rsidRPr="002B24DA" w:rsidRDefault="00C57BE9" w:rsidP="00C57BE9">
      <w:pPr>
        <w:jc w:val="both"/>
        <w:rPr>
          <w:rStyle w:val="hps"/>
          <w:b/>
          <w:bCs/>
          <w:color w:val="333333"/>
          <w:rtl/>
        </w:rPr>
      </w:pPr>
    </w:p>
    <w:tbl>
      <w:tblPr>
        <w:bidiVisual/>
        <w:tblW w:w="9412" w:type="dxa"/>
        <w:jc w:val="center"/>
        <w:tblBorders>
          <w:top w:val="single" w:sz="18" w:space="0" w:color="auto"/>
          <w:bottom w:val="single" w:sz="18" w:space="0" w:color="auto"/>
        </w:tblBorders>
        <w:tblLayout w:type="fixed"/>
        <w:tblLook w:val="0660"/>
      </w:tblPr>
      <w:tblGrid>
        <w:gridCol w:w="1429"/>
        <w:gridCol w:w="1754"/>
        <w:gridCol w:w="1399"/>
        <w:gridCol w:w="1579"/>
        <w:gridCol w:w="1209"/>
        <w:gridCol w:w="2042"/>
      </w:tblGrid>
      <w:tr w:rsidR="00C57BE9" w:rsidRPr="00C57BE9" w:rsidTr="00C57BE9">
        <w:trPr>
          <w:trHeight w:val="265"/>
          <w:jc w:val="center"/>
        </w:trPr>
        <w:tc>
          <w:tcPr>
            <w:tcW w:w="1691"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57BE9" w:rsidRPr="00C57BE9" w:rsidRDefault="00C57BE9" w:rsidP="00071214">
            <w:pPr>
              <w:pStyle w:val="ListParagraph"/>
              <w:ind w:left="0"/>
              <w:jc w:val="center"/>
              <w:rPr>
                <w:rStyle w:val="hps"/>
                <w:rFonts w:ascii="Arial" w:hAnsi="Arial"/>
                <w:b/>
                <w:bCs/>
                <w:color w:val="333333"/>
                <w:sz w:val="18"/>
                <w:szCs w:val="18"/>
              </w:rPr>
            </w:pPr>
            <w:r w:rsidRPr="00C57BE9">
              <w:rPr>
                <w:rFonts w:ascii="Arial" w:hAnsi="Arial"/>
                <w:b/>
                <w:bCs/>
                <w:color w:val="333333"/>
                <w:sz w:val="18"/>
                <w:szCs w:val="18"/>
              </w:rPr>
              <w:t>mother</w:t>
            </w:r>
          </w:p>
        </w:tc>
        <w:tc>
          <w:tcPr>
            <w:tcW w:w="158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57BE9" w:rsidRPr="00C57BE9" w:rsidRDefault="00C57BE9" w:rsidP="00071214">
            <w:pPr>
              <w:pStyle w:val="ListParagraph"/>
              <w:ind w:left="0"/>
              <w:jc w:val="center"/>
              <w:rPr>
                <w:rStyle w:val="hps"/>
                <w:rFonts w:ascii="Arial" w:hAnsi="Arial"/>
                <w:b/>
                <w:bCs/>
                <w:color w:val="333333"/>
                <w:sz w:val="18"/>
                <w:szCs w:val="18"/>
              </w:rPr>
            </w:pPr>
            <w:r w:rsidRPr="00C57BE9">
              <w:rPr>
                <w:rFonts w:ascii="Arial" w:hAnsi="Arial"/>
                <w:b/>
                <w:bCs/>
                <w:color w:val="333333"/>
                <w:sz w:val="18"/>
                <w:szCs w:val="18"/>
              </w:rPr>
              <w:t>father</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57BE9" w:rsidRPr="00C57BE9" w:rsidRDefault="00C57BE9" w:rsidP="00071214">
            <w:pPr>
              <w:pStyle w:val="ListParagraph"/>
              <w:ind w:left="0"/>
              <w:jc w:val="center"/>
              <w:rPr>
                <w:rStyle w:val="hps"/>
                <w:rFonts w:ascii="Arial" w:hAnsi="Arial"/>
                <w:b/>
                <w:bCs/>
                <w:color w:val="333333"/>
                <w:sz w:val="18"/>
                <w:szCs w:val="18"/>
              </w:rPr>
            </w:pPr>
            <w:r w:rsidRPr="00C57BE9">
              <w:rPr>
                <w:rStyle w:val="hps"/>
                <w:rFonts w:ascii="Arial" w:hAnsi="Arial"/>
                <w:b/>
                <w:bCs/>
                <w:color w:val="333333"/>
                <w:sz w:val="18"/>
                <w:szCs w:val="18"/>
              </w:rPr>
              <w:t>Exposed to Violence</w:t>
            </w:r>
          </w:p>
        </w:tc>
        <w:tc>
          <w:tcPr>
            <w:tcW w:w="108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57BE9" w:rsidRPr="00C57BE9" w:rsidRDefault="00C57BE9" w:rsidP="00071214">
            <w:pPr>
              <w:jc w:val="center"/>
              <w:rPr>
                <w:rFonts w:ascii="Calibri" w:hAnsi="Calibri" w:cs="Arial"/>
                <w:b/>
                <w:bCs/>
                <w:color w:val="FFFFFF"/>
                <w:sz w:val="18"/>
                <w:szCs w:val="18"/>
              </w:rPr>
            </w:pPr>
            <w:r w:rsidRPr="00C57BE9">
              <w:rPr>
                <w:rStyle w:val="hps"/>
                <w:rFonts w:ascii="Arial" w:hAnsi="Arial"/>
                <w:b/>
                <w:bCs/>
                <w:color w:val="333333"/>
                <w:sz w:val="18"/>
                <w:szCs w:val="18"/>
              </w:rPr>
              <w:t>Region</w:t>
            </w:r>
          </w:p>
        </w:tc>
      </w:tr>
      <w:tr w:rsidR="00980E6E" w:rsidRPr="00C57BE9" w:rsidTr="00980E6E">
        <w:trPr>
          <w:trHeight w:val="420"/>
          <w:jc w:val="center"/>
        </w:trPr>
        <w:tc>
          <w:tcPr>
            <w:tcW w:w="7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57BE9" w:rsidRPr="00C57BE9" w:rsidRDefault="00C57BE9" w:rsidP="00071214">
            <w:pPr>
              <w:pStyle w:val="ListParagraph"/>
              <w:ind w:left="0"/>
              <w:jc w:val="center"/>
              <w:rPr>
                <w:rStyle w:val="hps"/>
                <w:rFonts w:ascii="Arial" w:hAnsi="Arial"/>
                <w:b/>
                <w:bCs/>
                <w:color w:val="333333"/>
                <w:sz w:val="18"/>
                <w:szCs w:val="18"/>
              </w:rPr>
            </w:pPr>
            <w:r w:rsidRPr="00C57BE9">
              <w:rPr>
                <w:rStyle w:val="apple-converted-space"/>
                <w:rFonts w:ascii="Arial" w:hAnsi="Arial"/>
                <w:b/>
                <w:bCs/>
                <w:color w:val="333333"/>
                <w:sz w:val="18"/>
                <w:szCs w:val="18"/>
              </w:rPr>
              <w:t>physical violence</w:t>
            </w:r>
          </w:p>
        </w:tc>
        <w:tc>
          <w:tcPr>
            <w:tcW w:w="9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57BE9" w:rsidRPr="00C57BE9" w:rsidRDefault="00C57BE9" w:rsidP="00071214">
            <w:pPr>
              <w:pStyle w:val="ListParagraph"/>
              <w:ind w:left="0"/>
              <w:jc w:val="center"/>
              <w:rPr>
                <w:rStyle w:val="hps"/>
                <w:rFonts w:ascii="Arial" w:hAnsi="Arial"/>
                <w:b/>
                <w:bCs/>
                <w:color w:val="333333"/>
                <w:sz w:val="18"/>
                <w:szCs w:val="18"/>
              </w:rPr>
            </w:pPr>
            <w:r w:rsidRPr="00C57BE9">
              <w:rPr>
                <w:rStyle w:val="hps"/>
                <w:rFonts w:ascii="Arial" w:hAnsi="Arial"/>
                <w:b/>
                <w:bCs/>
                <w:color w:val="333333"/>
                <w:sz w:val="18"/>
                <w:szCs w:val="18"/>
              </w:rPr>
              <w:t>Psychological violence</w:t>
            </w:r>
          </w:p>
        </w:tc>
        <w:tc>
          <w:tcPr>
            <w:tcW w:w="74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57BE9" w:rsidRPr="00C57BE9" w:rsidRDefault="00C57BE9" w:rsidP="00071214">
            <w:pPr>
              <w:pStyle w:val="ListParagraph"/>
              <w:ind w:left="0"/>
              <w:jc w:val="center"/>
              <w:rPr>
                <w:rStyle w:val="hps"/>
                <w:rFonts w:ascii="Arial" w:hAnsi="Arial"/>
                <w:b/>
                <w:bCs/>
                <w:color w:val="333333"/>
                <w:sz w:val="18"/>
                <w:szCs w:val="18"/>
              </w:rPr>
            </w:pPr>
            <w:r w:rsidRPr="00C57BE9">
              <w:rPr>
                <w:rStyle w:val="apple-converted-space"/>
                <w:rFonts w:ascii="Arial" w:hAnsi="Arial"/>
                <w:b/>
                <w:bCs/>
                <w:color w:val="333333"/>
                <w:sz w:val="18"/>
                <w:szCs w:val="18"/>
              </w:rPr>
              <w:t>physical violence</w:t>
            </w:r>
          </w:p>
        </w:tc>
        <w:tc>
          <w:tcPr>
            <w:tcW w:w="8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57BE9" w:rsidRPr="00C57BE9" w:rsidRDefault="00C57BE9" w:rsidP="00071214">
            <w:pPr>
              <w:pStyle w:val="ListParagraph"/>
              <w:ind w:left="0"/>
              <w:jc w:val="center"/>
              <w:rPr>
                <w:rStyle w:val="hps"/>
                <w:rFonts w:ascii="Arial" w:hAnsi="Arial"/>
                <w:b/>
                <w:bCs/>
                <w:color w:val="333333"/>
                <w:sz w:val="18"/>
                <w:szCs w:val="18"/>
              </w:rPr>
            </w:pPr>
            <w:r w:rsidRPr="00C57BE9">
              <w:rPr>
                <w:rStyle w:val="hps"/>
                <w:rFonts w:ascii="Arial" w:hAnsi="Arial"/>
                <w:b/>
                <w:bCs/>
                <w:color w:val="333333"/>
                <w:sz w:val="18"/>
                <w:szCs w:val="18"/>
              </w:rPr>
              <w:t>Psychological violence</w:t>
            </w:r>
          </w:p>
        </w:tc>
        <w:tc>
          <w:tcPr>
            <w:tcW w:w="64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57BE9" w:rsidRPr="00C57BE9" w:rsidRDefault="00C57BE9" w:rsidP="00071214">
            <w:pPr>
              <w:jc w:val="center"/>
              <w:rPr>
                <w:rStyle w:val="hps"/>
                <w:rFonts w:ascii="Arial" w:hAnsi="Arial"/>
                <w:b/>
                <w:bCs/>
                <w:color w:val="333333"/>
                <w:sz w:val="18"/>
                <w:szCs w:val="18"/>
              </w:rPr>
            </w:pPr>
          </w:p>
        </w:tc>
        <w:tc>
          <w:tcPr>
            <w:tcW w:w="1085"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57BE9" w:rsidRPr="00C57BE9" w:rsidRDefault="00C57BE9" w:rsidP="00071214">
            <w:pPr>
              <w:jc w:val="center"/>
              <w:rPr>
                <w:rStyle w:val="hps"/>
                <w:rFonts w:ascii="Arial" w:hAnsi="Arial"/>
                <w:b/>
                <w:bCs/>
                <w:color w:val="333333"/>
                <w:sz w:val="18"/>
                <w:szCs w:val="18"/>
              </w:rPr>
            </w:pPr>
          </w:p>
        </w:tc>
      </w:tr>
      <w:tr w:rsidR="00980E6E" w:rsidRPr="00C57BE9" w:rsidTr="001F3264">
        <w:trPr>
          <w:jc w:val="center"/>
        </w:trPr>
        <w:tc>
          <w:tcPr>
            <w:tcW w:w="759" w:type="pct"/>
            <w:tcBorders>
              <w:top w:val="single" w:sz="4" w:space="0" w:color="auto"/>
              <w:left w:val="single" w:sz="4" w:space="0" w:color="auto"/>
              <w:bottom w:val="nil"/>
              <w:right w:val="nil"/>
            </w:tcBorders>
            <w:vAlign w:val="center"/>
          </w:tcPr>
          <w:p w:rsidR="00C57BE9" w:rsidRPr="00C57BE9" w:rsidRDefault="00C57BE9" w:rsidP="00C57BE9">
            <w:pPr>
              <w:pStyle w:val="ListParagraph"/>
              <w:ind w:left="460"/>
              <w:rPr>
                <w:rStyle w:val="hps"/>
                <w:rFonts w:ascii="Arial" w:hAnsi="Arial"/>
                <w:color w:val="333333"/>
                <w:sz w:val="18"/>
                <w:szCs w:val="18"/>
              </w:rPr>
            </w:pPr>
            <w:r w:rsidRPr="00C57BE9">
              <w:rPr>
                <w:rStyle w:val="hps"/>
                <w:rFonts w:ascii="Arial" w:hAnsi="Arial"/>
                <w:color w:val="333333"/>
                <w:sz w:val="18"/>
                <w:szCs w:val="18"/>
              </w:rPr>
              <w:t>34.5</w:t>
            </w:r>
          </w:p>
        </w:tc>
        <w:tc>
          <w:tcPr>
            <w:tcW w:w="932" w:type="pct"/>
            <w:tcBorders>
              <w:top w:val="single" w:sz="4" w:space="0" w:color="auto"/>
              <w:left w:val="nil"/>
              <w:bottom w:val="nil"/>
              <w:right w:val="single" w:sz="4" w:space="0" w:color="auto"/>
            </w:tcBorders>
            <w:vAlign w:val="center"/>
          </w:tcPr>
          <w:p w:rsidR="00C57BE9" w:rsidRPr="00C57BE9" w:rsidRDefault="00C57BE9" w:rsidP="00D03B3E">
            <w:pPr>
              <w:pStyle w:val="ListParagraph"/>
              <w:ind w:left="793"/>
              <w:rPr>
                <w:rStyle w:val="hps"/>
                <w:rFonts w:ascii="Arial" w:hAnsi="Arial"/>
                <w:color w:val="333333"/>
                <w:sz w:val="18"/>
                <w:szCs w:val="18"/>
              </w:rPr>
            </w:pPr>
            <w:r w:rsidRPr="00C57BE9">
              <w:rPr>
                <w:rStyle w:val="hps"/>
                <w:rFonts w:ascii="Arial" w:hAnsi="Arial"/>
                <w:color w:val="333333"/>
                <w:sz w:val="18"/>
                <w:szCs w:val="18"/>
              </w:rPr>
              <w:t>66.</w:t>
            </w:r>
            <w:r w:rsidR="00D03B3E">
              <w:rPr>
                <w:rStyle w:val="hps"/>
                <w:rFonts w:ascii="Arial" w:hAnsi="Arial"/>
                <w:color w:val="333333"/>
                <w:sz w:val="18"/>
                <w:szCs w:val="18"/>
              </w:rPr>
              <w:t>4</w:t>
            </w:r>
          </w:p>
        </w:tc>
        <w:tc>
          <w:tcPr>
            <w:tcW w:w="743" w:type="pct"/>
            <w:tcBorders>
              <w:top w:val="single" w:sz="4" w:space="0" w:color="auto"/>
              <w:left w:val="single" w:sz="4" w:space="0" w:color="auto"/>
              <w:bottom w:val="nil"/>
              <w:right w:val="nil"/>
            </w:tcBorders>
            <w:vAlign w:val="center"/>
          </w:tcPr>
          <w:p w:rsidR="00C57BE9" w:rsidRPr="00C57BE9" w:rsidRDefault="00C57BE9" w:rsidP="00C57BE9">
            <w:pPr>
              <w:pStyle w:val="ListParagraph"/>
              <w:ind w:left="317"/>
              <w:rPr>
                <w:rStyle w:val="hps"/>
                <w:rFonts w:ascii="Arial" w:hAnsi="Arial"/>
                <w:color w:val="333333"/>
                <w:sz w:val="18"/>
                <w:szCs w:val="18"/>
              </w:rPr>
            </w:pPr>
            <w:r w:rsidRPr="00C57BE9">
              <w:rPr>
                <w:rStyle w:val="hps"/>
                <w:rFonts w:ascii="Arial" w:hAnsi="Arial"/>
                <w:color w:val="333333"/>
                <w:sz w:val="18"/>
                <w:szCs w:val="18"/>
              </w:rPr>
              <w:t>34.4</w:t>
            </w:r>
          </w:p>
        </w:tc>
        <w:tc>
          <w:tcPr>
            <w:tcW w:w="839" w:type="pct"/>
            <w:tcBorders>
              <w:top w:val="single" w:sz="4" w:space="0" w:color="auto"/>
              <w:left w:val="nil"/>
              <w:bottom w:val="nil"/>
              <w:right w:val="single" w:sz="4" w:space="0" w:color="auto"/>
            </w:tcBorders>
            <w:vAlign w:val="center"/>
          </w:tcPr>
          <w:p w:rsidR="00C57BE9" w:rsidRPr="00C57BE9" w:rsidRDefault="00C57BE9" w:rsidP="00C57BE9">
            <w:pPr>
              <w:pStyle w:val="ListParagraph"/>
              <w:ind w:left="602"/>
              <w:rPr>
                <w:rStyle w:val="hps"/>
                <w:rFonts w:ascii="Arial" w:hAnsi="Arial"/>
                <w:color w:val="333333"/>
                <w:sz w:val="18"/>
                <w:szCs w:val="18"/>
              </w:rPr>
            </w:pPr>
            <w:r w:rsidRPr="00C57BE9">
              <w:rPr>
                <w:rStyle w:val="hps"/>
                <w:rFonts w:ascii="Arial" w:hAnsi="Arial"/>
                <w:color w:val="333333"/>
                <w:sz w:val="18"/>
                <w:szCs w:val="18"/>
              </w:rPr>
              <w:t>69.0</w:t>
            </w:r>
          </w:p>
        </w:tc>
        <w:tc>
          <w:tcPr>
            <w:tcW w:w="642" w:type="pct"/>
            <w:tcBorders>
              <w:top w:val="single" w:sz="4" w:space="0" w:color="auto"/>
              <w:left w:val="single" w:sz="4" w:space="0" w:color="auto"/>
              <w:bottom w:val="nil"/>
              <w:right w:val="single" w:sz="4" w:space="0" w:color="auto"/>
            </w:tcBorders>
            <w:vAlign w:val="center"/>
          </w:tcPr>
          <w:p w:rsidR="00C57BE9" w:rsidRPr="00980E6E" w:rsidRDefault="00C57BE9" w:rsidP="00C57BE9">
            <w:pPr>
              <w:pStyle w:val="ListParagraph"/>
              <w:ind w:left="346" w:right="-108"/>
              <w:rPr>
                <w:rStyle w:val="hps"/>
                <w:rFonts w:ascii="Arial" w:hAnsi="Arial"/>
                <w:b/>
                <w:bCs/>
                <w:color w:val="333333"/>
                <w:sz w:val="18"/>
                <w:szCs w:val="18"/>
              </w:rPr>
            </w:pPr>
            <w:r w:rsidRPr="00980E6E">
              <w:rPr>
                <w:rStyle w:val="hps"/>
                <w:rFonts w:ascii="Arial" w:hAnsi="Arial"/>
                <w:b/>
                <w:bCs/>
                <w:color w:val="333333"/>
                <w:sz w:val="18"/>
                <w:szCs w:val="18"/>
              </w:rPr>
              <w:t>51.0</w:t>
            </w:r>
          </w:p>
        </w:tc>
        <w:tc>
          <w:tcPr>
            <w:tcW w:w="1085" w:type="pct"/>
            <w:tcBorders>
              <w:top w:val="single" w:sz="4" w:space="0" w:color="auto"/>
              <w:left w:val="single" w:sz="4" w:space="0" w:color="auto"/>
              <w:bottom w:val="nil"/>
              <w:right w:val="single" w:sz="4" w:space="0" w:color="auto"/>
            </w:tcBorders>
            <w:vAlign w:val="center"/>
          </w:tcPr>
          <w:p w:rsidR="00C57BE9" w:rsidRPr="001F3264" w:rsidRDefault="00C57BE9" w:rsidP="001F3264">
            <w:pPr>
              <w:bidi w:val="0"/>
              <w:rPr>
                <w:rStyle w:val="hps"/>
                <w:rFonts w:ascii="Arial" w:hAnsi="Arial" w:cs="Arial"/>
                <w:b/>
                <w:bCs/>
                <w:color w:val="333333"/>
                <w:sz w:val="18"/>
                <w:szCs w:val="18"/>
              </w:rPr>
            </w:pPr>
            <w:r w:rsidRPr="001F3264">
              <w:rPr>
                <w:rStyle w:val="hps"/>
                <w:rFonts w:ascii="Arial" w:hAnsi="Arial" w:cs="Arial"/>
                <w:b/>
                <w:bCs/>
                <w:color w:val="333333"/>
                <w:sz w:val="18"/>
                <w:szCs w:val="18"/>
              </w:rPr>
              <w:t>Palestinian territory</w:t>
            </w:r>
          </w:p>
        </w:tc>
      </w:tr>
      <w:tr w:rsidR="00980E6E" w:rsidRPr="00C57BE9" w:rsidTr="001F3264">
        <w:trPr>
          <w:jc w:val="center"/>
        </w:trPr>
        <w:tc>
          <w:tcPr>
            <w:tcW w:w="759" w:type="pct"/>
            <w:tcBorders>
              <w:top w:val="nil"/>
              <w:left w:val="single" w:sz="4" w:space="0" w:color="auto"/>
              <w:bottom w:val="nil"/>
              <w:right w:val="nil"/>
            </w:tcBorders>
            <w:vAlign w:val="center"/>
          </w:tcPr>
          <w:p w:rsidR="00C57BE9" w:rsidRPr="00C57BE9" w:rsidRDefault="00C57BE9" w:rsidP="00D03B3E">
            <w:pPr>
              <w:pStyle w:val="ListParagraph"/>
              <w:ind w:left="460"/>
              <w:rPr>
                <w:rStyle w:val="hps"/>
                <w:rFonts w:ascii="Arial" w:hAnsi="Arial"/>
                <w:color w:val="333333"/>
                <w:sz w:val="18"/>
                <w:szCs w:val="18"/>
              </w:rPr>
            </w:pPr>
            <w:r w:rsidRPr="00C57BE9">
              <w:rPr>
                <w:rStyle w:val="hps"/>
                <w:rFonts w:ascii="Arial" w:hAnsi="Arial"/>
                <w:color w:val="333333"/>
                <w:sz w:val="18"/>
                <w:szCs w:val="18"/>
              </w:rPr>
              <w:t>27.</w:t>
            </w:r>
            <w:r w:rsidR="00D03B3E">
              <w:rPr>
                <w:rStyle w:val="hps"/>
                <w:rFonts w:ascii="Arial" w:hAnsi="Arial"/>
                <w:color w:val="333333"/>
                <w:sz w:val="18"/>
                <w:szCs w:val="18"/>
              </w:rPr>
              <w:t>7</w:t>
            </w:r>
          </w:p>
        </w:tc>
        <w:tc>
          <w:tcPr>
            <w:tcW w:w="932" w:type="pct"/>
            <w:tcBorders>
              <w:top w:val="nil"/>
              <w:left w:val="nil"/>
              <w:bottom w:val="nil"/>
              <w:right w:val="single" w:sz="4" w:space="0" w:color="auto"/>
            </w:tcBorders>
            <w:vAlign w:val="center"/>
          </w:tcPr>
          <w:p w:rsidR="00C57BE9" w:rsidRPr="00C57BE9" w:rsidRDefault="00C57BE9" w:rsidP="00C57BE9">
            <w:pPr>
              <w:pStyle w:val="ListParagraph"/>
              <w:ind w:left="793"/>
              <w:rPr>
                <w:rStyle w:val="hps"/>
                <w:rFonts w:ascii="Arial" w:hAnsi="Arial"/>
                <w:color w:val="333333"/>
                <w:sz w:val="18"/>
                <w:szCs w:val="18"/>
              </w:rPr>
            </w:pPr>
            <w:r w:rsidRPr="00C57BE9">
              <w:rPr>
                <w:rStyle w:val="hps"/>
                <w:rFonts w:ascii="Arial" w:hAnsi="Arial"/>
                <w:color w:val="333333"/>
                <w:sz w:val="18"/>
                <w:szCs w:val="18"/>
              </w:rPr>
              <w:t>61.9</w:t>
            </w:r>
          </w:p>
        </w:tc>
        <w:tc>
          <w:tcPr>
            <w:tcW w:w="743" w:type="pct"/>
            <w:tcBorders>
              <w:top w:val="nil"/>
              <w:left w:val="single" w:sz="4" w:space="0" w:color="auto"/>
              <w:bottom w:val="nil"/>
              <w:right w:val="nil"/>
            </w:tcBorders>
            <w:vAlign w:val="center"/>
          </w:tcPr>
          <w:p w:rsidR="00C57BE9" w:rsidRPr="00C57BE9" w:rsidRDefault="00C57BE9" w:rsidP="00C57BE9">
            <w:pPr>
              <w:pStyle w:val="ListParagraph"/>
              <w:ind w:left="317"/>
              <w:rPr>
                <w:rStyle w:val="hps"/>
                <w:rFonts w:ascii="Arial" w:hAnsi="Arial"/>
                <w:color w:val="333333"/>
                <w:sz w:val="18"/>
                <w:szCs w:val="18"/>
              </w:rPr>
            </w:pPr>
            <w:r w:rsidRPr="00C57BE9">
              <w:rPr>
                <w:rStyle w:val="hps"/>
                <w:rFonts w:ascii="Arial" w:hAnsi="Arial"/>
                <w:color w:val="333333"/>
                <w:sz w:val="18"/>
                <w:szCs w:val="18"/>
              </w:rPr>
              <w:t>28.7</w:t>
            </w:r>
          </w:p>
        </w:tc>
        <w:tc>
          <w:tcPr>
            <w:tcW w:w="839" w:type="pct"/>
            <w:tcBorders>
              <w:top w:val="nil"/>
              <w:left w:val="nil"/>
              <w:bottom w:val="nil"/>
              <w:right w:val="single" w:sz="4" w:space="0" w:color="auto"/>
            </w:tcBorders>
            <w:vAlign w:val="center"/>
          </w:tcPr>
          <w:p w:rsidR="00C57BE9" w:rsidRPr="00C57BE9" w:rsidRDefault="00C57BE9" w:rsidP="00C57BE9">
            <w:pPr>
              <w:pStyle w:val="ListParagraph"/>
              <w:ind w:left="602"/>
              <w:rPr>
                <w:rStyle w:val="hps"/>
                <w:rFonts w:ascii="Arial" w:hAnsi="Arial"/>
                <w:color w:val="333333"/>
                <w:sz w:val="18"/>
                <w:szCs w:val="18"/>
              </w:rPr>
            </w:pPr>
            <w:r w:rsidRPr="00C57BE9">
              <w:rPr>
                <w:rStyle w:val="hps"/>
                <w:rFonts w:ascii="Arial" w:hAnsi="Arial"/>
                <w:color w:val="333333"/>
                <w:sz w:val="18"/>
                <w:szCs w:val="18"/>
              </w:rPr>
              <w:t>64.7</w:t>
            </w:r>
          </w:p>
        </w:tc>
        <w:tc>
          <w:tcPr>
            <w:tcW w:w="642" w:type="pct"/>
            <w:tcBorders>
              <w:top w:val="nil"/>
              <w:left w:val="single" w:sz="4" w:space="0" w:color="auto"/>
              <w:bottom w:val="nil"/>
              <w:right w:val="single" w:sz="4" w:space="0" w:color="auto"/>
            </w:tcBorders>
            <w:vAlign w:val="center"/>
          </w:tcPr>
          <w:p w:rsidR="00C57BE9" w:rsidRPr="00980E6E" w:rsidRDefault="00C57BE9" w:rsidP="00C57BE9">
            <w:pPr>
              <w:pStyle w:val="ListParagraph"/>
              <w:ind w:left="346" w:right="-108"/>
              <w:rPr>
                <w:rStyle w:val="hps"/>
                <w:rFonts w:ascii="Arial" w:hAnsi="Arial"/>
                <w:b/>
                <w:bCs/>
                <w:color w:val="333333"/>
                <w:sz w:val="18"/>
                <w:szCs w:val="18"/>
              </w:rPr>
            </w:pPr>
            <w:r w:rsidRPr="00980E6E">
              <w:rPr>
                <w:rStyle w:val="hps"/>
                <w:rFonts w:ascii="Arial" w:hAnsi="Arial"/>
                <w:b/>
                <w:bCs/>
                <w:color w:val="333333"/>
                <w:sz w:val="18"/>
                <w:szCs w:val="18"/>
              </w:rPr>
              <w:t>45.8</w:t>
            </w:r>
          </w:p>
        </w:tc>
        <w:tc>
          <w:tcPr>
            <w:tcW w:w="1085" w:type="pct"/>
            <w:tcBorders>
              <w:top w:val="nil"/>
              <w:left w:val="single" w:sz="4" w:space="0" w:color="auto"/>
              <w:bottom w:val="nil"/>
              <w:right w:val="single" w:sz="4" w:space="0" w:color="auto"/>
            </w:tcBorders>
            <w:vAlign w:val="center"/>
          </w:tcPr>
          <w:p w:rsidR="00C57BE9" w:rsidRPr="001F3264" w:rsidRDefault="00C57BE9" w:rsidP="001F3264">
            <w:pPr>
              <w:bidi w:val="0"/>
              <w:rPr>
                <w:rStyle w:val="hps"/>
                <w:rFonts w:ascii="Arial" w:hAnsi="Arial" w:cs="Arial"/>
                <w:color w:val="333333"/>
                <w:sz w:val="18"/>
                <w:szCs w:val="18"/>
              </w:rPr>
            </w:pPr>
            <w:r w:rsidRPr="001F3264">
              <w:rPr>
                <w:rStyle w:val="hps"/>
                <w:rFonts w:ascii="Arial" w:hAnsi="Arial" w:cs="Arial"/>
                <w:color w:val="333333"/>
                <w:sz w:val="18"/>
                <w:szCs w:val="18"/>
              </w:rPr>
              <w:t>West Bank</w:t>
            </w:r>
          </w:p>
        </w:tc>
      </w:tr>
      <w:tr w:rsidR="00980E6E" w:rsidRPr="00C57BE9" w:rsidTr="001F3264">
        <w:trPr>
          <w:jc w:val="center"/>
        </w:trPr>
        <w:tc>
          <w:tcPr>
            <w:tcW w:w="759" w:type="pct"/>
            <w:tcBorders>
              <w:top w:val="nil"/>
              <w:left w:val="single" w:sz="4" w:space="0" w:color="auto"/>
              <w:bottom w:val="single" w:sz="4" w:space="0" w:color="auto"/>
              <w:right w:val="nil"/>
            </w:tcBorders>
            <w:vAlign w:val="center"/>
          </w:tcPr>
          <w:p w:rsidR="00C57BE9" w:rsidRPr="00C57BE9" w:rsidRDefault="00C57BE9" w:rsidP="00D03B3E">
            <w:pPr>
              <w:pStyle w:val="ListParagraph"/>
              <w:ind w:left="460"/>
              <w:rPr>
                <w:rStyle w:val="hps"/>
                <w:rFonts w:ascii="Arial" w:hAnsi="Arial"/>
                <w:color w:val="333333"/>
                <w:sz w:val="18"/>
                <w:szCs w:val="18"/>
              </w:rPr>
            </w:pPr>
            <w:r w:rsidRPr="00C57BE9">
              <w:rPr>
                <w:rStyle w:val="hps"/>
                <w:rFonts w:ascii="Arial" w:hAnsi="Arial"/>
                <w:color w:val="333333"/>
                <w:sz w:val="18"/>
                <w:szCs w:val="18"/>
              </w:rPr>
              <w:t>45.</w:t>
            </w:r>
            <w:r w:rsidR="00D03B3E">
              <w:rPr>
                <w:rStyle w:val="hps"/>
                <w:rFonts w:ascii="Arial" w:hAnsi="Arial"/>
                <w:color w:val="333333"/>
                <w:sz w:val="18"/>
                <w:szCs w:val="18"/>
              </w:rPr>
              <w:t>2</w:t>
            </w:r>
          </w:p>
        </w:tc>
        <w:tc>
          <w:tcPr>
            <w:tcW w:w="932" w:type="pct"/>
            <w:tcBorders>
              <w:top w:val="nil"/>
              <w:left w:val="nil"/>
              <w:bottom w:val="single" w:sz="4" w:space="0" w:color="auto"/>
              <w:right w:val="single" w:sz="4" w:space="0" w:color="auto"/>
            </w:tcBorders>
            <w:vAlign w:val="center"/>
          </w:tcPr>
          <w:p w:rsidR="00C57BE9" w:rsidRPr="00C57BE9" w:rsidRDefault="00C57BE9" w:rsidP="00C57BE9">
            <w:pPr>
              <w:pStyle w:val="ListParagraph"/>
              <w:ind w:left="793"/>
              <w:rPr>
                <w:rStyle w:val="hps"/>
                <w:rFonts w:ascii="Arial" w:hAnsi="Arial"/>
                <w:color w:val="333333"/>
                <w:sz w:val="18"/>
                <w:szCs w:val="18"/>
              </w:rPr>
            </w:pPr>
            <w:r w:rsidRPr="00C57BE9">
              <w:rPr>
                <w:rStyle w:val="hps"/>
                <w:rFonts w:ascii="Arial" w:hAnsi="Arial"/>
                <w:color w:val="333333"/>
                <w:sz w:val="18"/>
                <w:szCs w:val="18"/>
              </w:rPr>
              <w:t>73.3</w:t>
            </w:r>
          </w:p>
        </w:tc>
        <w:tc>
          <w:tcPr>
            <w:tcW w:w="743" w:type="pct"/>
            <w:tcBorders>
              <w:top w:val="nil"/>
              <w:left w:val="single" w:sz="4" w:space="0" w:color="auto"/>
              <w:bottom w:val="single" w:sz="4" w:space="0" w:color="auto"/>
              <w:right w:val="nil"/>
            </w:tcBorders>
            <w:vAlign w:val="center"/>
          </w:tcPr>
          <w:p w:rsidR="00C57BE9" w:rsidRPr="00C57BE9" w:rsidRDefault="00C57BE9" w:rsidP="00C57BE9">
            <w:pPr>
              <w:pStyle w:val="ListParagraph"/>
              <w:ind w:left="317"/>
              <w:rPr>
                <w:rStyle w:val="hps"/>
                <w:rFonts w:ascii="Arial" w:hAnsi="Arial"/>
                <w:color w:val="333333"/>
                <w:sz w:val="18"/>
                <w:szCs w:val="18"/>
              </w:rPr>
            </w:pPr>
            <w:r w:rsidRPr="00C57BE9">
              <w:rPr>
                <w:rStyle w:val="hps"/>
                <w:rFonts w:ascii="Arial" w:hAnsi="Arial"/>
                <w:color w:val="333333"/>
                <w:sz w:val="18"/>
                <w:szCs w:val="18"/>
              </w:rPr>
              <w:t>43.2</w:t>
            </w:r>
          </w:p>
        </w:tc>
        <w:tc>
          <w:tcPr>
            <w:tcW w:w="839" w:type="pct"/>
            <w:tcBorders>
              <w:top w:val="nil"/>
              <w:left w:val="nil"/>
              <w:bottom w:val="single" w:sz="4" w:space="0" w:color="auto"/>
              <w:right w:val="single" w:sz="4" w:space="0" w:color="auto"/>
            </w:tcBorders>
            <w:vAlign w:val="center"/>
          </w:tcPr>
          <w:p w:rsidR="00C57BE9" w:rsidRPr="00C57BE9" w:rsidRDefault="00C57BE9" w:rsidP="00C57BE9">
            <w:pPr>
              <w:pStyle w:val="ListParagraph"/>
              <w:ind w:left="602"/>
              <w:rPr>
                <w:rStyle w:val="hps"/>
                <w:rFonts w:ascii="Arial" w:hAnsi="Arial"/>
                <w:color w:val="333333"/>
                <w:sz w:val="18"/>
                <w:szCs w:val="18"/>
              </w:rPr>
            </w:pPr>
            <w:r w:rsidRPr="00C57BE9">
              <w:rPr>
                <w:rStyle w:val="hps"/>
                <w:rFonts w:ascii="Arial" w:hAnsi="Arial"/>
                <w:color w:val="333333"/>
                <w:sz w:val="18"/>
                <w:szCs w:val="18"/>
              </w:rPr>
              <w:t>75.9</w:t>
            </w:r>
          </w:p>
        </w:tc>
        <w:tc>
          <w:tcPr>
            <w:tcW w:w="642" w:type="pct"/>
            <w:tcBorders>
              <w:top w:val="nil"/>
              <w:left w:val="single" w:sz="4" w:space="0" w:color="auto"/>
              <w:bottom w:val="single" w:sz="4" w:space="0" w:color="auto"/>
              <w:right w:val="single" w:sz="4" w:space="0" w:color="auto"/>
              <w:tr2bl w:val="nil"/>
            </w:tcBorders>
            <w:vAlign w:val="center"/>
          </w:tcPr>
          <w:p w:rsidR="00C57BE9" w:rsidRPr="00980E6E" w:rsidRDefault="00C57BE9" w:rsidP="00C57BE9">
            <w:pPr>
              <w:pStyle w:val="ListParagraph"/>
              <w:ind w:left="346" w:right="-108"/>
              <w:rPr>
                <w:rStyle w:val="hps"/>
                <w:rFonts w:ascii="Arial" w:hAnsi="Arial"/>
                <w:b/>
                <w:bCs/>
                <w:color w:val="333333"/>
                <w:sz w:val="18"/>
                <w:szCs w:val="18"/>
              </w:rPr>
            </w:pPr>
            <w:r w:rsidRPr="00980E6E">
              <w:rPr>
                <w:rStyle w:val="hps"/>
                <w:rFonts w:ascii="Arial" w:hAnsi="Arial"/>
                <w:b/>
                <w:bCs/>
                <w:color w:val="333333"/>
                <w:sz w:val="18"/>
                <w:szCs w:val="18"/>
              </w:rPr>
              <w:t>59.4</w:t>
            </w:r>
          </w:p>
        </w:tc>
        <w:tc>
          <w:tcPr>
            <w:tcW w:w="1085" w:type="pct"/>
            <w:tcBorders>
              <w:top w:val="nil"/>
              <w:left w:val="single" w:sz="4" w:space="0" w:color="auto"/>
              <w:bottom w:val="single" w:sz="4" w:space="0" w:color="auto"/>
              <w:right w:val="single" w:sz="4" w:space="0" w:color="auto"/>
            </w:tcBorders>
            <w:vAlign w:val="center"/>
          </w:tcPr>
          <w:p w:rsidR="00C57BE9" w:rsidRPr="001F3264" w:rsidRDefault="00C57BE9" w:rsidP="001F3264">
            <w:pPr>
              <w:bidi w:val="0"/>
              <w:rPr>
                <w:rStyle w:val="hps"/>
                <w:rFonts w:ascii="Arial" w:hAnsi="Arial" w:cs="Arial"/>
                <w:color w:val="333333"/>
                <w:sz w:val="18"/>
                <w:szCs w:val="18"/>
              </w:rPr>
            </w:pPr>
            <w:r w:rsidRPr="001F3264">
              <w:rPr>
                <w:rStyle w:val="hps"/>
                <w:rFonts w:ascii="Arial" w:hAnsi="Arial" w:cs="Arial"/>
                <w:color w:val="333333"/>
                <w:sz w:val="18"/>
                <w:szCs w:val="18"/>
              </w:rPr>
              <w:t>Gaza Strip</w:t>
            </w:r>
          </w:p>
        </w:tc>
      </w:tr>
    </w:tbl>
    <w:p w:rsidR="001F3264" w:rsidRDefault="001F3264" w:rsidP="001F3264">
      <w:pPr>
        <w:pStyle w:val="ListParagraph"/>
        <w:tabs>
          <w:tab w:val="right" w:pos="142"/>
        </w:tabs>
        <w:ind w:left="0"/>
        <w:jc w:val="both"/>
        <w:rPr>
          <w:rStyle w:val="hps"/>
          <w:rFonts w:ascii="Times New Roman" w:hAnsi="Times New Roman" w:cs="Times New Roman"/>
          <w:b/>
          <w:bCs/>
          <w:sz w:val="24"/>
          <w:szCs w:val="24"/>
        </w:rPr>
      </w:pPr>
      <w:r w:rsidRPr="00391141">
        <w:rPr>
          <w:rFonts w:ascii="Times New Roman" w:hAnsi="Times New Roman" w:cs="Times New Roman"/>
          <w:b/>
          <w:bCs/>
          <w:sz w:val="16"/>
          <w:szCs w:val="12"/>
        </w:rPr>
        <w:t>Source: Palestinian Central Bureau of Statistics, 2011.</w:t>
      </w:r>
      <w:r>
        <w:rPr>
          <w:rFonts w:ascii="Times New Roman" w:hAnsi="Times New Roman" w:cs="Times New Roman"/>
          <w:b/>
          <w:bCs/>
          <w:sz w:val="16"/>
          <w:szCs w:val="12"/>
        </w:rPr>
        <w:t xml:space="preserve"> </w:t>
      </w:r>
      <w:r w:rsidRPr="00391141">
        <w:rPr>
          <w:rFonts w:ascii="Times New Roman" w:hAnsi="Times New Roman" w:cs="Times New Roman"/>
          <w:b/>
          <w:bCs/>
          <w:sz w:val="16"/>
          <w:szCs w:val="12"/>
        </w:rPr>
        <w:t xml:space="preserve"> </w:t>
      </w:r>
      <w:r w:rsidRPr="00391141">
        <w:rPr>
          <w:rFonts w:ascii="Times New Roman" w:hAnsi="Times New Roman" w:cs="Times New Roman"/>
          <w:i/>
          <w:iCs/>
          <w:sz w:val="16"/>
          <w:szCs w:val="12"/>
        </w:rPr>
        <w:t>Press Release Main Findings of Violence survey in  the Palestinian Society, 2011</w:t>
      </w:r>
      <w:r w:rsidRPr="00391141">
        <w:rPr>
          <w:rFonts w:ascii="Times New Roman" w:hAnsi="Times New Roman" w:cs="Times New Roman"/>
          <w:sz w:val="16"/>
          <w:szCs w:val="12"/>
        </w:rPr>
        <w:t xml:space="preserve">.  </w:t>
      </w:r>
      <w:r w:rsidRPr="00C5641D">
        <w:rPr>
          <w:rFonts w:ascii="Times New Roman" w:hAnsi="Times New Roman" w:cs="Times New Roman"/>
          <w:b/>
          <w:bCs/>
          <w:sz w:val="16"/>
          <w:szCs w:val="12"/>
        </w:rPr>
        <w:t>Ramallah – Palestine</w:t>
      </w:r>
    </w:p>
    <w:p w:rsidR="00215F79" w:rsidRPr="002B24DA" w:rsidRDefault="00215F79" w:rsidP="003853A5">
      <w:pPr>
        <w:bidi w:val="0"/>
        <w:jc w:val="both"/>
        <w:rPr>
          <w:rStyle w:val="hps"/>
          <w:b/>
          <w:bCs/>
          <w:color w:val="333333"/>
          <w:rtl/>
        </w:rPr>
      </w:pPr>
      <w:r>
        <w:rPr>
          <w:rStyle w:val="hps"/>
          <w:b/>
          <w:bCs/>
          <w:color w:val="333333"/>
        </w:rPr>
        <w:t xml:space="preserve">Parents are the </w:t>
      </w:r>
      <w:r w:rsidR="009B4283">
        <w:rPr>
          <w:rStyle w:val="hps"/>
          <w:b/>
          <w:bCs/>
          <w:color w:val="333333"/>
        </w:rPr>
        <w:t>F</w:t>
      </w:r>
      <w:r>
        <w:rPr>
          <w:rStyle w:val="hps"/>
          <w:b/>
          <w:bCs/>
          <w:color w:val="333333"/>
        </w:rPr>
        <w:t xml:space="preserve">irst to </w:t>
      </w:r>
      <w:r w:rsidR="009B4283">
        <w:rPr>
          <w:rStyle w:val="hps"/>
          <w:b/>
          <w:bCs/>
          <w:color w:val="333333"/>
        </w:rPr>
        <w:t>P</w:t>
      </w:r>
      <w:r>
        <w:rPr>
          <w:rStyle w:val="hps"/>
          <w:b/>
          <w:bCs/>
          <w:color w:val="333333"/>
        </w:rPr>
        <w:t xml:space="preserve">ractice </w:t>
      </w:r>
      <w:r w:rsidR="009B4283">
        <w:rPr>
          <w:rStyle w:val="hps"/>
          <w:b/>
          <w:bCs/>
          <w:color w:val="333333"/>
        </w:rPr>
        <w:t>V</w:t>
      </w:r>
      <w:r>
        <w:rPr>
          <w:rStyle w:val="hps"/>
          <w:b/>
          <w:bCs/>
          <w:color w:val="333333"/>
        </w:rPr>
        <w:t xml:space="preserve">iolence </w:t>
      </w:r>
      <w:bookmarkStart w:id="0" w:name="OLE_LINK1"/>
      <w:bookmarkStart w:id="1" w:name="OLE_LINK2"/>
      <w:r w:rsidR="009B4283">
        <w:rPr>
          <w:rStyle w:val="hps"/>
          <w:b/>
          <w:bCs/>
          <w:color w:val="333333"/>
        </w:rPr>
        <w:t>A</w:t>
      </w:r>
      <w:r>
        <w:rPr>
          <w:rStyle w:val="hps"/>
          <w:b/>
          <w:bCs/>
          <w:color w:val="333333"/>
        </w:rPr>
        <w:t>gainst</w:t>
      </w:r>
      <w:bookmarkEnd w:id="0"/>
      <w:bookmarkEnd w:id="1"/>
      <w:r>
        <w:rPr>
          <w:rStyle w:val="hps"/>
          <w:b/>
          <w:bCs/>
          <w:color w:val="333333"/>
        </w:rPr>
        <w:t xml:space="preserve"> </w:t>
      </w:r>
      <w:r w:rsidR="009B4283">
        <w:rPr>
          <w:rStyle w:val="hps"/>
          <w:b/>
          <w:bCs/>
          <w:color w:val="333333"/>
        </w:rPr>
        <w:t>C</w:t>
      </w:r>
      <w:r w:rsidRPr="002B24DA">
        <w:rPr>
          <w:rStyle w:val="hps"/>
          <w:b/>
          <w:bCs/>
          <w:color w:val="333333"/>
        </w:rPr>
        <w:t xml:space="preserve">hildren </w:t>
      </w:r>
    </w:p>
    <w:p w:rsidR="00215F79" w:rsidRDefault="00215F79" w:rsidP="00D03B3E">
      <w:pPr>
        <w:bidi w:val="0"/>
        <w:jc w:val="both"/>
        <w:rPr>
          <w:rStyle w:val="hps"/>
          <w:color w:val="333333"/>
        </w:rPr>
      </w:pPr>
      <w:r w:rsidRPr="00DE1B20">
        <w:rPr>
          <w:rStyle w:val="hps"/>
          <w:color w:val="333333"/>
        </w:rPr>
        <w:t>51.0% of children</w:t>
      </w:r>
      <w:r w:rsidR="000B4E6D">
        <w:rPr>
          <w:rStyle w:val="hps"/>
          <w:color w:val="333333"/>
        </w:rPr>
        <w:t xml:space="preserve"> 12-17 years</w:t>
      </w:r>
      <w:r w:rsidRPr="00DE1B20">
        <w:rPr>
          <w:rStyle w:val="hps"/>
          <w:color w:val="333333"/>
        </w:rPr>
        <w:t xml:space="preserve"> were exposed to violence inside the household by one individual member of the household</w:t>
      </w:r>
      <w:r w:rsidR="00606A5B">
        <w:rPr>
          <w:rStyle w:val="hps"/>
          <w:color w:val="333333"/>
        </w:rPr>
        <w:t xml:space="preserve"> in 2011</w:t>
      </w:r>
      <w:r w:rsidRPr="00DE1B20">
        <w:rPr>
          <w:rStyle w:val="hps"/>
          <w:color w:val="333333"/>
        </w:rPr>
        <w:t xml:space="preserve">; 45.8% in West Bank </w:t>
      </w:r>
      <w:r>
        <w:rPr>
          <w:rStyle w:val="hps"/>
          <w:color w:val="333333"/>
        </w:rPr>
        <w:t>compared to</w:t>
      </w:r>
      <w:r w:rsidRPr="00DE1B20">
        <w:rPr>
          <w:rStyle w:val="hps"/>
          <w:color w:val="333333"/>
        </w:rPr>
        <w:t xml:space="preserve"> 59.4% in Gaz</w:t>
      </w:r>
      <w:r>
        <w:rPr>
          <w:rStyle w:val="hps"/>
          <w:color w:val="333333"/>
        </w:rPr>
        <w:t xml:space="preserve">a Strip; </w:t>
      </w:r>
      <w:r w:rsidRPr="00DE1B20">
        <w:rPr>
          <w:rStyle w:val="hps"/>
          <w:color w:val="333333"/>
        </w:rPr>
        <w:t>69.0% of them were exposed to psychological violence</w:t>
      </w:r>
      <w:r>
        <w:rPr>
          <w:rStyle w:val="hps"/>
          <w:color w:val="333333"/>
        </w:rPr>
        <w:t xml:space="preserve"> by their parents, </w:t>
      </w:r>
      <w:r w:rsidRPr="00DE1B20">
        <w:rPr>
          <w:rStyle w:val="hps"/>
          <w:color w:val="333333"/>
        </w:rPr>
        <w:t xml:space="preserve"> and 34.4% to ph</w:t>
      </w:r>
      <w:r>
        <w:rPr>
          <w:rStyle w:val="hps"/>
          <w:color w:val="333333"/>
        </w:rPr>
        <w:t xml:space="preserve">ysical violence </w:t>
      </w:r>
      <w:r w:rsidRPr="00DE1B20">
        <w:rPr>
          <w:rStyle w:val="hps"/>
          <w:color w:val="333333"/>
        </w:rPr>
        <w:t>compared to 66.</w:t>
      </w:r>
      <w:r w:rsidR="00D03B3E">
        <w:rPr>
          <w:rStyle w:val="hps"/>
          <w:color w:val="333333"/>
        </w:rPr>
        <w:t>4</w:t>
      </w:r>
      <w:r w:rsidRPr="00DE1B20">
        <w:rPr>
          <w:rStyle w:val="hps"/>
          <w:color w:val="333333"/>
        </w:rPr>
        <w:t>% of these children were exposed to psychological violence</w:t>
      </w:r>
      <w:r>
        <w:rPr>
          <w:rStyle w:val="hps"/>
          <w:color w:val="333333"/>
        </w:rPr>
        <w:t xml:space="preserve"> </w:t>
      </w:r>
      <w:r w:rsidRPr="00DE1B20">
        <w:rPr>
          <w:rStyle w:val="hps"/>
          <w:color w:val="333333"/>
        </w:rPr>
        <w:t xml:space="preserve"> and 34.5% to physical violence by their mothers</w:t>
      </w:r>
      <w:r w:rsidR="001D3010">
        <w:rPr>
          <w:rStyle w:val="hps"/>
          <w:color w:val="333333"/>
        </w:rPr>
        <w:t xml:space="preserve"> </w:t>
      </w:r>
      <w:r w:rsidRPr="00DE1B20">
        <w:rPr>
          <w:rStyle w:val="hps"/>
          <w:color w:val="333333"/>
        </w:rPr>
        <w:t xml:space="preserve">. </w:t>
      </w:r>
    </w:p>
    <w:p w:rsidR="004C727A" w:rsidRDefault="004C727A" w:rsidP="006D3241">
      <w:pPr>
        <w:pStyle w:val="ListParagraph"/>
        <w:spacing w:after="0" w:line="240" w:lineRule="auto"/>
        <w:ind w:left="0"/>
        <w:jc w:val="both"/>
        <w:rPr>
          <w:rFonts w:ascii="Times New Roman" w:hAnsi="Times New Roman" w:cs="Times New Roman"/>
          <w:b/>
          <w:bCs/>
          <w:sz w:val="24"/>
          <w:szCs w:val="24"/>
        </w:rPr>
      </w:pPr>
    </w:p>
    <w:p w:rsidR="006D3241" w:rsidRDefault="006D3241" w:rsidP="006D3241">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b/>
          <w:bCs/>
          <w:sz w:val="24"/>
          <w:szCs w:val="24"/>
        </w:rPr>
        <w:t>About two thirds of children who were exposed to violence resort to a parent to ask for help</w:t>
      </w:r>
    </w:p>
    <w:p w:rsidR="006D3241" w:rsidRPr="006D3241" w:rsidRDefault="006D3241" w:rsidP="006D3241">
      <w:pPr>
        <w:bidi w:val="0"/>
        <w:jc w:val="both"/>
        <w:rPr>
          <w:rStyle w:val="hps"/>
          <w:color w:val="333333"/>
        </w:rPr>
      </w:pPr>
      <w:r w:rsidRPr="006D3241">
        <w:rPr>
          <w:rStyle w:val="hps"/>
          <w:color w:val="333333"/>
        </w:rPr>
        <w:t>70.8% of children who had been subjected to violence resorted to a parent, it followed by 30.1% of children resorted to one of  brothers and sisters, and 28.6% of the</w:t>
      </w:r>
      <w:r w:rsidR="00D03B3E">
        <w:rPr>
          <w:rStyle w:val="hps"/>
          <w:color w:val="333333"/>
        </w:rPr>
        <w:t xml:space="preserve"> children resorted</w:t>
      </w:r>
    </w:p>
    <w:p w:rsidR="006D3241" w:rsidRPr="006D3241" w:rsidRDefault="006D3241" w:rsidP="006D3241">
      <w:pPr>
        <w:bidi w:val="0"/>
        <w:jc w:val="both"/>
        <w:rPr>
          <w:rStyle w:val="hps"/>
          <w:color w:val="333333"/>
        </w:rPr>
      </w:pPr>
      <w:r w:rsidRPr="006D3241">
        <w:rPr>
          <w:rStyle w:val="hps"/>
          <w:color w:val="333333"/>
        </w:rPr>
        <w:lastRenderedPageBreak/>
        <w:t>to a friend. Also, data revealed that 20.2% of children resorted to a social adviser at  school, while 12.3% of  children resorted to a teacher .</w:t>
      </w:r>
    </w:p>
    <w:p w:rsidR="003853A5" w:rsidRDefault="003853A5" w:rsidP="003853A5">
      <w:pPr>
        <w:bidi w:val="0"/>
        <w:jc w:val="both"/>
        <w:rPr>
          <w:rStyle w:val="hps"/>
          <w:color w:val="333333"/>
        </w:rPr>
      </w:pPr>
    </w:p>
    <w:p w:rsidR="00E436EF" w:rsidRDefault="001F3264" w:rsidP="003853A5">
      <w:pPr>
        <w:bidi w:val="0"/>
        <w:jc w:val="both"/>
        <w:rPr>
          <w:b/>
          <w:bCs/>
        </w:rPr>
      </w:pPr>
      <w:r>
        <w:rPr>
          <w:b/>
          <w:bCs/>
        </w:rPr>
        <w:t>5</w:t>
      </w:r>
      <w:r w:rsidR="006207DA">
        <w:rPr>
          <w:b/>
          <w:bCs/>
        </w:rPr>
        <w:t>.</w:t>
      </w:r>
      <w:r w:rsidR="005E6416">
        <w:rPr>
          <w:b/>
          <w:bCs/>
        </w:rPr>
        <w:t>6</w:t>
      </w:r>
      <w:r w:rsidR="006207DA">
        <w:rPr>
          <w:b/>
          <w:bCs/>
        </w:rPr>
        <w:t xml:space="preserve"> Detained </w:t>
      </w:r>
      <w:r w:rsidR="009B4283">
        <w:rPr>
          <w:b/>
          <w:bCs/>
        </w:rPr>
        <w:t>C</w:t>
      </w:r>
      <w:r w:rsidR="006207DA">
        <w:rPr>
          <w:b/>
          <w:bCs/>
        </w:rPr>
        <w:t xml:space="preserve">hildren </w:t>
      </w:r>
    </w:p>
    <w:p w:rsidR="00E436EF" w:rsidRDefault="00E436EF">
      <w:pPr>
        <w:bidi w:val="0"/>
        <w:jc w:val="both"/>
        <w:rPr>
          <w:b/>
          <w:bCs/>
        </w:rPr>
      </w:pPr>
    </w:p>
    <w:p w:rsidR="00E436EF" w:rsidRDefault="006207DA">
      <w:pPr>
        <w:pBdr>
          <w:top w:val="single" w:sz="4" w:space="7" w:color="auto"/>
          <w:left w:val="single" w:sz="4" w:space="4" w:color="auto"/>
          <w:bottom w:val="single" w:sz="4" w:space="1" w:color="auto"/>
          <w:right w:val="single" w:sz="4" w:space="0" w:color="auto"/>
        </w:pBdr>
        <w:bidi w:val="0"/>
        <w:jc w:val="both"/>
      </w:pPr>
      <w:r>
        <w:rPr>
          <w:b/>
          <w:bCs/>
        </w:rPr>
        <w:t>No child shall be deprived of his or her liberty unlawfully or arbitrarily. The arrest, detention or imprisonment of a child shall be in conformity with the law and shall be used only as a measure of last resort and for the shortest appropriate period of time.</w:t>
      </w:r>
      <w:r>
        <w:t xml:space="preserve"> (</w:t>
      </w:r>
      <w:r>
        <w:rPr>
          <w:i/>
          <w:iCs/>
        </w:rPr>
        <w:t>Convention on the Rights of the Child, Article 37</w:t>
      </w:r>
      <w:r>
        <w:t>).</w:t>
      </w:r>
    </w:p>
    <w:p w:rsidR="00E436EF" w:rsidRDefault="00E436EF">
      <w:pPr>
        <w:bidi w:val="0"/>
        <w:jc w:val="both"/>
      </w:pPr>
    </w:p>
    <w:p w:rsidR="00E436EF" w:rsidRDefault="006207DA">
      <w:pPr>
        <w:bidi w:val="0"/>
        <w:jc w:val="both"/>
      </w:pPr>
      <w:r>
        <w:t>The Israeli occupation deprives detained Palestinian children from their basic rights awarded by international agreements regardless of their religion, race or ethnicity. These rights prohibit random imprisonment, and guarantee knowing the reason of imprisonment, the right of having a lawyer, informing families about the reason and place of their children’s imprisonment, connections to the outside word, refuting the allegations and having human and dignified treatment.  Many international charters state that torturing children is taboo in prisons and jails:</w:t>
      </w:r>
    </w:p>
    <w:p w:rsidR="00E436EF" w:rsidRDefault="00E436EF">
      <w:pPr>
        <w:bidi w:val="0"/>
        <w:jc w:val="both"/>
      </w:pPr>
    </w:p>
    <w:p w:rsidR="00E436EF" w:rsidRDefault="006207DA">
      <w:pPr>
        <w:bidi w:val="0"/>
        <w:ind w:left="426" w:right="706"/>
        <w:jc w:val="lowKashida"/>
      </w:pPr>
      <w:r>
        <w:t>"Torturing, severe punishment, inhuman and undignified treatment are prohibited.</w:t>
      </w:r>
    </w:p>
    <w:p w:rsidR="00E436EF" w:rsidRDefault="006207DA">
      <w:pPr>
        <w:bidi w:val="0"/>
        <w:ind w:left="426" w:right="706"/>
        <w:jc w:val="right"/>
      </w:pPr>
      <w:r>
        <w:t>"(</w:t>
      </w:r>
      <w:r>
        <w:rPr>
          <w:i/>
          <w:iCs/>
        </w:rPr>
        <w:t xml:space="preserve"> International Declaration of Human Rights, Article 5</w:t>
      </w:r>
      <w:r>
        <w:t>).</w:t>
      </w:r>
    </w:p>
    <w:p w:rsidR="00E436EF" w:rsidRDefault="00E436EF">
      <w:pPr>
        <w:bidi w:val="0"/>
        <w:ind w:left="426" w:right="706"/>
        <w:jc w:val="lowKashida"/>
      </w:pPr>
    </w:p>
    <w:p w:rsidR="00E436EF" w:rsidRDefault="006207DA">
      <w:pPr>
        <w:bidi w:val="0"/>
        <w:ind w:left="426" w:right="706"/>
        <w:jc w:val="lowKashida"/>
      </w:pPr>
      <w:r>
        <w:t xml:space="preserve">“Every member country undertakes that all kinds or torturing are war crimes in its criminal law including any person involved in torturing." </w:t>
      </w:r>
    </w:p>
    <w:p w:rsidR="00E436EF" w:rsidRDefault="006207DA">
      <w:pPr>
        <w:bidi w:val="0"/>
        <w:ind w:left="426" w:right="706"/>
        <w:jc w:val="right"/>
        <w:rPr>
          <w:i/>
          <w:iCs/>
        </w:rPr>
      </w:pPr>
      <w:r>
        <w:rPr>
          <w:i/>
          <w:iCs/>
        </w:rPr>
        <w:t>(Convention Against Torture, Article 4).</w:t>
      </w:r>
    </w:p>
    <w:p w:rsidR="00E436EF" w:rsidRDefault="00E436EF">
      <w:pPr>
        <w:bidi w:val="0"/>
        <w:ind w:left="426" w:right="706"/>
        <w:jc w:val="lowKashida"/>
        <w:rPr>
          <w:i/>
          <w:iCs/>
        </w:rPr>
      </w:pPr>
    </w:p>
    <w:p w:rsidR="00E436EF" w:rsidRDefault="006207DA">
      <w:pPr>
        <w:bidi w:val="0"/>
        <w:ind w:left="426" w:right="706"/>
        <w:jc w:val="lowKashida"/>
      </w:pPr>
      <w:r>
        <w:t>"No exceptional conditions such as war condition or threatening by war or any political instability or crises and emergency cases are excuses for torturing."</w:t>
      </w:r>
    </w:p>
    <w:p w:rsidR="00E436EF" w:rsidRDefault="006207DA">
      <w:pPr>
        <w:pStyle w:val="BlockText"/>
        <w:jc w:val="right"/>
        <w:rPr>
          <w:i/>
          <w:iCs/>
        </w:rPr>
      </w:pPr>
      <w:r>
        <w:rPr>
          <w:i/>
          <w:iCs/>
        </w:rPr>
        <w:t>(Convention Against Torture, Article 2-2).</w:t>
      </w:r>
    </w:p>
    <w:p w:rsidR="00E436EF" w:rsidRDefault="00E436EF">
      <w:pPr>
        <w:pStyle w:val="BlockText"/>
        <w:jc w:val="lowKashida"/>
      </w:pPr>
    </w:p>
    <w:p w:rsidR="00E436EF" w:rsidRDefault="006207DA">
      <w:pPr>
        <w:pStyle w:val="BlockText"/>
        <w:jc w:val="lowKashida"/>
      </w:pPr>
      <w:r>
        <w:t xml:space="preserve">"Each is prohibited from taking any measure of such a character as to cause the physical suffering or extermination of Protected Persons in their hands. This prohibition applies not only to murder, torture, corporal punishments, mutilation, and medical or scientific experiments not necessitated by the medical treament of a Protected Person but also to any other measures of brutality whether applied by civilian or miltiary agents.” </w:t>
      </w:r>
    </w:p>
    <w:p w:rsidR="00E436EF" w:rsidRDefault="006207DA">
      <w:pPr>
        <w:pStyle w:val="BlockText"/>
        <w:jc w:val="right"/>
        <w:rPr>
          <w:i/>
          <w:iCs/>
        </w:rPr>
      </w:pPr>
      <w:r>
        <w:rPr>
          <w:i/>
          <w:iCs/>
        </w:rPr>
        <w:t>(The Fourth Geneva Convention, Article 32)</w:t>
      </w:r>
    </w:p>
    <w:p w:rsidR="00E436EF" w:rsidRDefault="006207DA">
      <w:pPr>
        <w:bidi w:val="0"/>
        <w:jc w:val="both"/>
      </w:pPr>
      <w:r>
        <w:t>Despite these charters and international agreements, Israel violates these norms and practices by using extreme types of psychological and physical punishment against Palestinian children in jails not only during interrogations but during other stages.</w:t>
      </w:r>
    </w:p>
    <w:p w:rsidR="00E436EF" w:rsidRDefault="00E436EF">
      <w:pPr>
        <w:bidi w:val="0"/>
        <w:jc w:val="both"/>
      </w:pPr>
    </w:p>
    <w:p w:rsidR="00E436EF" w:rsidRDefault="006207DA">
      <w:pPr>
        <w:bidi w:val="0"/>
        <w:jc w:val="both"/>
      </w:pPr>
      <w:r>
        <w:t xml:space="preserve">These quotations talk about young and old individuals. But the Convention on the Rights of the Child, Article 37-d, states that: "Every child deprived of his or her liberty shall have the right to prompt access to legal and other appropriate assistance…before a court or other competent, independent and impartial authority…” </w:t>
      </w:r>
    </w:p>
    <w:p w:rsidR="00E436EF" w:rsidRDefault="00E436EF">
      <w:pPr>
        <w:bidi w:val="0"/>
        <w:jc w:val="both"/>
      </w:pPr>
    </w:p>
    <w:p w:rsidR="00E436EF" w:rsidRDefault="006207DA">
      <w:pPr>
        <w:bidi w:val="0"/>
        <w:jc w:val="both"/>
      </w:pPr>
      <w:r>
        <w:t>In many cases, lawyers do not have easy access to their clients who are also judged in courts for adults. Moreover, children of Jerusalem are jailed with Jewish criminals who threaten their lives. It is worth mentioning that Israel is a signatory to all treaties and international charters for children.</w:t>
      </w:r>
    </w:p>
    <w:p w:rsidR="005C7D22" w:rsidRDefault="005C7D22" w:rsidP="005C7D22">
      <w:pPr>
        <w:bidi w:val="0"/>
        <w:jc w:val="both"/>
      </w:pPr>
    </w:p>
    <w:p w:rsidR="00E436EF" w:rsidRDefault="006207DA">
      <w:pPr>
        <w:bidi w:val="0"/>
        <w:jc w:val="both"/>
      </w:pPr>
      <w:r>
        <w:lastRenderedPageBreak/>
        <w:t>Israel practices racial discrimination against Palestinian children. It has a double-standard law when dealing with Jewish children who receive a fair judgment. Furthermore, Israel considers Jewish children to be those under18 while Palestinian children are those under 16 years old.</w:t>
      </w:r>
    </w:p>
    <w:p w:rsidR="00E436EF" w:rsidRDefault="00E436EF">
      <w:pPr>
        <w:bidi w:val="0"/>
        <w:jc w:val="both"/>
      </w:pPr>
    </w:p>
    <w:p w:rsidR="00C22A36" w:rsidRDefault="006207DA" w:rsidP="00F91C39">
      <w:pPr>
        <w:bidi w:val="0"/>
        <w:jc w:val="both"/>
        <w:rPr>
          <w:szCs w:val="24"/>
        </w:rPr>
      </w:pPr>
      <w:r>
        <w:rPr>
          <w:szCs w:val="24"/>
        </w:rPr>
        <w:t xml:space="preserve">According to the data </w:t>
      </w:r>
      <w:r w:rsidR="00F91C39">
        <w:t xml:space="preserve">of the Ministry for Detainees and Prisoners </w:t>
      </w:r>
      <w:r>
        <w:rPr>
          <w:szCs w:val="24"/>
        </w:rPr>
        <w:t xml:space="preserve">in </w:t>
      </w:r>
      <w:r w:rsidR="000032EB">
        <w:rPr>
          <w:szCs w:val="24"/>
        </w:rPr>
        <w:t>2012</w:t>
      </w:r>
      <w:r>
        <w:rPr>
          <w:szCs w:val="24"/>
        </w:rPr>
        <w:t xml:space="preserve">, the Israeli occupation authorities are holding </w:t>
      </w:r>
      <w:r w:rsidR="00C22A36">
        <w:rPr>
          <w:szCs w:val="24"/>
        </w:rPr>
        <w:t>179</w:t>
      </w:r>
      <w:r>
        <w:rPr>
          <w:szCs w:val="24"/>
        </w:rPr>
        <w:t xml:space="preserve"> child in the age group13-18 years, amid harsh conditions and flagrant violations of all rights. </w:t>
      </w:r>
      <w:r w:rsidR="00C22A36">
        <w:rPr>
          <w:szCs w:val="24"/>
        </w:rPr>
        <w:t xml:space="preserve">Detained children constitute about 4.4% of the total detainees in Israeli jails. </w:t>
      </w:r>
      <w:r>
        <w:rPr>
          <w:szCs w:val="24"/>
        </w:rPr>
        <w:t xml:space="preserve"> </w:t>
      </w:r>
      <w:r w:rsidR="00C22A36">
        <w:rPr>
          <w:szCs w:val="24"/>
        </w:rPr>
        <w:t>Among the detained children, there are (42) serving sentenced terms, (136) awaiting pending trial, and (1) children are under administrative detention without charge.</w:t>
      </w:r>
      <w:r>
        <w:rPr>
          <w:szCs w:val="24"/>
        </w:rPr>
        <w:t xml:space="preserve"> </w:t>
      </w:r>
      <w:r w:rsidR="00C22A36">
        <w:rPr>
          <w:szCs w:val="24"/>
        </w:rPr>
        <w:t>It is worth mentioning in this context that hundreds of detainees were arrested when they were children and now they are over the age of 18 years but still in captivity inside Israeli jails.</w:t>
      </w:r>
    </w:p>
    <w:p w:rsidR="00E436EF" w:rsidRDefault="00E436EF" w:rsidP="00C22A36">
      <w:pPr>
        <w:bidi w:val="0"/>
        <w:jc w:val="both"/>
        <w:rPr>
          <w:szCs w:val="24"/>
        </w:rPr>
      </w:pPr>
    </w:p>
    <w:p w:rsidR="00E436EF" w:rsidRDefault="00E436EF">
      <w:pPr>
        <w:bidi w:val="0"/>
        <w:jc w:val="both"/>
        <w:rPr>
          <w:szCs w:val="24"/>
        </w:rPr>
      </w:pPr>
    </w:p>
    <w:p w:rsidR="00E436EF" w:rsidRDefault="006207DA">
      <w:pPr>
        <w:bidi w:val="0"/>
        <w:jc w:val="both"/>
        <w:rPr>
          <w:szCs w:val="24"/>
        </w:rPr>
      </w:pPr>
      <w:r>
        <w:rPr>
          <w:szCs w:val="24"/>
        </w:rPr>
        <w:t>According to the same source, the Israeli occupation authorities exercise harsh methods of arrest and interrogation of Palestinian children in Occupied Palestinian Territory. Furthermore, the Israeli occupation authorities deprive detained children of the most basic rights granted by international and human rights conventions, specifically the right to not be subjected to arbitrary arrest, the right to know the reason for the arrest, the right to have an attorney, the right of families to know the cause and place of detention, the right to appear before a judge, the right to object to charges and challenge them, the right to communicate with the outside world, and the right to humane treatment that maintain the dignity of the detained child.</w:t>
      </w:r>
    </w:p>
    <w:p w:rsidR="00E436EF" w:rsidRDefault="00E436EF">
      <w:pPr>
        <w:bidi w:val="0"/>
        <w:jc w:val="both"/>
        <w:rPr>
          <w:szCs w:val="24"/>
        </w:rPr>
      </w:pPr>
    </w:p>
    <w:p w:rsidR="00E436EF" w:rsidRDefault="006207DA">
      <w:pPr>
        <w:bidi w:val="0"/>
        <w:rPr>
          <w:b/>
          <w:bCs/>
          <w:szCs w:val="24"/>
        </w:rPr>
      </w:pPr>
      <w:r>
        <w:rPr>
          <w:b/>
          <w:bCs/>
          <w:szCs w:val="24"/>
        </w:rPr>
        <w:t>Torture of Children in Israeli jails</w:t>
      </w:r>
    </w:p>
    <w:p w:rsidR="00E436EF" w:rsidRDefault="00F91C39" w:rsidP="007013D9">
      <w:pPr>
        <w:bidi w:val="0"/>
        <w:jc w:val="both"/>
        <w:rPr>
          <w:szCs w:val="24"/>
        </w:rPr>
      </w:pPr>
      <w:r>
        <w:rPr>
          <w:szCs w:val="24"/>
        </w:rPr>
        <w:t xml:space="preserve">According to data </w:t>
      </w:r>
      <w:r>
        <w:t xml:space="preserve">of the Ministry for Detainees and </w:t>
      </w:r>
      <w:r w:rsidR="007013D9">
        <w:t>Ex-</w:t>
      </w:r>
      <w:r w:rsidR="003A31A9">
        <w:t xml:space="preserve">War </w:t>
      </w:r>
      <w:r>
        <w:t>Prisoners</w:t>
      </w:r>
      <w:r w:rsidR="007013D9">
        <w:rPr>
          <w:szCs w:val="24"/>
        </w:rPr>
        <w:t>of</w:t>
      </w:r>
      <w:r w:rsidR="000032EB">
        <w:rPr>
          <w:szCs w:val="24"/>
        </w:rPr>
        <w:t>2012</w:t>
      </w:r>
      <w:r w:rsidR="007013D9">
        <w:rPr>
          <w:szCs w:val="24"/>
        </w:rPr>
        <w:t>,</w:t>
      </w:r>
      <w:r w:rsidR="000032EB">
        <w:rPr>
          <w:szCs w:val="24"/>
        </w:rPr>
        <w:t xml:space="preserve"> </w:t>
      </w:r>
      <w:r w:rsidR="006207DA">
        <w:rPr>
          <w:szCs w:val="24"/>
        </w:rPr>
        <w:t>the Israeli occupation authorities use</w:t>
      </w:r>
      <w:r w:rsidR="007013D9">
        <w:rPr>
          <w:szCs w:val="24"/>
        </w:rPr>
        <w:t>d</w:t>
      </w:r>
      <w:r w:rsidR="006207DA">
        <w:rPr>
          <w:szCs w:val="24"/>
        </w:rPr>
        <w:t xml:space="preserve"> detention and interrogation methods against children  in the same manner as with adult detainees. Children detainees are subjected from the moment of arrest to varying types of torture, humiliation, and cruel treatment. Children detainees  are forcefully and brutally taken away from their homes in late night hours and are subjected to degrading treatment while being transported to detention centers. In addition, these children are usually subjected to various methods of investigation along with unfair arbitrary court procedures.</w:t>
      </w:r>
    </w:p>
    <w:p w:rsidR="00E436EF" w:rsidRDefault="00E436EF">
      <w:pPr>
        <w:bidi w:val="0"/>
        <w:jc w:val="both"/>
        <w:rPr>
          <w:szCs w:val="24"/>
        </w:rPr>
      </w:pPr>
    </w:p>
    <w:p w:rsidR="00E436EF" w:rsidRDefault="006207DA">
      <w:pPr>
        <w:bidi w:val="0"/>
        <w:jc w:val="both"/>
        <w:rPr>
          <w:szCs w:val="24"/>
        </w:rPr>
      </w:pPr>
      <w:r>
        <w:rPr>
          <w:szCs w:val="24"/>
        </w:rPr>
        <w:t>Interrogation methods with children include the beating with</w:t>
      </w:r>
      <w:r w:rsidR="00CE2149">
        <w:rPr>
          <w:szCs w:val="24"/>
        </w:rPr>
        <w:t xml:space="preserve"> a</w:t>
      </w:r>
      <w:r>
        <w:rPr>
          <w:szCs w:val="24"/>
        </w:rPr>
        <w:t xml:space="preserve"> focus on the upper body parts and head, body burning with cigarette, threat to deport their families, head sacking, blowing up homes, cuffing hands and legs, blindfolding, the use of electric shocks, and ghosting (forced to stand up against the wall with hands up for long period of time). In addition,  the Israeli authorities exercise inhumane interrogation methods that include deprivation of sleep for several days, applying psychological stress, insults and verbal abuse, as well as violent shaking (carrying the child and shake him frequently till the child loses conscious).</w:t>
      </w:r>
    </w:p>
    <w:p w:rsidR="00E436EF" w:rsidRDefault="00E436EF">
      <w:pPr>
        <w:bidi w:val="0"/>
        <w:jc w:val="both"/>
        <w:rPr>
          <w:szCs w:val="24"/>
        </w:rPr>
      </w:pPr>
    </w:p>
    <w:p w:rsidR="00E436EF" w:rsidRDefault="006207DA">
      <w:pPr>
        <w:bidi w:val="0"/>
        <w:jc w:val="both"/>
        <w:rPr>
          <w:szCs w:val="24"/>
        </w:rPr>
      </w:pPr>
      <w:r>
        <w:rPr>
          <w:szCs w:val="24"/>
        </w:rPr>
        <w:t>Detained children are also subjected to torture methods such as spraying them with cold and hot water for long periods, forcing them to eat ice cubes, in addition to applying loud noise to the ears causing great harm and psychological stress to the detained child.</w:t>
      </w:r>
    </w:p>
    <w:p w:rsidR="00E436EF" w:rsidRDefault="00E436EF">
      <w:pPr>
        <w:bidi w:val="0"/>
        <w:jc w:val="both"/>
        <w:rPr>
          <w:szCs w:val="24"/>
        </w:rPr>
      </w:pPr>
    </w:p>
    <w:p w:rsidR="00E436EF" w:rsidRDefault="006207DA">
      <w:pPr>
        <w:bidi w:val="0"/>
        <w:jc w:val="both"/>
        <w:rPr>
          <w:szCs w:val="24"/>
        </w:rPr>
      </w:pPr>
      <w:r>
        <w:rPr>
          <w:szCs w:val="24"/>
        </w:rPr>
        <w:t>According to the same source, the most serious type of torture and interrogation that children suffer is to confine them in same detention room notoriously known as "disgrace rooms"  with collaborators  in order to extract confessions deceptively, as well as to threaten detained children with imprisonment for long periods, demolition of their homes as well as the arrest of members of the family, if they do not cooperate with Israeli intelligence.</w:t>
      </w:r>
    </w:p>
    <w:p w:rsidR="00E436EF" w:rsidRDefault="006207DA">
      <w:pPr>
        <w:pStyle w:val="Heading1"/>
        <w:rPr>
          <w:b/>
          <w:bCs/>
          <w:sz w:val="24"/>
          <w:szCs w:val="24"/>
        </w:rPr>
      </w:pPr>
      <w:r>
        <w:rPr>
          <w:b/>
          <w:bCs/>
          <w:sz w:val="24"/>
          <w:szCs w:val="24"/>
        </w:rPr>
        <w:lastRenderedPageBreak/>
        <w:t>References</w:t>
      </w:r>
    </w:p>
    <w:p w:rsidR="00E436EF" w:rsidRDefault="00E436EF"/>
    <w:p w:rsidR="00E436EF" w:rsidRDefault="006207DA" w:rsidP="002F613C">
      <w:pPr>
        <w:numPr>
          <w:ilvl w:val="0"/>
          <w:numId w:val="2"/>
        </w:numPr>
        <w:pBdr>
          <w:bottom w:val="dotted" w:sz="4" w:space="1" w:color="auto"/>
        </w:pBdr>
        <w:tabs>
          <w:tab w:val="clear" w:pos="720"/>
          <w:tab w:val="num" w:pos="284"/>
        </w:tabs>
        <w:bidi w:val="0"/>
        <w:ind w:left="284" w:right="70" w:hanging="284"/>
        <w:jc w:val="lowKashida"/>
      </w:pPr>
      <w:r>
        <w:rPr>
          <w:rFonts w:cs="Simplified Arabic"/>
          <w:b/>
          <w:bCs/>
        </w:rPr>
        <w:t xml:space="preserve">Palestinian Central Bureau of Statistics, 2010. </w:t>
      </w:r>
      <w:r>
        <w:rPr>
          <w:color w:val="000000"/>
        </w:rPr>
        <w:t>Annual Report 2010. Palestine children –Issues and statistics.  Child statistics series (No. 13)</w:t>
      </w:r>
      <w:r>
        <w:t xml:space="preserve"> . </w:t>
      </w:r>
      <w:r w:rsidRPr="00C5641D">
        <w:rPr>
          <w:b/>
          <w:bCs/>
        </w:rPr>
        <w:t>Ramallah – Palestine</w:t>
      </w:r>
      <w:r>
        <w:t>.</w:t>
      </w:r>
    </w:p>
    <w:p w:rsidR="00E436EF" w:rsidRDefault="006207DA" w:rsidP="002F613C">
      <w:pPr>
        <w:pStyle w:val="FootnoteText"/>
        <w:pBdr>
          <w:bottom w:val="dotted" w:sz="4" w:space="1" w:color="auto"/>
        </w:pBdr>
        <w:tabs>
          <w:tab w:val="right" w:pos="284"/>
        </w:tabs>
        <w:bidi w:val="0"/>
        <w:ind w:left="284" w:right="357" w:hanging="295"/>
        <w:jc w:val="lowKashida"/>
        <w:rPr>
          <w:b/>
          <w:bCs/>
          <w:lang w:bidi="ar-JO"/>
        </w:rPr>
      </w:pPr>
      <w:r>
        <w:rPr>
          <w:b/>
          <w:bCs/>
          <w:sz w:val="24"/>
          <w:szCs w:val="24"/>
        </w:rPr>
        <w:t>-   Palestinian Central Bureau of Statistics</w:t>
      </w:r>
      <w:r>
        <w:rPr>
          <w:sz w:val="24"/>
          <w:szCs w:val="24"/>
        </w:rPr>
        <w:t xml:space="preserve">, </w:t>
      </w:r>
      <w:r>
        <w:rPr>
          <w:b/>
          <w:bCs/>
          <w:sz w:val="24"/>
          <w:szCs w:val="24"/>
        </w:rPr>
        <w:t>2011</w:t>
      </w:r>
      <w:r>
        <w:rPr>
          <w:sz w:val="24"/>
          <w:szCs w:val="24"/>
        </w:rPr>
        <w:t xml:space="preserve">. </w:t>
      </w:r>
      <w:r>
        <w:rPr>
          <w:i/>
          <w:iCs/>
          <w:sz w:val="24"/>
          <w:szCs w:val="24"/>
        </w:rPr>
        <w:t xml:space="preserve">Labor Force Survey 2010 -  Labor Force Database.(unpublished data)- </w:t>
      </w:r>
      <w:r w:rsidRPr="00C5641D">
        <w:rPr>
          <w:b/>
          <w:bCs/>
          <w:sz w:val="24"/>
          <w:szCs w:val="24"/>
        </w:rPr>
        <w:t>Ramallah- Palestine</w:t>
      </w:r>
    </w:p>
    <w:p w:rsidR="00E436EF" w:rsidRDefault="006207DA" w:rsidP="002F613C">
      <w:pPr>
        <w:pStyle w:val="FootnoteText"/>
        <w:numPr>
          <w:ilvl w:val="1"/>
          <w:numId w:val="2"/>
        </w:numPr>
        <w:pBdr>
          <w:bottom w:val="dotted" w:sz="2" w:space="1" w:color="auto"/>
        </w:pBdr>
        <w:tabs>
          <w:tab w:val="clear" w:pos="1440"/>
          <w:tab w:val="num" w:pos="284"/>
        </w:tabs>
        <w:bidi w:val="0"/>
        <w:ind w:left="284" w:right="357" w:hanging="284"/>
        <w:jc w:val="both"/>
        <w:rPr>
          <w:sz w:val="24"/>
          <w:szCs w:val="24"/>
        </w:rPr>
      </w:pPr>
      <w:r>
        <w:rPr>
          <w:b/>
          <w:bCs/>
          <w:sz w:val="24"/>
          <w:szCs w:val="24"/>
        </w:rPr>
        <w:t xml:space="preserve">Palestinian Central Bureau of Statistics, 2011. </w:t>
      </w:r>
      <w:r>
        <w:rPr>
          <w:sz w:val="24"/>
          <w:szCs w:val="24"/>
        </w:rPr>
        <w:t xml:space="preserve">data base of Palestinian Expenditure and consumption survey, 2010 .  (unpublished data)- </w:t>
      </w:r>
      <w:r w:rsidRPr="00C5641D">
        <w:rPr>
          <w:b/>
          <w:bCs/>
          <w:sz w:val="24"/>
          <w:szCs w:val="24"/>
        </w:rPr>
        <w:t>Ramallah- Palestine</w:t>
      </w:r>
      <w:r>
        <w:rPr>
          <w:sz w:val="24"/>
          <w:szCs w:val="24"/>
        </w:rPr>
        <w:t>.</w:t>
      </w:r>
    </w:p>
    <w:p w:rsidR="00E436EF" w:rsidRDefault="00E436EF" w:rsidP="002F613C">
      <w:pPr>
        <w:tabs>
          <w:tab w:val="num" w:pos="284"/>
          <w:tab w:val="num" w:pos="426"/>
        </w:tabs>
        <w:bidi w:val="0"/>
        <w:ind w:hanging="709"/>
        <w:jc w:val="lowKashida"/>
        <w:rPr>
          <w:b/>
          <w:bCs/>
          <w:sz w:val="16"/>
          <w:szCs w:val="16"/>
          <w:lang w:bidi="ar-JO"/>
        </w:rPr>
      </w:pPr>
    </w:p>
    <w:p w:rsidR="00E436EF" w:rsidRPr="00F91C39" w:rsidRDefault="00F91C39" w:rsidP="008A676B">
      <w:pPr>
        <w:pStyle w:val="FootnoteText"/>
        <w:numPr>
          <w:ilvl w:val="1"/>
          <w:numId w:val="2"/>
        </w:numPr>
        <w:pBdr>
          <w:bottom w:val="dotted" w:sz="2" w:space="1" w:color="auto"/>
        </w:pBdr>
        <w:tabs>
          <w:tab w:val="clear" w:pos="1440"/>
          <w:tab w:val="num" w:pos="284"/>
        </w:tabs>
        <w:bidi w:val="0"/>
        <w:ind w:left="284" w:right="357" w:hanging="284"/>
        <w:jc w:val="both"/>
        <w:rPr>
          <w:b/>
          <w:bCs/>
          <w:sz w:val="24"/>
          <w:szCs w:val="24"/>
        </w:rPr>
      </w:pPr>
      <w:r w:rsidRPr="00F91C39">
        <w:rPr>
          <w:b/>
          <w:bCs/>
          <w:sz w:val="24"/>
          <w:szCs w:val="24"/>
        </w:rPr>
        <w:t>Ministry for Detainees and Prisoners</w:t>
      </w:r>
      <w:r>
        <w:rPr>
          <w:b/>
          <w:bCs/>
          <w:sz w:val="24"/>
          <w:szCs w:val="24"/>
        </w:rPr>
        <w:t xml:space="preserve">. 2012. </w:t>
      </w:r>
      <w:r w:rsidR="008A676B">
        <w:rPr>
          <w:sz w:val="24"/>
          <w:szCs w:val="24"/>
        </w:rPr>
        <w:t>Administrative</w:t>
      </w:r>
      <w:r w:rsidR="008A676B" w:rsidRPr="008A676B">
        <w:rPr>
          <w:sz w:val="24"/>
          <w:szCs w:val="24"/>
        </w:rPr>
        <w:t xml:space="preserve"> records.</w:t>
      </w:r>
      <w:r w:rsidR="008A676B">
        <w:rPr>
          <w:szCs w:val="24"/>
        </w:rPr>
        <w:t xml:space="preserve"> </w:t>
      </w:r>
      <w:r w:rsidR="008A676B" w:rsidRPr="00C5641D">
        <w:rPr>
          <w:b/>
          <w:bCs/>
          <w:sz w:val="24"/>
          <w:szCs w:val="24"/>
        </w:rPr>
        <w:t>Ramallah- Palestine</w:t>
      </w:r>
    </w:p>
    <w:p w:rsidR="006207DA" w:rsidRDefault="006207DA">
      <w:pPr>
        <w:bidi w:val="0"/>
        <w:spacing w:line="360" w:lineRule="auto"/>
        <w:jc w:val="both"/>
        <w:rPr>
          <w:rtl/>
        </w:rPr>
      </w:pPr>
    </w:p>
    <w:sectPr w:rsidR="006207DA" w:rsidSect="00A94A38">
      <w:headerReference w:type="default" r:id="rId10"/>
      <w:footerReference w:type="even" r:id="rId11"/>
      <w:footerReference w:type="default" r:id="rId12"/>
      <w:endnotePr>
        <w:numFmt w:val="lowerLetter"/>
      </w:endnotePr>
      <w:pgSz w:w="11906" w:h="16838"/>
      <w:pgMar w:top="1418" w:right="1418" w:bottom="1418" w:left="1418" w:header="720" w:footer="720" w:gutter="0"/>
      <w:pgNumType w:start="53"/>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58C6" w:rsidRDefault="000458C6">
      <w:r>
        <w:separator/>
      </w:r>
    </w:p>
  </w:endnote>
  <w:endnote w:type="continuationSeparator" w:id="0">
    <w:p w:rsidR="000458C6" w:rsidRDefault="000458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6EF" w:rsidRDefault="00EE6589">
    <w:pPr>
      <w:pStyle w:val="Footer"/>
      <w:framePr w:wrap="around" w:vAnchor="text" w:hAnchor="margin" w:xAlign="center" w:y="1"/>
      <w:rPr>
        <w:rStyle w:val="PageNumber"/>
        <w:rtl/>
      </w:rPr>
    </w:pPr>
    <w:r>
      <w:rPr>
        <w:rStyle w:val="PageNumber"/>
      </w:rPr>
      <w:fldChar w:fldCharType="begin"/>
    </w:r>
    <w:r w:rsidR="006207DA">
      <w:rPr>
        <w:rStyle w:val="PageNumber"/>
      </w:rPr>
      <w:instrText xml:space="preserve">PAGE  </w:instrText>
    </w:r>
    <w:r>
      <w:rPr>
        <w:rStyle w:val="PageNumber"/>
      </w:rPr>
      <w:fldChar w:fldCharType="separate"/>
    </w:r>
    <w:r w:rsidR="006207DA">
      <w:rPr>
        <w:rStyle w:val="PageNumber"/>
      </w:rPr>
      <w:t>2</w:t>
    </w:r>
    <w:r>
      <w:rPr>
        <w:rStyle w:val="PageNumber"/>
      </w:rPr>
      <w:fldChar w:fldCharType="end"/>
    </w:r>
  </w:p>
  <w:p w:rsidR="00E436EF" w:rsidRDefault="00E436EF">
    <w:pPr>
      <w:pStyle w:val="Footer"/>
      <w:ind w:right="360"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6EF" w:rsidRDefault="00EE6589">
    <w:pPr>
      <w:pStyle w:val="Footer"/>
      <w:framePr w:wrap="around" w:vAnchor="text" w:hAnchor="margin" w:xAlign="center" w:y="1"/>
      <w:rPr>
        <w:rStyle w:val="PageNumber"/>
        <w:rFonts w:cs="Times New Roman"/>
        <w:sz w:val="22"/>
        <w:szCs w:val="22"/>
        <w:rtl/>
      </w:rPr>
    </w:pPr>
    <w:r>
      <w:rPr>
        <w:rStyle w:val="PageNumber"/>
        <w:rFonts w:cs="Times New Roman"/>
        <w:sz w:val="22"/>
        <w:szCs w:val="22"/>
        <w:rtl/>
      </w:rPr>
      <w:fldChar w:fldCharType="begin"/>
    </w:r>
    <w:r w:rsidR="006207DA">
      <w:rPr>
        <w:rStyle w:val="PageNumber"/>
        <w:rFonts w:cs="Times New Roman"/>
        <w:sz w:val="22"/>
        <w:szCs w:val="22"/>
      </w:rPr>
      <w:instrText xml:space="preserve">PAGE  </w:instrText>
    </w:r>
    <w:r>
      <w:rPr>
        <w:rStyle w:val="PageNumber"/>
        <w:rFonts w:cs="Times New Roman"/>
        <w:sz w:val="22"/>
        <w:szCs w:val="22"/>
        <w:rtl/>
      </w:rPr>
      <w:fldChar w:fldCharType="separate"/>
    </w:r>
    <w:r w:rsidR="00BA65FB">
      <w:rPr>
        <w:rStyle w:val="PageNumber"/>
        <w:rFonts w:cs="Times New Roman"/>
        <w:sz w:val="22"/>
        <w:szCs w:val="22"/>
        <w:rtl/>
      </w:rPr>
      <w:t>58</w:t>
    </w:r>
    <w:r>
      <w:rPr>
        <w:rStyle w:val="PageNumber"/>
        <w:rFonts w:cs="Times New Roman"/>
        <w:sz w:val="22"/>
        <w:szCs w:val="22"/>
        <w:rtl/>
      </w:rPr>
      <w:fldChar w:fldCharType="end"/>
    </w:r>
  </w:p>
  <w:p w:rsidR="00E436EF" w:rsidRDefault="00E436EF">
    <w:pPr>
      <w:pStyle w:val="Footer"/>
      <w:bidi w:val="0"/>
      <w:ind w:right="-2"/>
      <w:jc w:val="lowKashida"/>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58C6" w:rsidRDefault="000458C6">
      <w:r>
        <w:separator/>
      </w:r>
    </w:p>
  </w:footnote>
  <w:footnote w:type="continuationSeparator" w:id="0">
    <w:p w:rsidR="000458C6" w:rsidRDefault="000458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6EF" w:rsidRDefault="006207DA" w:rsidP="00215F79">
    <w:pPr>
      <w:pStyle w:val="Header"/>
      <w:pBdr>
        <w:bottom w:val="thinThickMediumGap" w:sz="12" w:space="1" w:color="auto"/>
      </w:pBdr>
      <w:rPr>
        <w:b/>
        <w:bCs/>
        <w:sz w:val="18"/>
        <w:szCs w:val="18"/>
        <w:rtl/>
        <w:lang w:eastAsia="en-US"/>
      </w:rPr>
    </w:pPr>
    <w:r>
      <w:rPr>
        <w:b/>
        <w:bCs/>
        <w:sz w:val="18"/>
        <w:szCs w:val="18"/>
        <w:lang w:eastAsia="en-US"/>
      </w:rPr>
      <w:t>PALESTINIAN CHILDREN-ISSUES AND STATISTICS. No (1</w:t>
    </w:r>
    <w:r w:rsidR="00215F79">
      <w:rPr>
        <w:b/>
        <w:bCs/>
        <w:sz w:val="18"/>
        <w:szCs w:val="18"/>
        <w:lang w:eastAsia="en-US"/>
      </w:rPr>
      <w:t>5</w:t>
    </w:r>
    <w:r>
      <w:rPr>
        <w:b/>
        <w:bCs/>
        <w:sz w:val="18"/>
        <w:szCs w:val="18"/>
        <w:lang w:eastAsia="en-US"/>
      </w:rPr>
      <w:t>), 20</w:t>
    </w:r>
    <w:r w:rsidR="00215F79">
      <w:rPr>
        <w:b/>
        <w:bCs/>
        <w:sz w:val="18"/>
        <w:szCs w:val="18"/>
        <w:lang w:eastAsia="en-US"/>
      </w:rPr>
      <w:t>12</w:t>
    </w:r>
  </w:p>
  <w:p w:rsidR="00E436EF" w:rsidRDefault="00E436EF">
    <w:pPr>
      <w:pStyle w:val="Header"/>
      <w:rPr>
        <w:sz w:val="18"/>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5094A"/>
    <w:multiLevelType w:val="hybridMultilevel"/>
    <w:tmpl w:val="8E4EEA8C"/>
    <w:lvl w:ilvl="0" w:tplc="2CF86CAC">
      <w:numFmt w:val="bullet"/>
      <w:lvlText w:val="-"/>
      <w:lvlJc w:val="left"/>
      <w:pPr>
        <w:tabs>
          <w:tab w:val="num" w:pos="720"/>
        </w:tabs>
        <w:ind w:left="720" w:right="720" w:hanging="360"/>
      </w:pPr>
      <w:rPr>
        <w:rFonts w:ascii="Times New Roman" w:eastAsia="Times New Roman" w:hAnsi="Times New Roman" w:cs="Times New Roman" w:hint="default"/>
        <w:b/>
      </w:rPr>
    </w:lvl>
    <w:lvl w:ilvl="1" w:tplc="A8703B9E">
      <w:start w:val="2"/>
      <w:numFmt w:val="bullet"/>
      <w:lvlText w:val="-"/>
      <w:lvlJc w:val="left"/>
      <w:pPr>
        <w:tabs>
          <w:tab w:val="num" w:pos="1440"/>
        </w:tabs>
        <w:ind w:left="1440" w:right="1440" w:hanging="360"/>
      </w:pPr>
      <w:rPr>
        <w:rFonts w:ascii="Arial" w:eastAsia="Times New Roman" w:hAnsi="Arial" w:cs="Aria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58DD6C62"/>
    <w:multiLevelType w:val="hybridMultilevel"/>
    <w:tmpl w:val="91AE257A"/>
    <w:lvl w:ilvl="0" w:tplc="B4BC371A">
      <w:start w:val="1"/>
      <w:numFmt w:val="bullet"/>
      <w:lvlText w:val="­"/>
      <w:lvlJc w:val="left"/>
      <w:pPr>
        <w:tabs>
          <w:tab w:val="num" w:pos="0"/>
        </w:tabs>
        <w:ind w:left="0" w:hanging="360"/>
      </w:pPr>
      <w:rPr>
        <w:rFonts w:ascii="Times New Roman" w:hAnsi="Times New Roman" w:cs="Times New Roman"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76802"/>
  </w:hdrShapeDefaults>
  <w:footnotePr>
    <w:footnote w:id="-1"/>
    <w:footnote w:id="0"/>
  </w:footnotePr>
  <w:endnotePr>
    <w:numFmt w:val="lowerLetter"/>
    <w:endnote w:id="-1"/>
    <w:endnote w:id="0"/>
  </w:endnotePr>
  <w:compat/>
  <w:rsids>
    <w:rsidRoot w:val="00215F79"/>
    <w:rsid w:val="000032EB"/>
    <w:rsid w:val="000153F9"/>
    <w:rsid w:val="000458C6"/>
    <w:rsid w:val="000872EC"/>
    <w:rsid w:val="000B4E6D"/>
    <w:rsid w:val="000C1E3B"/>
    <w:rsid w:val="000D6ACB"/>
    <w:rsid w:val="000F3891"/>
    <w:rsid w:val="00120FA1"/>
    <w:rsid w:val="001409FB"/>
    <w:rsid w:val="001622C3"/>
    <w:rsid w:val="0016430A"/>
    <w:rsid w:val="00174D70"/>
    <w:rsid w:val="001966D9"/>
    <w:rsid w:val="001A4385"/>
    <w:rsid w:val="001B718C"/>
    <w:rsid w:val="001D3010"/>
    <w:rsid w:val="001E3B9B"/>
    <w:rsid w:val="001F3264"/>
    <w:rsid w:val="00201334"/>
    <w:rsid w:val="00215F79"/>
    <w:rsid w:val="002C168C"/>
    <w:rsid w:val="002C68A3"/>
    <w:rsid w:val="002F613C"/>
    <w:rsid w:val="002F7301"/>
    <w:rsid w:val="00321E71"/>
    <w:rsid w:val="003717E3"/>
    <w:rsid w:val="003853A5"/>
    <w:rsid w:val="00391141"/>
    <w:rsid w:val="003A31A9"/>
    <w:rsid w:val="003B04DE"/>
    <w:rsid w:val="003D5FC8"/>
    <w:rsid w:val="003F3652"/>
    <w:rsid w:val="0044493D"/>
    <w:rsid w:val="004509E4"/>
    <w:rsid w:val="00455AAA"/>
    <w:rsid w:val="00476CB0"/>
    <w:rsid w:val="00490A82"/>
    <w:rsid w:val="004C727A"/>
    <w:rsid w:val="004F4AEC"/>
    <w:rsid w:val="005A2224"/>
    <w:rsid w:val="005A7A12"/>
    <w:rsid w:val="005C0637"/>
    <w:rsid w:val="005C797E"/>
    <w:rsid w:val="005C7D22"/>
    <w:rsid w:val="005E30A6"/>
    <w:rsid w:val="005E6416"/>
    <w:rsid w:val="00606A5B"/>
    <w:rsid w:val="006207DA"/>
    <w:rsid w:val="00653FDE"/>
    <w:rsid w:val="00671E1A"/>
    <w:rsid w:val="006A084F"/>
    <w:rsid w:val="006B41D5"/>
    <w:rsid w:val="006D3241"/>
    <w:rsid w:val="006D7640"/>
    <w:rsid w:val="007013D9"/>
    <w:rsid w:val="007039DE"/>
    <w:rsid w:val="00720F8C"/>
    <w:rsid w:val="00733A94"/>
    <w:rsid w:val="00756918"/>
    <w:rsid w:val="007B0B32"/>
    <w:rsid w:val="007C0BC6"/>
    <w:rsid w:val="007E37BA"/>
    <w:rsid w:val="008046BC"/>
    <w:rsid w:val="008112D7"/>
    <w:rsid w:val="00842A89"/>
    <w:rsid w:val="00883621"/>
    <w:rsid w:val="008A1368"/>
    <w:rsid w:val="008A676B"/>
    <w:rsid w:val="00947917"/>
    <w:rsid w:val="00962DF1"/>
    <w:rsid w:val="009758B0"/>
    <w:rsid w:val="00980E6E"/>
    <w:rsid w:val="009B4283"/>
    <w:rsid w:val="00A07E05"/>
    <w:rsid w:val="00A94A38"/>
    <w:rsid w:val="00AA1723"/>
    <w:rsid w:val="00AA58D8"/>
    <w:rsid w:val="00B91658"/>
    <w:rsid w:val="00B96652"/>
    <w:rsid w:val="00BA65FB"/>
    <w:rsid w:val="00BC4659"/>
    <w:rsid w:val="00C143CF"/>
    <w:rsid w:val="00C22A36"/>
    <w:rsid w:val="00C333AA"/>
    <w:rsid w:val="00C43F9F"/>
    <w:rsid w:val="00C5641D"/>
    <w:rsid w:val="00C57BE9"/>
    <w:rsid w:val="00CA5AC2"/>
    <w:rsid w:val="00CB2EB7"/>
    <w:rsid w:val="00CB7578"/>
    <w:rsid w:val="00CC39E1"/>
    <w:rsid w:val="00CE2149"/>
    <w:rsid w:val="00CE29D1"/>
    <w:rsid w:val="00D03B3E"/>
    <w:rsid w:val="00D53E6C"/>
    <w:rsid w:val="00D836A3"/>
    <w:rsid w:val="00D847B5"/>
    <w:rsid w:val="00DA1315"/>
    <w:rsid w:val="00DF798D"/>
    <w:rsid w:val="00E436EF"/>
    <w:rsid w:val="00E619AE"/>
    <w:rsid w:val="00E80CEB"/>
    <w:rsid w:val="00E90AEA"/>
    <w:rsid w:val="00EB30B1"/>
    <w:rsid w:val="00EE6589"/>
    <w:rsid w:val="00F17EF3"/>
    <w:rsid w:val="00F91C39"/>
    <w:rsid w:val="00FA0732"/>
    <w:rsid w:val="00FB616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6EF"/>
    <w:pPr>
      <w:bidi/>
    </w:pPr>
    <w:rPr>
      <w:rFonts w:cs="Times New Roman"/>
      <w:noProof/>
      <w:sz w:val="24"/>
      <w:lang w:eastAsia="ar-SA"/>
    </w:rPr>
  </w:style>
  <w:style w:type="paragraph" w:styleId="Heading1">
    <w:name w:val="heading 1"/>
    <w:basedOn w:val="Normal"/>
    <w:next w:val="Normal"/>
    <w:qFormat/>
    <w:rsid w:val="00E436EF"/>
    <w:pPr>
      <w:keepNext/>
      <w:bidi w:val="0"/>
      <w:outlineLvl w:val="0"/>
    </w:pPr>
    <w:rPr>
      <w:rFonts w:cs="Traditional Arabic"/>
      <w:sz w:val="28"/>
    </w:rPr>
  </w:style>
  <w:style w:type="paragraph" w:styleId="Heading2">
    <w:name w:val="heading 2"/>
    <w:basedOn w:val="Normal"/>
    <w:next w:val="Normal"/>
    <w:qFormat/>
    <w:rsid w:val="00E436EF"/>
    <w:pPr>
      <w:keepNext/>
      <w:bidi w:val="0"/>
      <w:jc w:val="lowKashida"/>
      <w:outlineLvl w:val="1"/>
    </w:pPr>
    <w:rPr>
      <w:rFonts w:cs="Traditional Arabic"/>
      <w:b/>
      <w:bCs/>
    </w:rPr>
  </w:style>
  <w:style w:type="paragraph" w:styleId="Heading3">
    <w:name w:val="heading 3"/>
    <w:basedOn w:val="Normal"/>
    <w:next w:val="Normal"/>
    <w:qFormat/>
    <w:rsid w:val="00E436EF"/>
    <w:pPr>
      <w:keepNext/>
      <w:pBdr>
        <w:top w:val="single" w:sz="4" w:space="1" w:color="auto"/>
        <w:left w:val="single" w:sz="4" w:space="4" w:color="auto"/>
        <w:bottom w:val="single" w:sz="4" w:space="1" w:color="auto"/>
        <w:right w:val="single" w:sz="4" w:space="4" w:color="auto"/>
      </w:pBdr>
      <w:bidi w:val="0"/>
      <w:jc w:val="center"/>
      <w:outlineLvl w:val="2"/>
    </w:pPr>
    <w:rPr>
      <w:rFonts w:cs="Traditional Arabic"/>
      <w:b/>
      <w:bCs/>
      <w:i/>
      <w:iCs/>
      <w:sz w:val="20"/>
    </w:rPr>
  </w:style>
  <w:style w:type="paragraph" w:styleId="Heading4">
    <w:name w:val="heading 4"/>
    <w:basedOn w:val="Normal"/>
    <w:next w:val="Normal"/>
    <w:qFormat/>
    <w:rsid w:val="00E436EF"/>
    <w:pPr>
      <w:keepNext/>
      <w:bidi w:val="0"/>
      <w:jc w:val="lowKashida"/>
      <w:outlineLvl w:val="3"/>
    </w:pPr>
    <w:rPr>
      <w:rFonts w:cs="Traditional Arabic"/>
      <w:b/>
      <w:bCs/>
    </w:rPr>
  </w:style>
  <w:style w:type="paragraph" w:styleId="Heading5">
    <w:name w:val="heading 5"/>
    <w:basedOn w:val="Normal"/>
    <w:next w:val="Normal"/>
    <w:qFormat/>
    <w:rsid w:val="00E436EF"/>
    <w:pPr>
      <w:keepNext/>
      <w:bidi w:val="0"/>
      <w:ind w:left="-108" w:right="-108"/>
      <w:jc w:val="center"/>
      <w:outlineLvl w:val="4"/>
    </w:pPr>
    <w:rPr>
      <w:rFonts w:cs="Simplified Arabic"/>
      <w:b/>
      <w:bCs/>
      <w:sz w:val="20"/>
    </w:rPr>
  </w:style>
  <w:style w:type="paragraph" w:styleId="Heading6">
    <w:name w:val="heading 6"/>
    <w:basedOn w:val="Normal"/>
    <w:next w:val="Normal"/>
    <w:qFormat/>
    <w:rsid w:val="00E436EF"/>
    <w:pPr>
      <w:keepNext/>
      <w:bidi w:val="0"/>
      <w:ind w:left="164" w:right="-663"/>
      <w:jc w:val="lowKashida"/>
      <w:outlineLvl w:val="5"/>
    </w:pPr>
    <w:rPr>
      <w:rFonts w:cs="Simplified Arabic"/>
      <w:b/>
      <w:bCs/>
      <w:sz w:val="22"/>
    </w:rPr>
  </w:style>
  <w:style w:type="paragraph" w:styleId="Heading7">
    <w:name w:val="heading 7"/>
    <w:basedOn w:val="Normal"/>
    <w:next w:val="Normal"/>
    <w:qFormat/>
    <w:rsid w:val="00E436EF"/>
    <w:pPr>
      <w:keepNext/>
      <w:jc w:val="center"/>
      <w:outlineLvl w:val="6"/>
    </w:pPr>
    <w:rPr>
      <w:sz w:val="28"/>
    </w:rPr>
  </w:style>
  <w:style w:type="paragraph" w:styleId="Heading8">
    <w:name w:val="heading 8"/>
    <w:basedOn w:val="Normal"/>
    <w:next w:val="Normal"/>
    <w:qFormat/>
    <w:rsid w:val="00E436EF"/>
    <w:pPr>
      <w:keepNext/>
      <w:bidi w:val="0"/>
      <w:ind w:left="-108" w:right="-108"/>
      <w:jc w:val="center"/>
      <w:outlineLvl w:val="7"/>
    </w:pPr>
    <w:rPr>
      <w:rFonts w:ascii="Bookman Old Style" w:hAnsi="Bookman Old Style" w:cs="Simplified Arabic"/>
      <w:b/>
      <w:bCs/>
      <w:noProof w:val="0"/>
      <w:snapToGrid w:val="0"/>
      <w:sz w:val="20"/>
      <w:szCs w:val="18"/>
      <w:lang w:eastAsia="en-US"/>
    </w:rPr>
  </w:style>
  <w:style w:type="paragraph" w:styleId="Heading9">
    <w:name w:val="heading 9"/>
    <w:basedOn w:val="Normal"/>
    <w:next w:val="Normal"/>
    <w:qFormat/>
    <w:rsid w:val="00E436EF"/>
    <w:pPr>
      <w:keepNext/>
      <w:bidi w:val="0"/>
      <w:jc w:val="lowKashida"/>
      <w:outlineLvl w:val="8"/>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E436EF"/>
    <w:pPr>
      <w:bidi w:val="0"/>
      <w:jc w:val="lowKashida"/>
    </w:pPr>
    <w:rPr>
      <w:rFonts w:cs="Traditional Arabic"/>
      <w:sz w:val="28"/>
    </w:rPr>
  </w:style>
  <w:style w:type="paragraph" w:styleId="BodyText2">
    <w:name w:val="Body Text 2"/>
    <w:basedOn w:val="Normal"/>
    <w:semiHidden/>
    <w:rsid w:val="00E436EF"/>
    <w:pPr>
      <w:bidi w:val="0"/>
      <w:jc w:val="lowKashida"/>
    </w:pPr>
    <w:rPr>
      <w:rFonts w:cs="Traditional Arabic"/>
    </w:rPr>
  </w:style>
  <w:style w:type="paragraph" w:styleId="BodyTextIndent">
    <w:name w:val="Body Text Indent"/>
    <w:basedOn w:val="Normal"/>
    <w:semiHidden/>
    <w:rsid w:val="00E436EF"/>
    <w:pPr>
      <w:bidi w:val="0"/>
      <w:ind w:left="993" w:hanging="993"/>
      <w:jc w:val="lowKashida"/>
    </w:pPr>
    <w:rPr>
      <w:rFonts w:ascii="Bookman Old Style" w:hAnsi="Bookman Old Style" w:cs="Traditional Arabic"/>
      <w:i/>
      <w:iCs/>
      <w:szCs w:val="18"/>
    </w:rPr>
  </w:style>
  <w:style w:type="character" w:styleId="FootnoteReference">
    <w:name w:val="footnote reference"/>
    <w:basedOn w:val="DefaultParagraphFont"/>
    <w:semiHidden/>
    <w:rsid w:val="00E436EF"/>
    <w:rPr>
      <w:vertAlign w:val="superscript"/>
    </w:rPr>
  </w:style>
  <w:style w:type="paragraph" w:styleId="FootnoteText">
    <w:name w:val="footnote text"/>
    <w:basedOn w:val="Normal"/>
    <w:semiHidden/>
    <w:rsid w:val="00E436EF"/>
    <w:rPr>
      <w:rFonts w:cs="Traditional Arabic"/>
      <w:sz w:val="20"/>
    </w:rPr>
  </w:style>
  <w:style w:type="paragraph" w:styleId="Title">
    <w:name w:val="Title"/>
    <w:basedOn w:val="Normal"/>
    <w:qFormat/>
    <w:rsid w:val="00E436EF"/>
    <w:pPr>
      <w:bidi w:val="0"/>
      <w:ind w:left="-1"/>
      <w:jc w:val="center"/>
    </w:pPr>
    <w:rPr>
      <w:rFonts w:cs="Simplified Arabic"/>
      <w:b/>
      <w:bCs/>
      <w:szCs w:val="18"/>
    </w:rPr>
  </w:style>
  <w:style w:type="paragraph" w:styleId="BodyTextIndent2">
    <w:name w:val="Body Text Indent 2"/>
    <w:basedOn w:val="Normal"/>
    <w:semiHidden/>
    <w:rsid w:val="00E436EF"/>
    <w:pPr>
      <w:bidi w:val="0"/>
      <w:ind w:left="-1"/>
      <w:jc w:val="center"/>
    </w:pPr>
    <w:rPr>
      <w:rFonts w:cs="Simplified Arabic"/>
      <w:sz w:val="20"/>
      <w:szCs w:val="18"/>
    </w:rPr>
  </w:style>
  <w:style w:type="paragraph" w:styleId="PlainText">
    <w:name w:val="Plain Text"/>
    <w:basedOn w:val="Normal"/>
    <w:semiHidden/>
    <w:rsid w:val="00E436EF"/>
    <w:rPr>
      <w:rFonts w:ascii="Courier New" w:cs="Traditional Arabic"/>
      <w:sz w:val="20"/>
    </w:rPr>
  </w:style>
  <w:style w:type="character" w:styleId="PageNumber">
    <w:name w:val="page number"/>
    <w:basedOn w:val="DefaultParagraphFont"/>
    <w:semiHidden/>
    <w:rsid w:val="00E436EF"/>
  </w:style>
  <w:style w:type="paragraph" w:styleId="Footer">
    <w:name w:val="footer"/>
    <w:basedOn w:val="Normal"/>
    <w:semiHidden/>
    <w:rsid w:val="00E436EF"/>
    <w:pPr>
      <w:tabs>
        <w:tab w:val="center" w:pos="4153"/>
        <w:tab w:val="right" w:pos="8306"/>
      </w:tabs>
    </w:pPr>
    <w:rPr>
      <w:rFonts w:cs="Traditional Arabic"/>
      <w:sz w:val="20"/>
    </w:rPr>
  </w:style>
  <w:style w:type="paragraph" w:styleId="BodyText3">
    <w:name w:val="Body Text 3"/>
    <w:basedOn w:val="Normal"/>
    <w:semiHidden/>
    <w:rsid w:val="00E436EF"/>
    <w:pPr>
      <w:bidi w:val="0"/>
      <w:jc w:val="lowKashida"/>
    </w:pPr>
    <w:rPr>
      <w:b/>
      <w:bCs/>
      <w:i/>
      <w:iCs/>
      <w:w w:val="115"/>
    </w:rPr>
  </w:style>
  <w:style w:type="paragraph" w:styleId="Header">
    <w:name w:val="header"/>
    <w:basedOn w:val="Normal"/>
    <w:semiHidden/>
    <w:rsid w:val="00E436EF"/>
    <w:pPr>
      <w:tabs>
        <w:tab w:val="center" w:pos="4153"/>
        <w:tab w:val="right" w:pos="8306"/>
      </w:tabs>
    </w:pPr>
    <w:rPr>
      <w:szCs w:val="28"/>
    </w:rPr>
  </w:style>
  <w:style w:type="paragraph" w:styleId="BlockText">
    <w:name w:val="Block Text"/>
    <w:basedOn w:val="Normal"/>
    <w:semiHidden/>
    <w:rsid w:val="00E436EF"/>
    <w:pPr>
      <w:bidi w:val="0"/>
      <w:ind w:left="426" w:right="706"/>
      <w:jc w:val="both"/>
    </w:pPr>
  </w:style>
  <w:style w:type="character" w:customStyle="1" w:styleId="longtext1">
    <w:name w:val="long_text1"/>
    <w:basedOn w:val="DefaultParagraphFont"/>
    <w:rsid w:val="00E436EF"/>
    <w:rPr>
      <w:spacing w:val="408"/>
      <w:sz w:val="23"/>
      <w:szCs w:val="23"/>
    </w:rPr>
  </w:style>
  <w:style w:type="character" w:customStyle="1" w:styleId="shorttext1">
    <w:name w:val="short_text1"/>
    <w:basedOn w:val="DefaultParagraphFont"/>
    <w:rsid w:val="00E436EF"/>
    <w:rPr>
      <w:spacing w:val="324"/>
      <w:sz w:val="29"/>
      <w:szCs w:val="29"/>
    </w:rPr>
  </w:style>
  <w:style w:type="paragraph" w:styleId="BalloonText">
    <w:name w:val="Balloon Text"/>
    <w:basedOn w:val="Normal"/>
    <w:semiHidden/>
    <w:unhideWhenUsed/>
    <w:rsid w:val="00E436EF"/>
    <w:rPr>
      <w:rFonts w:ascii="Tahoma" w:hAnsi="Tahoma" w:cs="Tahoma"/>
      <w:sz w:val="16"/>
      <w:szCs w:val="16"/>
    </w:rPr>
  </w:style>
  <w:style w:type="character" w:customStyle="1" w:styleId="BalloonTextChar">
    <w:name w:val="Balloon Text Char"/>
    <w:basedOn w:val="DefaultParagraphFont"/>
    <w:semiHidden/>
    <w:rsid w:val="00E436EF"/>
    <w:rPr>
      <w:rFonts w:ascii="Tahoma" w:hAnsi="Tahoma" w:cs="Tahoma"/>
      <w:noProof/>
      <w:sz w:val="16"/>
      <w:szCs w:val="16"/>
      <w:lang w:eastAsia="ar-SA"/>
    </w:rPr>
  </w:style>
  <w:style w:type="character" w:customStyle="1" w:styleId="longtext">
    <w:name w:val="long_text"/>
    <w:basedOn w:val="DefaultParagraphFont"/>
    <w:rsid w:val="00E436EF"/>
  </w:style>
  <w:style w:type="paragraph" w:styleId="ListParagraph">
    <w:name w:val="List Paragraph"/>
    <w:basedOn w:val="Normal"/>
    <w:uiPriority w:val="34"/>
    <w:qFormat/>
    <w:rsid w:val="00215F79"/>
    <w:pPr>
      <w:bidi w:val="0"/>
      <w:spacing w:after="200" w:line="276" w:lineRule="auto"/>
      <w:ind w:left="720"/>
      <w:contextualSpacing/>
    </w:pPr>
    <w:rPr>
      <w:rFonts w:ascii="Calibri" w:eastAsia="Calibri" w:hAnsi="Calibri" w:cs="Arial"/>
      <w:noProof w:val="0"/>
      <w:sz w:val="22"/>
      <w:szCs w:val="22"/>
      <w:lang w:eastAsia="en-US"/>
    </w:rPr>
  </w:style>
  <w:style w:type="character" w:customStyle="1" w:styleId="hps">
    <w:name w:val="hps"/>
    <w:basedOn w:val="DefaultParagraphFont"/>
    <w:rsid w:val="00215F79"/>
  </w:style>
  <w:style w:type="character" w:customStyle="1" w:styleId="apple-converted-space">
    <w:name w:val="apple-converted-space"/>
    <w:basedOn w:val="DefaultParagraphFont"/>
    <w:rsid w:val="00215F79"/>
  </w:style>
  <w:style w:type="character" w:styleId="SubtleEmphasis">
    <w:name w:val="Subtle Emphasis"/>
    <w:basedOn w:val="DefaultParagraphFont"/>
    <w:uiPriority w:val="19"/>
    <w:qFormat/>
    <w:rsid w:val="00215F79"/>
    <w:rPr>
      <w:rFonts w:eastAsia="Times New Roman" w:cs="Arial"/>
      <w:bCs w:val="0"/>
      <w:i/>
      <w:iCs/>
      <w:color w:val="808080"/>
      <w:szCs w:val="22"/>
      <w:lang w:bidi="ar-SA"/>
    </w:rPr>
  </w:style>
  <w:style w:type="character" w:styleId="Hyperlink">
    <w:name w:val="Hyperlink"/>
    <w:basedOn w:val="DefaultParagraphFont"/>
    <w:uiPriority w:val="99"/>
    <w:unhideWhenUsed/>
    <w:rsid w:val="00653FD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2306089">
      <w:bodyDiv w:val="1"/>
      <w:marLeft w:val="0"/>
      <w:marRight w:val="0"/>
      <w:marTop w:val="0"/>
      <w:marBottom w:val="0"/>
      <w:divBdr>
        <w:top w:val="none" w:sz="0" w:space="0" w:color="auto"/>
        <w:left w:val="none" w:sz="0" w:space="0" w:color="auto"/>
        <w:bottom w:val="none" w:sz="0" w:space="0" w:color="auto"/>
        <w:right w:val="none" w:sz="0" w:space="0" w:color="auto"/>
      </w:divBdr>
    </w:div>
    <w:div w:id="1803305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2007_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2007_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124E-2"/>
          <c:w val="0.88918166004966059"/>
          <c:h val="0.67751479289940864"/>
        </c:manualLayout>
      </c:layout>
      <c:barChart>
        <c:barDir val="col"/>
        <c:grouping val="clustered"/>
        <c:ser>
          <c:idx val="1"/>
          <c:order val="0"/>
          <c:tx>
            <c:strRef>
              <c:f>Sheet1!$A$3</c:f>
              <c:strCache>
                <c:ptCount val="1"/>
                <c:pt idx="0">
                  <c:v>2010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85E-3"/>
                </c:manualLayout>
              </c:layout>
              <c:tx>
                <c:rich>
                  <a:bodyPr/>
                  <a:lstStyle/>
                  <a:p>
                    <a:r>
                      <a:rPr lang="ar-SA" sz="900">
                        <a:latin typeface="Arial" pitchFamily="34" charset="0"/>
                        <a:cs typeface="Arial" pitchFamily="34" charset="0"/>
                      </a:rPr>
                      <a:t>16.1</a:t>
                    </a:r>
                  </a:p>
                </c:rich>
              </c:tx>
              <c:dLblPos val="outEnd"/>
            </c:dLbl>
            <c:dLbl>
              <c:idx val="1"/>
              <c:tx>
                <c:rich>
                  <a:bodyPr/>
                  <a:lstStyle/>
                  <a:p>
                    <a:r>
                      <a:rPr lang="ar-SA" sz="900">
                        <a:latin typeface="Arial" pitchFamily="34" charset="0"/>
                        <a:cs typeface="Arial" pitchFamily="34" charset="0"/>
                      </a:rPr>
                      <a:t>9.7</a:t>
                    </a:r>
                  </a:p>
                </c:rich>
              </c:tx>
            </c:dLbl>
            <c:dLbl>
              <c:idx val="2"/>
              <c:layout>
                <c:manualLayout>
                  <c:x val="0"/>
                  <c:y val="-1.9157088122605363E-2"/>
                </c:manualLayout>
              </c:layout>
              <c:tx>
                <c:rich>
                  <a:bodyPr/>
                  <a:lstStyle/>
                  <a:p>
                    <a:r>
                      <a:rPr lang="en-US" sz="900">
                        <a:latin typeface="Arial" pitchFamily="34" charset="0"/>
                        <a:cs typeface="Arial" pitchFamily="34" charset="0"/>
                      </a:rPr>
                      <a:t>13.4</a:t>
                    </a:r>
                  </a:p>
                </c:rich>
              </c:tx>
              <c:showVal val="1"/>
            </c:dLbl>
            <c:dLbl>
              <c:idx val="3"/>
              <c:tx>
                <c:rich>
                  <a:bodyPr/>
                  <a:lstStyle/>
                  <a:p>
                    <a:r>
                      <a:rPr lang="en-US"/>
                      <a:t>12.9</a:t>
                    </a:r>
                  </a:p>
                </c:rich>
              </c:tx>
              <c:showVal val="1"/>
            </c:dLbl>
            <c:dLbl>
              <c:idx val="4"/>
              <c:tx>
                <c:rich>
                  <a:bodyPr/>
                  <a:lstStyle/>
                  <a:p>
                    <a:r>
                      <a:rPr lang="en-US"/>
                      <a:t>15.4</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Sheet1!$B$1:$G$2</c:f>
              <c:strCache>
                <c:ptCount val="6"/>
                <c:pt idx="0">
                  <c:v>West Bank</c:v>
                </c:pt>
                <c:pt idx="1">
                  <c:v>Gaza Strip</c:v>
                </c:pt>
                <c:pt idx="2">
                  <c:v>Palestinian Territory</c:v>
                </c:pt>
                <c:pt idx="3">
                  <c:v>Urban</c:v>
                </c:pt>
                <c:pt idx="4">
                  <c:v>Rural</c:v>
                </c:pt>
                <c:pt idx="5">
                  <c:v>Camp</c:v>
                </c:pt>
              </c:strCache>
            </c:strRef>
          </c:cat>
          <c:val>
            <c:numRef>
              <c:f>Sheet1!$B$3:$G$3</c:f>
              <c:numCache>
                <c:formatCode>0.0</c:formatCode>
                <c:ptCount val="6"/>
                <c:pt idx="0" formatCode="General">
                  <c:v>16.100000000000001</c:v>
                </c:pt>
                <c:pt idx="1">
                  <c:v>9.7000000000000011</c:v>
                </c:pt>
                <c:pt idx="2" formatCode="General">
                  <c:v>13.4</c:v>
                </c:pt>
                <c:pt idx="3" formatCode="General">
                  <c:v>12.9</c:v>
                </c:pt>
                <c:pt idx="4" formatCode="General">
                  <c:v>15.4</c:v>
                </c:pt>
                <c:pt idx="5" formatCode="General">
                  <c:v>14.1</c:v>
                </c:pt>
              </c:numCache>
            </c:numRef>
          </c:val>
        </c:ser>
        <c:axId val="79036416"/>
        <c:axId val="79038336"/>
      </c:barChart>
      <c:catAx>
        <c:axId val="79036416"/>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en-US">
                    <a:latin typeface="Arial" pitchFamily="34" charset="0"/>
                    <a:cs typeface="Arial" pitchFamily="34" charset="0"/>
                  </a:rPr>
                  <a:t>Region</a:t>
                </a:r>
                <a:endParaRPr lang="ar-SA">
                  <a:latin typeface="Arial" pitchFamily="34" charset="0"/>
                  <a:cs typeface="Arial" pitchFamily="34" charset="0"/>
                </a:endParaRPr>
              </a:p>
            </c:rich>
          </c:tx>
          <c:layout>
            <c:manualLayout>
              <c:xMode val="edge"/>
              <c:yMode val="edge"/>
              <c:x val="0.30143945328925398"/>
              <c:y val="0.86273780432619196"/>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79038336"/>
        <c:crosses val="autoZero"/>
        <c:auto val="1"/>
        <c:lblAlgn val="ctr"/>
        <c:lblOffset val="100"/>
        <c:tickLblSkip val="1"/>
        <c:tickMarkSkip val="1"/>
      </c:catAx>
      <c:valAx>
        <c:axId val="79038336"/>
        <c:scaling>
          <c:orientation val="minMax"/>
        </c:scaling>
        <c:axPos val="l"/>
        <c:majorGridlines/>
        <c:title>
          <c:tx>
            <c:rich>
              <a:bodyPr/>
              <a:lstStyle/>
              <a:p>
                <a:pPr>
                  <a:defRPr sz="900" b="1" i="0" u="none" strike="noStrike" baseline="0">
                    <a:solidFill>
                      <a:srgbClr val="000000"/>
                    </a:solidFill>
                    <a:latin typeface="Arial" pitchFamily="34" charset="0"/>
                    <a:ea typeface="Simplified Arabic"/>
                    <a:cs typeface="Arial" pitchFamily="34" charset="0"/>
                  </a:defRPr>
                </a:pPr>
                <a:r>
                  <a:rPr lang="en-US">
                    <a:latin typeface="Arial" pitchFamily="34" charset="0"/>
                    <a:cs typeface="Arial" pitchFamily="34" charset="0"/>
                  </a:rPr>
                  <a:t>Percent</a:t>
                </a:r>
                <a:endParaRPr lang="ar-SA">
                  <a:latin typeface="Arial" pitchFamily="34" charset="0"/>
                  <a:cs typeface="Arial" pitchFamily="34" charset="0"/>
                </a:endParaRPr>
              </a:p>
            </c:rich>
          </c:tx>
          <c:layout>
            <c:manualLayout>
              <c:xMode val="edge"/>
              <c:yMode val="edge"/>
              <c:x val="7.6709466965870533E-3"/>
              <c:y val="0.35939391196790776"/>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79036416"/>
        <c:crosses val="autoZero"/>
        <c:crossBetween val="between"/>
      </c:valAx>
      <c:spPr>
        <a:solidFill>
          <a:srgbClr val="FFFFFF"/>
        </a:solidFill>
        <a:ln w="3175">
          <a:solidFill>
            <a:srgbClr val="C0C0C0"/>
          </a:solidFill>
          <a:prstDash val="solid"/>
        </a:ln>
      </c:spPr>
    </c:plotArea>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67751479289940864"/>
        </c:manualLayout>
      </c:layout>
      <c:barChart>
        <c:barDir val="col"/>
        <c:grouping val="clustered"/>
        <c:ser>
          <c:idx val="1"/>
          <c:order val="0"/>
          <c:tx>
            <c:strRef>
              <c:f>Sheet1!$A$2</c:f>
              <c:strCache>
                <c:ptCount val="1"/>
                <c:pt idx="0">
                  <c:v>Male</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a:latin typeface="Arial" pitchFamily="34" charset="0"/>
                        <a:cs typeface="Arial" pitchFamily="34" charset="0"/>
                      </a:rPr>
                      <a:t>5.2</a:t>
                    </a:r>
                  </a:p>
                </c:rich>
              </c:tx>
              <c:dLblPos val="outEnd"/>
            </c:dLbl>
            <c:dLbl>
              <c:idx val="1"/>
              <c:tx>
                <c:rich>
                  <a:bodyPr/>
                  <a:lstStyle/>
                  <a:p>
                    <a:r>
                      <a:rPr lang="ar-SA" sz="900">
                        <a:latin typeface="Arial" pitchFamily="34" charset="0"/>
                        <a:cs typeface="Arial" pitchFamily="34" charset="0"/>
                      </a:rPr>
                      <a:t>0.3</a:t>
                    </a:r>
                  </a:p>
                </c:rich>
              </c:tx>
            </c:dLbl>
            <c:dLbl>
              <c:idx val="2"/>
              <c:tx>
                <c:rich>
                  <a:bodyPr/>
                  <a:lstStyle/>
                  <a:p>
                    <a:r>
                      <a:rPr lang="en-US" sz="900">
                        <a:latin typeface="Arial" pitchFamily="34" charset="0"/>
                        <a:cs typeface="Arial" pitchFamily="34" charset="0"/>
                      </a:rPr>
                      <a:t>3.3</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West Bank</c:v>
                </c:pt>
                <c:pt idx="1">
                  <c:v>Gaza Strip</c:v>
                </c:pt>
                <c:pt idx="2">
                  <c:v>Palestinian Territory</c:v>
                </c:pt>
              </c:strCache>
            </c:strRef>
          </c:cat>
          <c:val>
            <c:numRef>
              <c:f>Sheet1!$B$2:$D$2</c:f>
              <c:numCache>
                <c:formatCode>0.0</c:formatCode>
                <c:ptCount val="3"/>
                <c:pt idx="0" formatCode="General">
                  <c:v>5.2</c:v>
                </c:pt>
                <c:pt idx="1">
                  <c:v>0.30000000000000032</c:v>
                </c:pt>
                <c:pt idx="2" formatCode="General">
                  <c:v>3.3</c:v>
                </c:pt>
              </c:numCache>
            </c:numRef>
          </c:val>
        </c:ser>
        <c:ser>
          <c:idx val="0"/>
          <c:order val="1"/>
          <c:tx>
            <c:strRef>
              <c:f>Sheet1!$A$3</c:f>
              <c:strCache>
                <c:ptCount val="1"/>
                <c:pt idx="0">
                  <c:v>Female</c:v>
                </c:pt>
              </c:strCache>
            </c:strRef>
          </c:tx>
          <c:spPr>
            <a:solidFill>
              <a:srgbClr val="9999FF"/>
            </a:solidFill>
            <a:ln w="12699">
              <a:solidFill>
                <a:srgbClr val="000000"/>
              </a:solidFill>
              <a:prstDash val="solid"/>
            </a:ln>
          </c:spPr>
          <c:dLbls>
            <c:dLbl>
              <c:idx val="0"/>
              <c:layout>
                <c:manualLayout>
                  <c:x val="1.0438292400760758E-3"/>
                  <c:y val="3.7813055453358208E-3"/>
                </c:manualLayout>
              </c:layout>
              <c:dLblPos val="outEnd"/>
              <c:showVal val="1"/>
            </c:dLbl>
            <c:dLbl>
              <c:idx val="1"/>
              <c:tx>
                <c:rich>
                  <a:bodyPr/>
                  <a:lstStyle/>
                  <a:p>
                    <a:r>
                      <a:rPr lang="ar-SA" sz="900">
                        <a:latin typeface="Arial" pitchFamily="34" charset="0"/>
                        <a:cs typeface="Arial" pitchFamily="34" charset="0"/>
                      </a:rPr>
                      <a:t>0.0</a:t>
                    </a:r>
                  </a:p>
                </c:rich>
              </c:tx>
            </c:dLbl>
            <c:dLbl>
              <c:idx val="2"/>
              <c:layout>
                <c:manualLayout>
                  <c:x val="0"/>
                  <c:y val="7.6628352490421625E-3"/>
                </c:manualLayout>
              </c:layout>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West Bank</c:v>
                </c:pt>
                <c:pt idx="1">
                  <c:v>Gaza Strip</c:v>
                </c:pt>
                <c:pt idx="2">
                  <c:v>Palestinian Territory</c:v>
                </c:pt>
              </c:strCache>
            </c:strRef>
          </c:cat>
          <c:val>
            <c:numRef>
              <c:f>Sheet1!$B$3:$D$3</c:f>
              <c:numCache>
                <c:formatCode>General</c:formatCode>
                <c:ptCount val="3"/>
                <c:pt idx="0">
                  <c:v>0.70000000000000062</c:v>
                </c:pt>
                <c:pt idx="1">
                  <c:v>0</c:v>
                </c:pt>
                <c:pt idx="2">
                  <c:v>0.4</c:v>
                </c:pt>
              </c:numCache>
            </c:numRef>
          </c:val>
        </c:ser>
        <c:axId val="95537024"/>
        <c:axId val="105952000"/>
      </c:barChart>
      <c:catAx>
        <c:axId val="95537024"/>
        <c:scaling>
          <c:orientation val="minMax"/>
        </c:scaling>
        <c:axPos val="b"/>
        <c:title>
          <c:tx>
            <c:rich>
              <a:bodyPr/>
              <a:lstStyle/>
              <a:p>
                <a:pPr>
                  <a:defRPr sz="900" b="1" i="0" u="none" strike="noStrike" baseline="0">
                    <a:solidFill>
                      <a:srgbClr val="000000"/>
                    </a:solidFill>
                    <a:latin typeface="Simplified Arabic"/>
                    <a:ea typeface="Simplified Arabic"/>
                    <a:cs typeface="Simplified Arabic"/>
                  </a:defRPr>
                </a:pPr>
                <a:r>
                  <a:rPr lang="en-US">
                    <a:latin typeface="Arial" pitchFamily="34" charset="0"/>
                    <a:cs typeface="Arial" pitchFamily="34" charset="0"/>
                  </a:rPr>
                  <a:t>Region</a:t>
                </a:r>
                <a:endParaRPr lang="ar-SA">
                  <a:latin typeface="Arial" pitchFamily="34" charset="0"/>
                  <a:cs typeface="Arial" pitchFamily="34" charset="0"/>
                </a:endParaRPr>
              </a:p>
            </c:rich>
          </c:tx>
          <c:layout>
            <c:manualLayout>
              <c:xMode val="edge"/>
              <c:yMode val="edge"/>
              <c:x val="0.46332815480695638"/>
              <c:y val="0.87040063957522562"/>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105952000"/>
        <c:crosses val="autoZero"/>
        <c:auto val="1"/>
        <c:lblAlgn val="ctr"/>
        <c:lblOffset val="100"/>
        <c:tickLblSkip val="1"/>
        <c:tickMarkSkip val="1"/>
      </c:catAx>
      <c:valAx>
        <c:axId val="105952000"/>
        <c:scaling>
          <c:orientation val="minMax"/>
        </c:scaling>
        <c:axPos val="l"/>
        <c:majorGridlines/>
        <c:title>
          <c:tx>
            <c:rich>
              <a:bodyPr/>
              <a:lstStyle/>
              <a:p>
                <a:pPr>
                  <a:defRPr sz="900" b="1" i="0" u="none" strike="noStrike" baseline="0">
                    <a:solidFill>
                      <a:srgbClr val="000000"/>
                    </a:solidFill>
                    <a:latin typeface="Simplified Arabic"/>
                    <a:ea typeface="Simplified Arabic"/>
                    <a:cs typeface="Simplified Arabic"/>
                  </a:defRPr>
                </a:pPr>
                <a:r>
                  <a:rPr lang="en-US">
                    <a:latin typeface="Arial" pitchFamily="34" charset="0"/>
                    <a:cs typeface="Arial" pitchFamily="34" charset="0"/>
                  </a:rPr>
                  <a:t>Percent</a:t>
                </a:r>
                <a:endParaRPr lang="ar-SA">
                  <a:latin typeface="Arial" pitchFamily="34" charset="0"/>
                  <a:cs typeface="Arial" pitchFamily="34" charset="0"/>
                </a:endParaRPr>
              </a:p>
            </c:rich>
          </c:tx>
          <c:layout>
            <c:manualLayout>
              <c:xMode val="edge"/>
              <c:yMode val="edge"/>
              <c:x val="7.6709466965870403E-3"/>
              <c:y val="0.35939391196790776"/>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95537024"/>
        <c:crosses val="autoZero"/>
        <c:crossBetween val="between"/>
      </c:valAx>
      <c:spPr>
        <a:solidFill>
          <a:srgbClr val="FFFFFF"/>
        </a:solidFill>
        <a:ln w="3175">
          <a:solidFill>
            <a:srgbClr val="C0C0C0"/>
          </a:solidFill>
          <a:prstDash val="solid"/>
        </a:ln>
      </c:spPr>
    </c:plotArea>
    <c:legend>
      <c:legendPos val="r"/>
      <c:layout>
        <c:manualLayout>
          <c:xMode val="edge"/>
          <c:yMode val="edge"/>
          <c:x val="0.70908844657488179"/>
          <c:y val="6.5474100220231118E-2"/>
          <c:w val="0.21524328008746663"/>
          <c:h val="8.5798816568047748E-2"/>
        </c:manualLayout>
      </c:layout>
      <c:spPr>
        <a:noFill/>
        <a:ln w="3175">
          <a:solidFill>
            <a:srgbClr val="000000"/>
          </a:solidFill>
          <a:prstDash val="solid"/>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drawings/drawing1.xml><?xml version="1.0" encoding="utf-8"?>
<c:userShapes xmlns:c="http://schemas.openxmlformats.org/drawingml/2006/chart">
  <cdr:relSizeAnchor xmlns:cdr="http://schemas.openxmlformats.org/drawingml/2006/chartDrawing">
    <cdr:from>
      <cdr:x>0.66948</cdr:x>
      <cdr:y>0.8545</cdr:y>
    </cdr:from>
    <cdr:to>
      <cdr:x>0.87352</cdr:x>
      <cdr:y>0.94533</cdr:y>
    </cdr:to>
    <cdr:sp macro="" textlink="">
      <cdr:nvSpPr>
        <cdr:cNvPr id="2" name="TextBox 1"/>
        <cdr:cNvSpPr txBox="1"/>
      </cdr:nvSpPr>
      <cdr:spPr>
        <a:xfrm xmlns:a="http://schemas.openxmlformats.org/drawingml/2006/main">
          <a:off x="3781425" y="2832411"/>
          <a:ext cx="1152525" cy="301074"/>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pPr algn="ctr"/>
          <a:r>
            <a:rPr lang="en-US" sz="900" b="1">
              <a:latin typeface="Arial" pitchFamily="34" charset="0"/>
              <a:cs typeface="Arial" pitchFamily="34" charset="0"/>
            </a:rPr>
            <a:t>Type</a:t>
          </a:r>
          <a:r>
            <a:rPr lang="en-US" sz="900" b="1" baseline="0">
              <a:latin typeface="Arial" pitchFamily="34" charset="0"/>
              <a:cs typeface="Arial" pitchFamily="34" charset="0"/>
            </a:rPr>
            <a:t> of Locality</a:t>
          </a:r>
          <a:endParaRPr lang="ar-SA" sz="1100" b="1">
            <a:latin typeface="Arial" pitchFamily="34" charset="0"/>
            <a:cs typeface="Arial" pitchFamily="34" charset="0"/>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0A949-21EC-42E7-80D9-6C591D580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10</Pages>
  <Words>3399</Words>
  <Characters>19375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Chapter Five</vt:lpstr>
    </vt:vector>
  </TitlesOfParts>
  <Company>Acer</Company>
  <LinksUpToDate>false</LinksUpToDate>
  <CharactersWithSpaces>22729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Five</dc:title>
  <dc:subject/>
  <dc:creator>Valued Customer of</dc:creator>
  <cp:keywords/>
  <cp:lastModifiedBy>faten</cp:lastModifiedBy>
  <cp:revision>49</cp:revision>
  <cp:lastPrinted>2012-04-03T05:30:00Z</cp:lastPrinted>
  <dcterms:created xsi:type="dcterms:W3CDTF">2012-01-24T07:50:00Z</dcterms:created>
  <dcterms:modified xsi:type="dcterms:W3CDTF">2012-04-03T05:33:00Z</dcterms:modified>
</cp:coreProperties>
</file>